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9732FA" w14:textId="77777777" w:rsidR="00EC0A2A" w:rsidRPr="0054396F" w:rsidRDefault="00AE0893" w:rsidP="00260E30">
      <w:pPr>
        <w:autoSpaceDE w:val="0"/>
        <w:autoSpaceDN w:val="0"/>
        <w:adjustRightInd w:val="0"/>
        <w:spacing w:after="240"/>
        <w:rPr>
          <w:rStyle w:val="Imprint0"/>
          <w:sz w:val="18"/>
          <w:szCs w:val="18"/>
        </w:rPr>
      </w:pPr>
      <w:r w:rsidRPr="0054396F">
        <w:rPr>
          <w:rStyle w:val="Imprint0"/>
          <w:sz w:val="18"/>
          <w:szCs w:val="18"/>
        </w:rPr>
        <w:t>Arthur Rylah Institute for Environmental Research</w:t>
      </w:r>
    </w:p>
    <w:tbl>
      <w:tblPr>
        <w:tblW w:w="0" w:type="auto"/>
        <w:tblLook w:val="01E0" w:firstRow="1" w:lastRow="1" w:firstColumn="1" w:lastColumn="1" w:noHBand="0" w:noVBand="0"/>
      </w:tblPr>
      <w:tblGrid>
        <w:gridCol w:w="9433"/>
        <w:gridCol w:w="206"/>
      </w:tblGrid>
      <w:tr w:rsidR="00EC0A2A" w:rsidRPr="00243764" w14:paraId="6F704260" w14:textId="77777777" w:rsidTr="00B10F39">
        <w:trPr>
          <w:gridAfter w:val="1"/>
          <w:wAfter w:w="216" w:type="dxa"/>
          <w:trHeight w:val="2273"/>
        </w:trPr>
        <w:tc>
          <w:tcPr>
            <w:tcW w:w="9855" w:type="dxa"/>
            <w:shd w:val="clear" w:color="auto" w:fill="auto"/>
            <w:vAlign w:val="center"/>
          </w:tcPr>
          <w:p w14:paraId="447C4BAF" w14:textId="77777777" w:rsidR="00EC0A2A" w:rsidRPr="00477B29" w:rsidRDefault="00EC0A2A" w:rsidP="00B10F39">
            <w:pPr>
              <w:pStyle w:val="Caption-Table"/>
            </w:pPr>
          </w:p>
        </w:tc>
      </w:tr>
      <w:tr w:rsidR="00EC0A2A" w:rsidRPr="00243764" w14:paraId="2216FF80" w14:textId="77777777" w:rsidTr="00B10F39">
        <w:trPr>
          <w:gridAfter w:val="1"/>
          <w:wAfter w:w="216" w:type="dxa"/>
          <w:trHeight w:val="1641"/>
        </w:trPr>
        <w:tc>
          <w:tcPr>
            <w:tcW w:w="9855" w:type="dxa"/>
            <w:shd w:val="clear" w:color="auto" w:fill="auto"/>
            <w:vAlign w:val="center"/>
          </w:tcPr>
          <w:p w14:paraId="40AF59DB" w14:textId="77777777" w:rsidR="00EC0A2A" w:rsidRPr="00243764" w:rsidRDefault="00EC0A2A" w:rsidP="00B10F39">
            <w:pPr>
              <w:pStyle w:val="Authorscover"/>
            </w:pPr>
            <w:r>
              <w:rPr>
                <w:noProof/>
              </w:rPr>
              <w:drawing>
                <wp:anchor distT="0" distB="0" distL="114300" distR="114300" simplePos="0" relativeHeight="251658243" behindDoc="0" locked="0" layoutInCell="1" allowOverlap="1" wp14:anchorId="686CD039" wp14:editId="51A62487">
                  <wp:simplePos x="0" y="0"/>
                  <wp:positionH relativeFrom="column">
                    <wp:posOffset>-831215</wp:posOffset>
                  </wp:positionH>
                  <wp:positionV relativeFrom="paragraph">
                    <wp:posOffset>226695</wp:posOffset>
                  </wp:positionV>
                  <wp:extent cx="8339455" cy="6365875"/>
                  <wp:effectExtent l="0" t="0" r="4445" b="0"/>
                  <wp:wrapNone/>
                  <wp:docPr id="1959023360" name="Picture 1959023360" descr="A frog on a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023360" name="Picture 1959023360" descr="A frog on a branch&#10;&#10;AI-generated content may be incorrect."/>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flipH="1">
                            <a:off x="0" y="0"/>
                            <a:ext cx="8339455" cy="636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C0A2A" w:rsidRPr="00243764" w14:paraId="33FC3446" w14:textId="77777777" w:rsidTr="00B10F39">
        <w:tc>
          <w:tcPr>
            <w:tcW w:w="9855" w:type="dxa"/>
            <w:gridSpan w:val="2"/>
            <w:shd w:val="clear" w:color="auto" w:fill="auto"/>
            <w:vAlign w:val="center"/>
          </w:tcPr>
          <w:p w14:paraId="67549C47" w14:textId="77777777" w:rsidR="00EC0A2A" w:rsidRPr="00243764" w:rsidRDefault="00EC0A2A" w:rsidP="00B10F39">
            <w:pPr>
              <w:pStyle w:val="Subtitle"/>
            </w:pPr>
          </w:p>
        </w:tc>
      </w:tr>
    </w:tbl>
    <w:p w14:paraId="6D6E2B28" w14:textId="77777777" w:rsidR="00EC0A2A" w:rsidRPr="00F56D9E" w:rsidRDefault="00EC0A2A" w:rsidP="00EC0A2A">
      <w:r>
        <w:rPr>
          <w:noProof/>
        </w:rPr>
        <w:drawing>
          <wp:anchor distT="0" distB="0" distL="114300" distR="114300" simplePos="0" relativeHeight="251658249" behindDoc="0" locked="0" layoutInCell="1" allowOverlap="1" wp14:anchorId="233F9F34" wp14:editId="3B1AE8B7">
            <wp:simplePos x="0" y="0"/>
            <wp:positionH relativeFrom="column">
              <wp:posOffset>1187055</wp:posOffset>
            </wp:positionH>
            <wp:positionV relativeFrom="page">
              <wp:posOffset>2630805</wp:posOffset>
            </wp:positionV>
            <wp:extent cx="5666128" cy="8046085"/>
            <wp:effectExtent l="0" t="0" r="0" b="0"/>
            <wp:wrapNone/>
            <wp:docPr id="8" name="Picture 8" descr="A blue and white geometric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blue and white geometric shapes&#10;&#10;AI-generated content may be incorrect."/>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5666128" cy="8046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248" behindDoc="0" locked="0" layoutInCell="1" allowOverlap="1" wp14:anchorId="46015D81" wp14:editId="3D6D0471">
                <wp:simplePos x="0" y="0"/>
                <wp:positionH relativeFrom="column">
                  <wp:posOffset>-1211796</wp:posOffset>
                </wp:positionH>
                <wp:positionV relativeFrom="paragraph">
                  <wp:posOffset>-3541131</wp:posOffset>
                </wp:positionV>
                <wp:extent cx="8160589" cy="2349232"/>
                <wp:effectExtent l="0" t="0" r="0" b="0"/>
                <wp:wrapNone/>
                <wp:docPr id="2121259915" name="Group 2121259915"/>
                <wp:cNvGraphicFramePr/>
                <a:graphic xmlns:a="http://schemas.openxmlformats.org/drawingml/2006/main">
                  <a:graphicData uri="http://schemas.microsoft.com/office/word/2010/wordprocessingGroup">
                    <wpg:wgp>
                      <wpg:cNvGrpSpPr/>
                      <wpg:grpSpPr>
                        <a:xfrm>
                          <a:off x="0" y="0"/>
                          <a:ext cx="8160589" cy="2349232"/>
                          <a:chOff x="-77113" y="1316974"/>
                          <a:chExt cx="8161616" cy="2350332"/>
                        </a:xfrm>
                      </wpg:grpSpPr>
                      <wps:wsp>
                        <wps:cNvPr id="1092016457" name="CoverProjectBar" title="Decorative Cover Shape"/>
                        <wps:cNvSpPr txBox="1"/>
                        <wps:spPr>
                          <a:xfrm>
                            <a:off x="-77113" y="3059841"/>
                            <a:ext cx="8161616" cy="607465"/>
                          </a:xfrm>
                          <a:prstGeom prst="rect">
                            <a:avLst/>
                          </a:prstGeom>
                          <a:solidFill>
                            <a:srgbClr val="20154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8B7915" w14:textId="77777777" w:rsidR="00EC0A2A" w:rsidRPr="00F41119" w:rsidRDefault="00EC0A2A" w:rsidP="00EC0A2A">
                              <w:pPr>
                                <w:pStyle w:val="Reportdetails"/>
                                <w:ind w:left="397"/>
                                <w:jc w:val="left"/>
                                <w:rPr>
                                  <w:color w:val="F8FAE8" w:themeColor="background2"/>
                                </w:rPr>
                              </w:pPr>
                              <w:r w:rsidRPr="003F78A0">
                                <w:rPr>
                                  <w:bCs w:val="0"/>
                                  <w:color w:val="FFFFFF" w:themeColor="background1"/>
                                </w:rPr>
                                <w:t xml:space="preserve">Arthur Rylah Institute for Environmental Research </w:t>
                              </w:r>
                              <w:r w:rsidRPr="00EF4F76">
                                <w:rPr>
                                  <w:bCs w:val="0"/>
                                  <w:color w:val="FFFFFF" w:themeColor="background1"/>
                                </w:rPr>
                                <w:t>Technical Report Series No. 387</w:t>
                              </w:r>
                              <w:r>
                                <w:rPr>
                                  <w:color w:val="FF0000"/>
                                </w:rPr>
                                <w:t xml:space="preserve"> </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1755761936" name="Rectangle 1755761936"/>
                        <wps:cNvSpPr/>
                        <wps:spPr>
                          <a:xfrm>
                            <a:off x="577918" y="1316974"/>
                            <a:ext cx="7308135" cy="16915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B119C9" w14:textId="77777777" w:rsidR="00EC0A2A" w:rsidRDefault="00EC0A2A" w:rsidP="00EC0A2A">
                              <w:pPr>
                                <w:rPr>
                                  <w:b/>
                                  <w:bCs/>
                                  <w:color w:val="201547"/>
                                  <w:sz w:val="24"/>
                                </w:rPr>
                              </w:pPr>
                              <w:r w:rsidRPr="00295C46">
                                <w:rPr>
                                  <w:b/>
                                  <w:bCs/>
                                  <w:color w:val="201547"/>
                                  <w:sz w:val="40"/>
                                  <w:szCs w:val="40"/>
                                </w:rPr>
                                <w:t>Assessing the risks of endemic and exotic diseases to</w:t>
                              </w:r>
                              <w:r>
                                <w:rPr>
                                  <w:b/>
                                  <w:bCs/>
                                  <w:color w:val="201547"/>
                                  <w:sz w:val="40"/>
                                  <w:szCs w:val="40"/>
                                </w:rPr>
                                <w:t xml:space="preserve"> </w:t>
                              </w:r>
                              <w:r w:rsidRPr="00295C46">
                                <w:rPr>
                                  <w:b/>
                                  <w:bCs/>
                                  <w:color w:val="201547"/>
                                  <w:sz w:val="40"/>
                                  <w:szCs w:val="40"/>
                                </w:rPr>
                                <w:t>Victoria</w:t>
                              </w:r>
                              <w:r>
                                <w:rPr>
                                  <w:b/>
                                  <w:bCs/>
                                  <w:color w:val="201547"/>
                                  <w:sz w:val="40"/>
                                  <w:szCs w:val="40"/>
                                </w:rPr>
                                <w:t xml:space="preserve">n terrestrial wildlife </w:t>
                              </w:r>
                            </w:p>
                            <w:p w14:paraId="1736F0F0" w14:textId="69CD6519" w:rsidR="00EC0A2A" w:rsidRDefault="00EC0A2A" w:rsidP="00EC0A2A">
                              <w:pPr>
                                <w:spacing w:before="360"/>
                                <w:rPr>
                                  <w:b/>
                                  <w:bCs/>
                                  <w:color w:val="201547"/>
                                  <w:sz w:val="24"/>
                                </w:rPr>
                              </w:pPr>
                              <w:r>
                                <w:rPr>
                                  <w:b/>
                                  <w:bCs/>
                                  <w:color w:val="201547"/>
                                  <w:sz w:val="24"/>
                                </w:rPr>
                                <w:t xml:space="preserve">DSL Ramsey, JK Cripps, MP Scroggie, C Pacioni, J </w:t>
                              </w:r>
                              <w:proofErr w:type="spellStart"/>
                              <w:r>
                                <w:rPr>
                                  <w:b/>
                                  <w:bCs/>
                                  <w:color w:val="201547"/>
                                  <w:sz w:val="24"/>
                                </w:rPr>
                                <w:t>Hufschmid</w:t>
                              </w:r>
                              <w:proofErr w:type="spellEnd"/>
                              <w:r>
                                <w:rPr>
                                  <w:b/>
                                  <w:bCs/>
                                  <w:color w:val="201547"/>
                                  <w:sz w:val="24"/>
                                </w:rPr>
                                <w:t xml:space="preserve">, L Berger, F </w:t>
                              </w:r>
                              <w:proofErr w:type="spellStart"/>
                              <w:r>
                                <w:rPr>
                                  <w:b/>
                                  <w:bCs/>
                                  <w:color w:val="201547"/>
                                  <w:sz w:val="24"/>
                                </w:rPr>
                                <w:t>Scheelings</w:t>
                              </w:r>
                              <w:proofErr w:type="spellEnd"/>
                              <w:r>
                                <w:rPr>
                                  <w:b/>
                                  <w:bCs/>
                                  <w:color w:val="201547"/>
                                  <w:sz w:val="24"/>
                                </w:rPr>
                                <w:t>, M Lynch, A</w:t>
                              </w:r>
                              <w:r w:rsidR="003F35CC">
                                <w:rPr>
                                  <w:b/>
                                  <w:bCs/>
                                  <w:color w:val="201547"/>
                                  <w:sz w:val="24"/>
                                </w:rPr>
                                <w:t>TD</w:t>
                              </w:r>
                              <w:r>
                                <w:rPr>
                                  <w:b/>
                                  <w:bCs/>
                                  <w:color w:val="201547"/>
                                  <w:sz w:val="24"/>
                                </w:rPr>
                                <w:t xml:space="preserve"> Bennett and LF Skerratt</w:t>
                              </w:r>
                            </w:p>
                            <w:p w14:paraId="31C5F484" w14:textId="77777777" w:rsidR="00EC0A2A" w:rsidRDefault="00EC0A2A" w:rsidP="00EC0A2A">
                              <w:pPr>
                                <w:spacing w:before="240"/>
                                <w:rPr>
                                  <w:b/>
                                  <w:bCs/>
                                  <w:color w:val="201547"/>
                                  <w:sz w:val="24"/>
                                </w:rPr>
                              </w:pPr>
                              <w:r>
                                <w:rPr>
                                  <w:b/>
                                  <w:bCs/>
                                  <w:color w:val="201547"/>
                                  <w:sz w:val="24"/>
                                </w:rPr>
                                <w:t>May 2025</w:t>
                              </w:r>
                            </w:p>
                            <w:p w14:paraId="124230D1" w14:textId="77777777" w:rsidR="00EC0A2A" w:rsidRDefault="00EC0A2A" w:rsidP="00EC0A2A">
                              <w:pPr>
                                <w:spacing w:before="240"/>
                                <w:rPr>
                                  <w:b/>
                                  <w:bCs/>
                                  <w:color w:val="201547"/>
                                  <w:sz w:val="24"/>
                                </w:rPr>
                              </w:pPr>
                            </w:p>
                            <w:p w14:paraId="105772A2" w14:textId="77777777" w:rsidR="00EC0A2A" w:rsidRDefault="00EC0A2A" w:rsidP="00EC0A2A">
                              <w:pPr>
                                <w:spacing w:before="240"/>
                                <w:rPr>
                                  <w:b/>
                                  <w:bCs/>
                                  <w:color w:val="201547"/>
                                  <w:sz w:val="24"/>
                                </w:rPr>
                              </w:pPr>
                            </w:p>
                            <w:p w14:paraId="05D566E1" w14:textId="77777777" w:rsidR="00EC0A2A" w:rsidRDefault="00EC0A2A" w:rsidP="00EC0A2A">
                              <w:pPr>
                                <w:spacing w:before="240"/>
                                <w:rPr>
                                  <w:b/>
                                  <w:bCs/>
                                  <w:color w:val="201547"/>
                                  <w:sz w:val="24"/>
                                </w:rPr>
                              </w:pPr>
                            </w:p>
                            <w:p w14:paraId="66D877CA" w14:textId="77777777" w:rsidR="00EC0A2A" w:rsidRDefault="00EC0A2A" w:rsidP="00EC0A2A">
                              <w:pPr>
                                <w:spacing w:before="240"/>
                                <w:rPr>
                                  <w:b/>
                                  <w:bCs/>
                                  <w:color w:val="201547"/>
                                  <w:sz w:val="24"/>
                                </w:rPr>
                              </w:pPr>
                            </w:p>
                            <w:p w14:paraId="1978671D" w14:textId="77777777" w:rsidR="00EC0A2A" w:rsidRDefault="00EC0A2A" w:rsidP="00EC0A2A">
                              <w:pPr>
                                <w:spacing w:before="240"/>
                                <w:rPr>
                                  <w:b/>
                                  <w:bCs/>
                                  <w:color w:val="201547"/>
                                  <w:sz w:val="24"/>
                                </w:rPr>
                              </w:pPr>
                            </w:p>
                            <w:p w14:paraId="3B187823" w14:textId="77777777" w:rsidR="00EC0A2A" w:rsidRDefault="00EC0A2A" w:rsidP="00EC0A2A">
                              <w:pPr>
                                <w:spacing w:before="240"/>
                                <w:rPr>
                                  <w:b/>
                                  <w:bCs/>
                                  <w:color w:val="201547"/>
                                  <w:sz w:val="24"/>
                                </w:rPr>
                              </w:pPr>
                            </w:p>
                            <w:p w14:paraId="34C59DD3" w14:textId="77777777" w:rsidR="00EC0A2A" w:rsidRDefault="00EC0A2A" w:rsidP="00EC0A2A">
                              <w:pPr>
                                <w:spacing w:before="240"/>
                                <w:rPr>
                                  <w:b/>
                                  <w:bCs/>
                                  <w:color w:val="201547"/>
                                  <w:sz w:val="24"/>
                                </w:rPr>
                              </w:pPr>
                            </w:p>
                            <w:p w14:paraId="1C446997" w14:textId="77777777" w:rsidR="00EC0A2A" w:rsidRPr="002A5120" w:rsidRDefault="00EC0A2A" w:rsidP="00EC0A2A">
                              <w:pPr>
                                <w:spacing w:before="240"/>
                                <w:rPr>
                                  <w:b/>
                                  <w:bCs/>
                                  <w:color w:val="201547"/>
                                  <w:sz w:val="24"/>
                                </w:rPr>
                              </w:pPr>
                            </w:p>
                            <w:p w14:paraId="079399B4" w14:textId="77777777" w:rsidR="00EC0A2A" w:rsidRDefault="00EC0A2A" w:rsidP="00EC0A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015D81" id="Group 2121259915" o:spid="_x0000_s1026" style="position:absolute;margin-left:-95.4pt;margin-top:-278.85pt;width:642.55pt;height:185pt;z-index:251658248;mso-width-relative:margin;mso-height-relative:margin" coordorigin="-771,13169" coordsize="81616,23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">
                <v:shapetype id="_x0000_t202" coordsize="21600,21600" o:spt="202" path="m,l,21600r21600,l21600,xe">
                  <v:stroke joinstyle="miter"/>
                  <v:path gradientshapeok="t" o:connecttype="rect"/>
                </v:shapetype>
                <v:shape id="CoverProjectBar" o:spid="_x0000_s1027" type="#_x0000_t202" style="position:absolute;left:-771;top:30598;width:81616;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" fillcolor="#201547" stroked="f">
                  <v:stroke joinstyle="round"/>
                  <v:textbox inset="10mm,0,10mm,0">
                    <w:txbxContent>
                      <w:p w14:paraId="6D8B7915" w14:textId="77777777" w:rsidR="00EC0A2A" w:rsidRPr="00F41119" w:rsidRDefault="00EC0A2A" w:rsidP="00EC0A2A">
                        <w:pPr>
                          <w:pStyle w:val="Reportdetails"/>
                          <w:ind w:left="397"/>
                          <w:jc w:val="left"/>
                          <w:rPr>
                            <w:color w:val="F8FAE8" w:themeColor="background2"/>
                          </w:rPr>
                        </w:pPr>
                        <w:r w:rsidRPr="003F78A0">
                          <w:rPr>
                            <w:bCs w:val="0"/>
                            <w:color w:val="FFFFFF" w:themeColor="background1"/>
                          </w:rPr>
                          <w:t xml:space="preserve">Arthur Rylah Institute for Environmental Research </w:t>
                        </w:r>
                        <w:r w:rsidRPr="00EF4F76">
                          <w:rPr>
                            <w:bCs w:val="0"/>
                            <w:color w:val="FFFFFF" w:themeColor="background1"/>
                          </w:rPr>
                          <w:t>Technical Report Series No. 387</w:t>
                        </w:r>
                        <w:r>
                          <w:rPr>
                            <w:color w:val="FF0000"/>
                          </w:rPr>
                          <w:t xml:space="preserve"> </w:t>
                        </w:r>
                      </w:p>
                    </w:txbxContent>
                  </v:textbox>
                </v:shape>
                <v:rect id="Rectangle 1755761936" o:spid="_x0000_s1028" style="position:absolute;left:5779;top:13169;width:73081;height:16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" fillcolor="white [3212]" stroked="f" strokeweight="2pt">
                  <v:textbox>
                    <w:txbxContent>
                      <w:p w14:paraId="1AB119C9" w14:textId="77777777" w:rsidR="00EC0A2A" w:rsidRDefault="00EC0A2A" w:rsidP="00EC0A2A">
                        <w:pPr>
                          <w:rPr>
                            <w:b/>
                            <w:bCs/>
                            <w:color w:val="201547"/>
                            <w:sz w:val="24"/>
                          </w:rPr>
                        </w:pPr>
                        <w:r w:rsidRPr="00295C46">
                          <w:rPr>
                            <w:b/>
                            <w:bCs/>
                            <w:color w:val="201547"/>
                            <w:sz w:val="40"/>
                            <w:szCs w:val="40"/>
                          </w:rPr>
                          <w:t>Assessing the risks of endemic and exotic diseases to</w:t>
                        </w:r>
                        <w:r>
                          <w:rPr>
                            <w:b/>
                            <w:bCs/>
                            <w:color w:val="201547"/>
                            <w:sz w:val="40"/>
                            <w:szCs w:val="40"/>
                          </w:rPr>
                          <w:t xml:space="preserve"> </w:t>
                        </w:r>
                        <w:r w:rsidRPr="00295C46">
                          <w:rPr>
                            <w:b/>
                            <w:bCs/>
                            <w:color w:val="201547"/>
                            <w:sz w:val="40"/>
                            <w:szCs w:val="40"/>
                          </w:rPr>
                          <w:t>Victoria</w:t>
                        </w:r>
                        <w:r>
                          <w:rPr>
                            <w:b/>
                            <w:bCs/>
                            <w:color w:val="201547"/>
                            <w:sz w:val="40"/>
                            <w:szCs w:val="40"/>
                          </w:rPr>
                          <w:t xml:space="preserve">n terrestrial wildlife </w:t>
                        </w:r>
                      </w:p>
                      <w:p w14:paraId="1736F0F0" w14:textId="69CD6519" w:rsidR="00EC0A2A" w:rsidRDefault="00EC0A2A" w:rsidP="00EC0A2A">
                        <w:pPr>
                          <w:spacing w:before="360"/>
                          <w:rPr>
                            <w:b/>
                            <w:bCs/>
                            <w:color w:val="201547"/>
                            <w:sz w:val="24"/>
                          </w:rPr>
                        </w:pPr>
                        <w:r>
                          <w:rPr>
                            <w:b/>
                            <w:bCs/>
                            <w:color w:val="201547"/>
                            <w:sz w:val="24"/>
                          </w:rPr>
                          <w:t>DSL Ramsey, JK Cripps, MP Scroggie, C Pacioni, J Hufschmid, L Berger, F Scheelings, M Lynch, A</w:t>
                        </w:r>
                        <w:r w:rsidR="003F35CC">
                          <w:rPr>
                            <w:b/>
                            <w:bCs/>
                            <w:color w:val="201547"/>
                            <w:sz w:val="24"/>
                          </w:rPr>
                          <w:t>TD</w:t>
                        </w:r>
                        <w:r>
                          <w:rPr>
                            <w:b/>
                            <w:bCs/>
                            <w:color w:val="201547"/>
                            <w:sz w:val="24"/>
                          </w:rPr>
                          <w:t xml:space="preserve"> Bennett and LF Skerratt</w:t>
                        </w:r>
                      </w:p>
                      <w:p w14:paraId="31C5F484" w14:textId="77777777" w:rsidR="00EC0A2A" w:rsidRDefault="00EC0A2A" w:rsidP="00EC0A2A">
                        <w:pPr>
                          <w:spacing w:before="240"/>
                          <w:rPr>
                            <w:b/>
                            <w:bCs/>
                            <w:color w:val="201547"/>
                            <w:sz w:val="24"/>
                          </w:rPr>
                        </w:pPr>
                        <w:r>
                          <w:rPr>
                            <w:b/>
                            <w:bCs/>
                            <w:color w:val="201547"/>
                            <w:sz w:val="24"/>
                          </w:rPr>
                          <w:t>May 2025</w:t>
                        </w:r>
                      </w:p>
                      <w:p w14:paraId="124230D1" w14:textId="77777777" w:rsidR="00EC0A2A" w:rsidRDefault="00EC0A2A" w:rsidP="00EC0A2A">
                        <w:pPr>
                          <w:spacing w:before="240"/>
                          <w:rPr>
                            <w:b/>
                            <w:bCs/>
                            <w:color w:val="201547"/>
                            <w:sz w:val="24"/>
                          </w:rPr>
                        </w:pPr>
                      </w:p>
                      <w:p w14:paraId="105772A2" w14:textId="77777777" w:rsidR="00EC0A2A" w:rsidRDefault="00EC0A2A" w:rsidP="00EC0A2A">
                        <w:pPr>
                          <w:spacing w:before="240"/>
                          <w:rPr>
                            <w:b/>
                            <w:bCs/>
                            <w:color w:val="201547"/>
                            <w:sz w:val="24"/>
                          </w:rPr>
                        </w:pPr>
                      </w:p>
                      <w:p w14:paraId="05D566E1" w14:textId="77777777" w:rsidR="00EC0A2A" w:rsidRDefault="00EC0A2A" w:rsidP="00EC0A2A">
                        <w:pPr>
                          <w:spacing w:before="240"/>
                          <w:rPr>
                            <w:b/>
                            <w:bCs/>
                            <w:color w:val="201547"/>
                            <w:sz w:val="24"/>
                          </w:rPr>
                        </w:pPr>
                      </w:p>
                      <w:p w14:paraId="66D877CA" w14:textId="77777777" w:rsidR="00EC0A2A" w:rsidRDefault="00EC0A2A" w:rsidP="00EC0A2A">
                        <w:pPr>
                          <w:spacing w:before="240"/>
                          <w:rPr>
                            <w:b/>
                            <w:bCs/>
                            <w:color w:val="201547"/>
                            <w:sz w:val="24"/>
                          </w:rPr>
                        </w:pPr>
                      </w:p>
                      <w:p w14:paraId="1978671D" w14:textId="77777777" w:rsidR="00EC0A2A" w:rsidRDefault="00EC0A2A" w:rsidP="00EC0A2A">
                        <w:pPr>
                          <w:spacing w:before="240"/>
                          <w:rPr>
                            <w:b/>
                            <w:bCs/>
                            <w:color w:val="201547"/>
                            <w:sz w:val="24"/>
                          </w:rPr>
                        </w:pPr>
                      </w:p>
                      <w:p w14:paraId="3B187823" w14:textId="77777777" w:rsidR="00EC0A2A" w:rsidRDefault="00EC0A2A" w:rsidP="00EC0A2A">
                        <w:pPr>
                          <w:spacing w:before="240"/>
                          <w:rPr>
                            <w:b/>
                            <w:bCs/>
                            <w:color w:val="201547"/>
                            <w:sz w:val="24"/>
                          </w:rPr>
                        </w:pPr>
                      </w:p>
                      <w:p w14:paraId="34C59DD3" w14:textId="77777777" w:rsidR="00EC0A2A" w:rsidRDefault="00EC0A2A" w:rsidP="00EC0A2A">
                        <w:pPr>
                          <w:spacing w:before="240"/>
                          <w:rPr>
                            <w:b/>
                            <w:bCs/>
                            <w:color w:val="201547"/>
                            <w:sz w:val="24"/>
                          </w:rPr>
                        </w:pPr>
                      </w:p>
                      <w:p w14:paraId="1C446997" w14:textId="77777777" w:rsidR="00EC0A2A" w:rsidRPr="002A5120" w:rsidRDefault="00EC0A2A" w:rsidP="00EC0A2A">
                        <w:pPr>
                          <w:spacing w:before="240"/>
                          <w:rPr>
                            <w:b/>
                            <w:bCs/>
                            <w:color w:val="201547"/>
                            <w:sz w:val="24"/>
                          </w:rPr>
                        </w:pPr>
                      </w:p>
                      <w:p w14:paraId="079399B4" w14:textId="77777777" w:rsidR="00EC0A2A" w:rsidRDefault="00EC0A2A" w:rsidP="00EC0A2A">
                        <w:pPr>
                          <w:jc w:val="center"/>
                        </w:pPr>
                      </w:p>
                    </w:txbxContent>
                  </v:textbox>
                </v:rect>
              </v:group>
            </w:pict>
          </mc:Fallback>
        </mc:AlternateContent>
      </w:r>
    </w:p>
    <w:p w14:paraId="367A938B" w14:textId="77777777" w:rsidR="00EC0A2A" w:rsidRPr="00243764" w:rsidRDefault="00EC0A2A" w:rsidP="00EC0A2A">
      <w:pPr>
        <w:sectPr w:rsidR="00EC0A2A" w:rsidRPr="00243764" w:rsidSect="00EC0A2A">
          <w:headerReference w:type="default" r:id="rId16"/>
          <w:footerReference w:type="even" r:id="rId17"/>
          <w:footerReference w:type="default" r:id="rId18"/>
          <w:footerReference w:type="first" r:id="rId19"/>
          <w:pgSz w:w="11907" w:h="16840" w:code="9"/>
          <w:pgMar w:top="1701" w:right="1134" w:bottom="568" w:left="1134" w:header="709" w:footer="709" w:gutter="0"/>
          <w:cols w:space="708"/>
          <w:docGrid w:linePitch="360"/>
        </w:sectPr>
      </w:pPr>
    </w:p>
    <w:p w14:paraId="177B18A2" w14:textId="7DD331D8" w:rsidR="00EC0A2A" w:rsidRPr="00933BDA" w:rsidRDefault="00E05BD5" w:rsidP="00EC0A2A">
      <w:pPr>
        <w:tabs>
          <w:tab w:val="left" w:pos="4253"/>
        </w:tabs>
        <w:sectPr w:rsidR="00EC0A2A" w:rsidRPr="00933BDA" w:rsidSect="00EC0A2A">
          <w:headerReference w:type="default" r:id="rId20"/>
          <w:footerReference w:type="default" r:id="rId21"/>
          <w:type w:val="continuous"/>
          <w:pgSz w:w="11907" w:h="16840" w:code="9"/>
          <w:pgMar w:top="1134" w:right="1134" w:bottom="425" w:left="1134" w:header="709" w:footer="567" w:gutter="0"/>
          <w:pgNumType w:start="1"/>
          <w:cols w:space="708"/>
          <w:formProt w:val="0"/>
          <w:titlePg/>
          <w:docGrid w:linePitch="360"/>
        </w:sectPr>
      </w:pPr>
      <w:r w:rsidRPr="00243764">
        <w:rPr>
          <w:noProof/>
        </w:rPr>
        <w:drawing>
          <wp:anchor distT="0" distB="0" distL="114300" distR="114300" simplePos="0" relativeHeight="251658246" behindDoc="0" locked="0" layoutInCell="1" allowOverlap="1" wp14:anchorId="74DBF495" wp14:editId="72156D9C">
            <wp:simplePos x="0" y="0"/>
            <wp:positionH relativeFrom="page">
              <wp:posOffset>4304638</wp:posOffset>
            </wp:positionH>
            <wp:positionV relativeFrom="page">
              <wp:posOffset>10069333</wp:posOffset>
            </wp:positionV>
            <wp:extent cx="966512" cy="501650"/>
            <wp:effectExtent l="0" t="0" r="5080" b="0"/>
            <wp:wrapNone/>
            <wp:docPr id="869618402" name="Picture 869618402" descr="A logo for a research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18402" name="Picture 869618402" descr="A logo for a research company&#10;&#10;AI-generated content may be incorrect."/>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966512" cy="501650"/>
                    </a:xfrm>
                    <a:prstGeom prst="rect">
                      <a:avLst/>
                    </a:prstGeom>
                  </pic:spPr>
                </pic:pic>
              </a:graphicData>
            </a:graphic>
            <wp14:sizeRelH relativeFrom="page">
              <wp14:pctWidth>0</wp14:pctWidth>
            </wp14:sizeRelH>
            <wp14:sizeRelV relativeFrom="page">
              <wp14:pctHeight>0</wp14:pctHeight>
            </wp14:sizeRelV>
          </wp:anchor>
        </w:drawing>
      </w:r>
      <w:r w:rsidR="00EC0A2A" w:rsidRPr="00243764">
        <w:rPr>
          <w:noProof/>
        </w:rPr>
        <w:drawing>
          <wp:anchor distT="0" distB="0" distL="114300" distR="114300" simplePos="0" relativeHeight="251658244" behindDoc="0" locked="0" layoutInCell="1" allowOverlap="1" wp14:anchorId="1A503014" wp14:editId="4A246A79">
            <wp:simplePos x="0" y="0"/>
            <wp:positionH relativeFrom="margin">
              <wp:align>left</wp:align>
            </wp:positionH>
            <wp:positionV relativeFrom="page">
              <wp:posOffset>9904481</wp:posOffset>
            </wp:positionV>
            <wp:extent cx="739471" cy="739471"/>
            <wp:effectExtent l="0" t="0" r="0" b="0"/>
            <wp:wrapNone/>
            <wp:docPr id="666296847" name="Picture 666296847" descr="A blue and white logo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96847" name="Picture 666296847" descr="A blue and white logo with a black background&#10;&#10;AI-generated content may be incorrect."/>
                    <pic:cNvPicPr/>
                  </pic:nvPicPr>
                  <pic:blipFill>
                    <a:blip r:embed="rId23" cstate="screen">
                      <a:extLst>
                        <a:ext uri="{28A0092B-C50C-407E-A947-70E740481C1C}">
                          <a14:useLocalDpi xmlns:a14="http://schemas.microsoft.com/office/drawing/2010/main" val="0"/>
                        </a:ext>
                      </a:extLst>
                    </a:blip>
                    <a:stretch>
                      <a:fillRect/>
                    </a:stretch>
                  </pic:blipFill>
                  <pic:spPr bwMode="auto">
                    <a:xfrm>
                      <a:off x="0" y="0"/>
                      <a:ext cx="739471" cy="7394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A2A">
        <w:rPr>
          <w:noProof/>
        </w:rPr>
        <w:drawing>
          <wp:anchor distT="0" distB="0" distL="114300" distR="114300" simplePos="0" relativeHeight="251658247" behindDoc="0" locked="0" layoutInCell="1" allowOverlap="1" wp14:anchorId="6565E4D0" wp14:editId="1107F2F5">
            <wp:simplePos x="0" y="0"/>
            <wp:positionH relativeFrom="column">
              <wp:posOffset>4842510</wp:posOffset>
            </wp:positionH>
            <wp:positionV relativeFrom="paragraph">
              <wp:posOffset>5594985</wp:posOffset>
            </wp:positionV>
            <wp:extent cx="1733550" cy="447675"/>
            <wp:effectExtent l="0" t="0" r="0" b="9525"/>
            <wp:wrapNone/>
            <wp:docPr id="98723025" name="Graphic 9872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pic:cNvPicPr/>
                  </pic:nvPicPr>
                  <pic:blipFill>
                    <a:blip r:embed="rId24">
                      <a:extLst>
                        <a:ext uri="{96DAC541-7B7A-43D3-8B79-37D633B846F1}">
                          <asvg:svgBlip xmlns:asvg="http://schemas.microsoft.com/office/drawing/2016/SVG/main" r:embed="rId25"/>
                        </a:ext>
                      </a:extLst>
                    </a:blip>
                    <a:stretch>
                      <a:fillRect/>
                    </a:stretch>
                  </pic:blipFill>
                  <pic:spPr>
                    <a:xfrm>
                      <a:off x="0" y="0"/>
                      <a:ext cx="1733550" cy="447675"/>
                    </a:xfrm>
                    <a:prstGeom prst="rect">
                      <a:avLst/>
                    </a:prstGeom>
                  </pic:spPr>
                </pic:pic>
              </a:graphicData>
            </a:graphic>
            <wp14:sizeRelH relativeFrom="page">
              <wp14:pctWidth>0</wp14:pctWidth>
            </wp14:sizeRelH>
            <wp14:sizeRelV relativeFrom="page">
              <wp14:pctHeight>0</wp14:pctHeight>
            </wp14:sizeRelV>
          </wp:anchor>
        </w:drawing>
      </w:r>
      <w:r w:rsidR="00EC0A2A">
        <w:rPr>
          <w:noProof/>
        </w:rPr>
        <mc:AlternateContent>
          <mc:Choice Requires="wps">
            <w:drawing>
              <wp:anchor distT="0" distB="0" distL="114300" distR="114300" simplePos="0" relativeHeight="251658245" behindDoc="0" locked="0" layoutInCell="1" allowOverlap="1" wp14:anchorId="790049FD" wp14:editId="1B235677">
                <wp:simplePos x="0" y="0"/>
                <wp:positionH relativeFrom="column">
                  <wp:posOffset>2738727</wp:posOffset>
                </wp:positionH>
                <wp:positionV relativeFrom="paragraph">
                  <wp:posOffset>6108838</wp:posOffset>
                </wp:positionV>
                <wp:extent cx="771277" cy="254442"/>
                <wp:effectExtent l="0" t="0" r="0" b="0"/>
                <wp:wrapNone/>
                <wp:docPr id="1038091437" name="Rectangle 1038091437"/>
                <wp:cNvGraphicFramePr/>
                <a:graphic xmlns:a="http://schemas.openxmlformats.org/drawingml/2006/main">
                  <a:graphicData uri="http://schemas.microsoft.com/office/word/2010/wordprocessingShape">
                    <wps:wsp>
                      <wps:cNvSpPr/>
                      <wps:spPr>
                        <a:xfrm>
                          <a:off x="0" y="0"/>
                          <a:ext cx="771277" cy="2544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DC81BD" id="Rectangle 1038091437" o:spid="_x0000_s1026" style="position:absolute;margin-left:215.65pt;margin-top:481pt;width:60.75pt;height:20.05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" fillcolor="white [3212]" stroked="f" strokeweight="2pt"/>
            </w:pict>
          </mc:Fallback>
        </mc:AlternateContent>
      </w:r>
    </w:p>
    <w:p w14:paraId="2123E712" w14:textId="3D8857A5" w:rsidR="00AE0893" w:rsidRPr="0054396F" w:rsidRDefault="00AE0893" w:rsidP="00260E30">
      <w:pPr>
        <w:autoSpaceDE w:val="0"/>
        <w:autoSpaceDN w:val="0"/>
        <w:adjustRightInd w:val="0"/>
        <w:spacing w:after="240"/>
        <w:rPr>
          <w:rStyle w:val="Imprint0"/>
          <w:sz w:val="18"/>
          <w:szCs w:val="18"/>
        </w:rPr>
      </w:pPr>
      <w:r w:rsidRPr="0054396F">
        <w:rPr>
          <w:rStyle w:val="Imprint0"/>
          <w:sz w:val="18"/>
          <w:szCs w:val="18"/>
        </w:rPr>
        <w:lastRenderedPageBreak/>
        <w:br/>
        <w:t>Department of Energy, Environment and Climate Action</w:t>
      </w:r>
      <w:r w:rsidRPr="0054396F">
        <w:rPr>
          <w:rStyle w:val="Imprint0"/>
          <w:sz w:val="18"/>
          <w:szCs w:val="18"/>
        </w:rPr>
        <w:br/>
        <w:t>PO Box 137, Heidelberg, Victoria 3084</w:t>
      </w:r>
      <w:r w:rsidRPr="0054396F">
        <w:rPr>
          <w:rStyle w:val="Imprint0"/>
          <w:sz w:val="18"/>
          <w:szCs w:val="18"/>
        </w:rPr>
        <w:br/>
        <w:t>Phone (03) 9450 8600</w:t>
      </w:r>
      <w:r w:rsidRPr="0054396F">
        <w:rPr>
          <w:rStyle w:val="Imprint0"/>
          <w:sz w:val="18"/>
          <w:szCs w:val="18"/>
        </w:rPr>
        <w:br/>
        <w:t xml:space="preserve">Website: </w:t>
      </w:r>
      <w:hyperlink r:id="rId26" w:history="1">
        <w:r w:rsidRPr="0054396F">
          <w:rPr>
            <w:rStyle w:val="Hyperlink"/>
            <w:rFonts w:eastAsia="Calibri"/>
            <w:sz w:val="18"/>
            <w:szCs w:val="18"/>
          </w:rPr>
          <w:t>www.ari.vic.gov.au</w:t>
        </w:r>
      </w:hyperlink>
    </w:p>
    <w:p w14:paraId="1939EFFB" w14:textId="634058A8" w:rsidR="00AE0893" w:rsidRPr="0054396F" w:rsidRDefault="00AE0893" w:rsidP="00260E30">
      <w:pPr>
        <w:autoSpaceDE w:val="0"/>
        <w:autoSpaceDN w:val="0"/>
        <w:adjustRightInd w:val="0"/>
        <w:spacing w:after="240"/>
        <w:rPr>
          <w:rStyle w:val="Imprint0"/>
          <w:sz w:val="18"/>
          <w:szCs w:val="18"/>
        </w:rPr>
      </w:pPr>
      <w:r w:rsidRPr="0054396F">
        <w:rPr>
          <w:rStyle w:val="Imprint0"/>
          <w:b/>
          <w:sz w:val="18"/>
          <w:szCs w:val="18"/>
        </w:rPr>
        <w:t>Citation</w:t>
      </w:r>
      <w:r w:rsidRPr="0054396F">
        <w:rPr>
          <w:rStyle w:val="Imprint0"/>
          <w:sz w:val="18"/>
          <w:szCs w:val="18"/>
        </w:rPr>
        <w:t xml:space="preserve">: </w:t>
      </w:r>
      <w:r w:rsidR="001E7B52" w:rsidRPr="00B75BA3">
        <w:rPr>
          <w:rStyle w:val="Imprint0"/>
          <w:sz w:val="18"/>
          <w:szCs w:val="18"/>
        </w:rPr>
        <w:t>Ramsey, D</w:t>
      </w:r>
      <w:r w:rsidR="00B75BA3" w:rsidRPr="00B75BA3">
        <w:rPr>
          <w:rStyle w:val="Imprint0"/>
          <w:sz w:val="18"/>
          <w:szCs w:val="18"/>
        </w:rPr>
        <w:t>.</w:t>
      </w:r>
      <w:r w:rsidR="001E7B52" w:rsidRPr="00B75BA3">
        <w:rPr>
          <w:rStyle w:val="Imprint0"/>
          <w:sz w:val="18"/>
          <w:szCs w:val="18"/>
        </w:rPr>
        <w:t>S</w:t>
      </w:r>
      <w:r w:rsidR="00B75BA3" w:rsidRPr="00B75BA3">
        <w:rPr>
          <w:rStyle w:val="Imprint0"/>
          <w:sz w:val="18"/>
          <w:szCs w:val="18"/>
        </w:rPr>
        <w:t>.</w:t>
      </w:r>
      <w:r w:rsidR="001E7B52" w:rsidRPr="00B75BA3">
        <w:rPr>
          <w:rStyle w:val="Imprint0"/>
          <w:sz w:val="18"/>
          <w:szCs w:val="18"/>
        </w:rPr>
        <w:t>L</w:t>
      </w:r>
      <w:r w:rsidR="00B75BA3" w:rsidRPr="00B75BA3">
        <w:rPr>
          <w:rStyle w:val="Imprint0"/>
          <w:sz w:val="18"/>
          <w:szCs w:val="18"/>
        </w:rPr>
        <w:t>.</w:t>
      </w:r>
      <w:r w:rsidR="001E7B52" w:rsidRPr="00B75BA3">
        <w:rPr>
          <w:rStyle w:val="Imprint0"/>
          <w:sz w:val="18"/>
          <w:szCs w:val="18"/>
        </w:rPr>
        <w:t>, Cripps, J</w:t>
      </w:r>
      <w:r w:rsidR="00B75BA3" w:rsidRPr="00B75BA3">
        <w:rPr>
          <w:rStyle w:val="Imprint0"/>
          <w:sz w:val="18"/>
          <w:szCs w:val="18"/>
        </w:rPr>
        <w:t>.</w:t>
      </w:r>
      <w:r w:rsidR="001E7B52" w:rsidRPr="00B75BA3">
        <w:rPr>
          <w:rStyle w:val="Imprint0"/>
          <w:sz w:val="18"/>
          <w:szCs w:val="18"/>
        </w:rPr>
        <w:t>, Scroggie, M</w:t>
      </w:r>
      <w:r w:rsidR="00B75BA3" w:rsidRPr="00B75BA3">
        <w:rPr>
          <w:rStyle w:val="Imprint0"/>
          <w:sz w:val="18"/>
          <w:szCs w:val="18"/>
        </w:rPr>
        <w:t>.</w:t>
      </w:r>
      <w:r w:rsidR="001E7B52" w:rsidRPr="00B75BA3">
        <w:rPr>
          <w:rStyle w:val="Imprint0"/>
          <w:sz w:val="18"/>
          <w:szCs w:val="18"/>
        </w:rPr>
        <w:t>P</w:t>
      </w:r>
      <w:r w:rsidR="00B75BA3" w:rsidRPr="00B75BA3">
        <w:rPr>
          <w:rStyle w:val="Imprint0"/>
          <w:sz w:val="18"/>
          <w:szCs w:val="18"/>
        </w:rPr>
        <w:t>.</w:t>
      </w:r>
      <w:r w:rsidR="001E7B52" w:rsidRPr="00B75BA3">
        <w:rPr>
          <w:rStyle w:val="Imprint0"/>
          <w:sz w:val="18"/>
          <w:szCs w:val="18"/>
        </w:rPr>
        <w:t>, Pacioni, C</w:t>
      </w:r>
      <w:r w:rsidR="00B75BA3" w:rsidRPr="00B75BA3">
        <w:rPr>
          <w:rStyle w:val="Imprint0"/>
          <w:sz w:val="18"/>
          <w:szCs w:val="18"/>
        </w:rPr>
        <w:t>.</w:t>
      </w:r>
      <w:r w:rsidR="001E7B52" w:rsidRPr="00B75BA3">
        <w:rPr>
          <w:rStyle w:val="Imprint0"/>
          <w:sz w:val="18"/>
          <w:szCs w:val="18"/>
        </w:rPr>
        <w:t xml:space="preserve">, </w:t>
      </w:r>
      <w:proofErr w:type="spellStart"/>
      <w:r w:rsidR="005C6816">
        <w:rPr>
          <w:rStyle w:val="Imprint0"/>
          <w:sz w:val="18"/>
          <w:szCs w:val="18"/>
        </w:rPr>
        <w:t>Hufschmid</w:t>
      </w:r>
      <w:proofErr w:type="spellEnd"/>
      <w:r w:rsidR="005C6816">
        <w:rPr>
          <w:rStyle w:val="Imprint0"/>
          <w:sz w:val="18"/>
          <w:szCs w:val="18"/>
        </w:rPr>
        <w:t xml:space="preserve">, J., </w:t>
      </w:r>
      <w:r w:rsidR="001E7B52" w:rsidRPr="00B75BA3">
        <w:rPr>
          <w:rStyle w:val="Imprint0"/>
          <w:sz w:val="18"/>
          <w:szCs w:val="18"/>
        </w:rPr>
        <w:t>Berger, L</w:t>
      </w:r>
      <w:r w:rsidR="00B75BA3" w:rsidRPr="00B75BA3">
        <w:rPr>
          <w:rStyle w:val="Imprint0"/>
          <w:sz w:val="18"/>
          <w:szCs w:val="18"/>
        </w:rPr>
        <w:t>.</w:t>
      </w:r>
      <w:r w:rsidR="001E7B52" w:rsidRPr="00B75BA3">
        <w:rPr>
          <w:rStyle w:val="Imprint0"/>
          <w:sz w:val="18"/>
          <w:szCs w:val="18"/>
        </w:rPr>
        <w:t xml:space="preserve">, </w:t>
      </w:r>
      <w:proofErr w:type="spellStart"/>
      <w:r w:rsidR="001E7B52" w:rsidRPr="00B75BA3">
        <w:rPr>
          <w:rStyle w:val="Imprint0"/>
          <w:sz w:val="18"/>
          <w:szCs w:val="18"/>
        </w:rPr>
        <w:t>Scheelings</w:t>
      </w:r>
      <w:proofErr w:type="spellEnd"/>
      <w:r w:rsidR="001E7B52" w:rsidRPr="00B75BA3">
        <w:rPr>
          <w:rStyle w:val="Imprint0"/>
          <w:sz w:val="18"/>
          <w:szCs w:val="18"/>
        </w:rPr>
        <w:t>, F</w:t>
      </w:r>
      <w:r w:rsidR="00B75BA3" w:rsidRPr="00B75BA3">
        <w:rPr>
          <w:rStyle w:val="Imprint0"/>
          <w:sz w:val="18"/>
          <w:szCs w:val="18"/>
        </w:rPr>
        <w:t>.</w:t>
      </w:r>
      <w:r w:rsidR="001E7B52" w:rsidRPr="00B75BA3">
        <w:rPr>
          <w:rStyle w:val="Imprint0"/>
          <w:sz w:val="18"/>
          <w:szCs w:val="18"/>
        </w:rPr>
        <w:t>, Lynch, M</w:t>
      </w:r>
      <w:r w:rsidR="00B75BA3" w:rsidRPr="00B75BA3">
        <w:rPr>
          <w:rStyle w:val="Imprint0"/>
          <w:sz w:val="18"/>
          <w:szCs w:val="18"/>
        </w:rPr>
        <w:t>.</w:t>
      </w:r>
      <w:r w:rsidR="00D22677">
        <w:rPr>
          <w:rStyle w:val="Imprint0"/>
          <w:sz w:val="18"/>
          <w:szCs w:val="18"/>
        </w:rPr>
        <w:t>,</w:t>
      </w:r>
      <w:r w:rsidR="001E7B52" w:rsidRPr="00B75BA3">
        <w:rPr>
          <w:rStyle w:val="Imprint0"/>
          <w:sz w:val="18"/>
          <w:szCs w:val="18"/>
        </w:rPr>
        <w:t xml:space="preserve"> Bennett, A</w:t>
      </w:r>
      <w:r w:rsidR="003F35CC">
        <w:rPr>
          <w:rStyle w:val="Imprint0"/>
          <w:sz w:val="18"/>
          <w:szCs w:val="18"/>
        </w:rPr>
        <w:t>.T.D</w:t>
      </w:r>
      <w:r w:rsidR="00B75BA3" w:rsidRPr="00B75BA3">
        <w:rPr>
          <w:rStyle w:val="Imprint0"/>
          <w:sz w:val="18"/>
          <w:szCs w:val="18"/>
        </w:rPr>
        <w:t>.</w:t>
      </w:r>
      <w:r w:rsidR="005C6816">
        <w:rPr>
          <w:rStyle w:val="Imprint0"/>
          <w:sz w:val="18"/>
          <w:szCs w:val="18"/>
        </w:rPr>
        <w:t xml:space="preserve"> </w:t>
      </w:r>
      <w:r w:rsidR="00D22677">
        <w:rPr>
          <w:rStyle w:val="Imprint0"/>
          <w:sz w:val="18"/>
          <w:szCs w:val="18"/>
        </w:rPr>
        <w:t>and</w:t>
      </w:r>
      <w:r w:rsidR="005C6816">
        <w:rPr>
          <w:rStyle w:val="Imprint0"/>
          <w:sz w:val="18"/>
          <w:szCs w:val="18"/>
        </w:rPr>
        <w:t xml:space="preserve"> Skerratt, L.</w:t>
      </w:r>
      <w:r w:rsidR="00BB7079">
        <w:rPr>
          <w:rStyle w:val="Imprint0"/>
          <w:sz w:val="18"/>
          <w:szCs w:val="18"/>
        </w:rPr>
        <w:t>F.</w:t>
      </w:r>
      <w:r w:rsidR="00B75BA3" w:rsidRPr="00B75BA3">
        <w:rPr>
          <w:rStyle w:val="Imprint0"/>
          <w:sz w:val="18"/>
          <w:szCs w:val="18"/>
        </w:rPr>
        <w:t xml:space="preserve"> </w:t>
      </w:r>
      <w:r w:rsidRPr="00B75BA3">
        <w:rPr>
          <w:rStyle w:val="Imprint0"/>
          <w:sz w:val="18"/>
          <w:szCs w:val="18"/>
        </w:rPr>
        <w:t>(20</w:t>
      </w:r>
      <w:r w:rsidR="001E7B52" w:rsidRPr="00B75BA3">
        <w:rPr>
          <w:rStyle w:val="Imprint0"/>
          <w:sz w:val="18"/>
          <w:szCs w:val="18"/>
        </w:rPr>
        <w:t>2</w:t>
      </w:r>
      <w:r w:rsidR="00184B05">
        <w:rPr>
          <w:rStyle w:val="Imprint0"/>
          <w:sz w:val="18"/>
          <w:szCs w:val="18"/>
        </w:rPr>
        <w:t>5</w:t>
      </w:r>
      <w:r w:rsidRPr="00B75BA3">
        <w:rPr>
          <w:rStyle w:val="Imprint0"/>
          <w:sz w:val="18"/>
          <w:szCs w:val="18"/>
        </w:rPr>
        <w:t xml:space="preserve">). </w:t>
      </w:r>
      <w:r w:rsidR="00DB5ACC" w:rsidRPr="001E7B52">
        <w:rPr>
          <w:rStyle w:val="Imprint0"/>
          <w:sz w:val="18"/>
          <w:szCs w:val="18"/>
        </w:rPr>
        <w:t>Assessing the risks of endemic and exotic diseases to Victoria</w:t>
      </w:r>
      <w:r w:rsidR="00F2449C">
        <w:rPr>
          <w:rStyle w:val="Imprint0"/>
          <w:sz w:val="18"/>
          <w:szCs w:val="18"/>
        </w:rPr>
        <w:t xml:space="preserve">n </w:t>
      </w:r>
      <w:r w:rsidR="00227D95">
        <w:rPr>
          <w:rStyle w:val="Imprint0"/>
          <w:sz w:val="18"/>
          <w:szCs w:val="18"/>
        </w:rPr>
        <w:t xml:space="preserve">terrestrial </w:t>
      </w:r>
      <w:r w:rsidR="00F2449C">
        <w:rPr>
          <w:rStyle w:val="Imprint0"/>
          <w:sz w:val="18"/>
          <w:szCs w:val="18"/>
        </w:rPr>
        <w:t>wil</w:t>
      </w:r>
      <w:r w:rsidR="00ED7BAF">
        <w:rPr>
          <w:rStyle w:val="Imprint0"/>
          <w:sz w:val="18"/>
          <w:szCs w:val="18"/>
        </w:rPr>
        <w:t>dlife</w:t>
      </w:r>
      <w:r w:rsidR="001E7B52" w:rsidRPr="001E7B52">
        <w:rPr>
          <w:rStyle w:val="Imprint0"/>
          <w:sz w:val="18"/>
          <w:szCs w:val="18"/>
        </w:rPr>
        <w:t>.</w:t>
      </w:r>
      <w:r w:rsidRPr="001E7B52">
        <w:rPr>
          <w:rStyle w:val="Imprint0"/>
          <w:sz w:val="18"/>
          <w:szCs w:val="18"/>
        </w:rPr>
        <w:t xml:space="preserve"> </w:t>
      </w:r>
      <w:r w:rsidRPr="00EF4F76">
        <w:rPr>
          <w:rStyle w:val="Imprint0"/>
          <w:sz w:val="18"/>
          <w:szCs w:val="18"/>
        </w:rPr>
        <w:t xml:space="preserve">Technical Report Series No. </w:t>
      </w:r>
      <w:r w:rsidR="00EF4F76" w:rsidRPr="00EF4F76">
        <w:rPr>
          <w:rStyle w:val="Imprint0"/>
          <w:sz w:val="18"/>
          <w:szCs w:val="18"/>
        </w:rPr>
        <w:t>387</w:t>
      </w:r>
      <w:r w:rsidRPr="00EF4F76">
        <w:rPr>
          <w:rStyle w:val="Imprint0"/>
          <w:sz w:val="18"/>
          <w:szCs w:val="18"/>
        </w:rPr>
        <w:t>. Department of Energy, Environment and Climate Action, Heidelberg, Victoria.</w:t>
      </w:r>
    </w:p>
    <w:p w14:paraId="53E8AD04" w14:textId="7D0DA012" w:rsidR="00AE0893" w:rsidRPr="00162853" w:rsidRDefault="00AE0893" w:rsidP="00260E30">
      <w:pPr>
        <w:autoSpaceDE w:val="0"/>
        <w:autoSpaceDN w:val="0"/>
        <w:adjustRightInd w:val="0"/>
        <w:spacing w:after="240"/>
        <w:rPr>
          <w:rStyle w:val="Imprint0"/>
          <w:sz w:val="18"/>
          <w:szCs w:val="18"/>
        </w:rPr>
      </w:pPr>
      <w:r w:rsidRPr="0054396F">
        <w:rPr>
          <w:rStyle w:val="Imprint0"/>
          <w:b/>
          <w:sz w:val="18"/>
          <w:szCs w:val="18"/>
        </w:rPr>
        <w:t>Front cover photo</w:t>
      </w:r>
      <w:r w:rsidRPr="0054396F">
        <w:rPr>
          <w:rStyle w:val="Imprint0"/>
          <w:sz w:val="18"/>
          <w:szCs w:val="18"/>
        </w:rPr>
        <w:t xml:space="preserve">: </w:t>
      </w:r>
      <w:r w:rsidR="00321469">
        <w:rPr>
          <w:rStyle w:val="Imprint0"/>
          <w:sz w:val="18"/>
          <w:szCs w:val="18"/>
        </w:rPr>
        <w:t>Green and Golden Bell Frog</w:t>
      </w:r>
      <w:r w:rsidR="00E86B68" w:rsidRPr="00162853">
        <w:rPr>
          <w:rStyle w:val="Imprint0"/>
          <w:sz w:val="18"/>
          <w:szCs w:val="18"/>
        </w:rPr>
        <w:t xml:space="preserve"> </w:t>
      </w:r>
      <w:r w:rsidR="00631D1B" w:rsidRPr="00162853">
        <w:rPr>
          <w:rStyle w:val="Imprint0"/>
          <w:sz w:val="18"/>
          <w:szCs w:val="18"/>
        </w:rPr>
        <w:t>(</w:t>
      </w:r>
      <w:proofErr w:type="spellStart"/>
      <w:r w:rsidR="00321469" w:rsidRPr="00321469">
        <w:rPr>
          <w:rStyle w:val="Imprint0"/>
          <w:i/>
          <w:iCs/>
          <w:sz w:val="18"/>
          <w:szCs w:val="18"/>
        </w:rPr>
        <w:t>Litoria</w:t>
      </w:r>
      <w:proofErr w:type="spellEnd"/>
      <w:r w:rsidR="00631D1B" w:rsidRPr="00321469">
        <w:rPr>
          <w:rStyle w:val="Imprint0"/>
          <w:i/>
          <w:iCs/>
          <w:sz w:val="18"/>
          <w:szCs w:val="18"/>
        </w:rPr>
        <w:t xml:space="preserve"> </w:t>
      </w:r>
      <w:proofErr w:type="spellStart"/>
      <w:r w:rsidR="00321469" w:rsidRPr="00321469">
        <w:rPr>
          <w:rStyle w:val="Imprint0"/>
          <w:i/>
          <w:iCs/>
          <w:sz w:val="18"/>
          <w:szCs w:val="18"/>
        </w:rPr>
        <w:t>aurea</w:t>
      </w:r>
      <w:proofErr w:type="spellEnd"/>
      <w:r w:rsidR="00631D1B" w:rsidRPr="00162853">
        <w:rPr>
          <w:rStyle w:val="Imprint0"/>
          <w:sz w:val="18"/>
          <w:szCs w:val="18"/>
        </w:rPr>
        <w:t>)</w:t>
      </w:r>
      <w:r w:rsidRPr="00162853">
        <w:rPr>
          <w:rStyle w:val="Imprint0"/>
          <w:sz w:val="18"/>
          <w:szCs w:val="18"/>
        </w:rPr>
        <w:t xml:space="preserve"> (</w:t>
      </w:r>
      <w:r w:rsidR="00321469">
        <w:rPr>
          <w:rStyle w:val="Imprint0"/>
          <w:sz w:val="18"/>
          <w:szCs w:val="18"/>
        </w:rPr>
        <w:t>Anthony Waddle</w:t>
      </w:r>
      <w:r w:rsidR="00162853" w:rsidRPr="00162853">
        <w:rPr>
          <w:rStyle w:val="Imprint0"/>
          <w:sz w:val="18"/>
          <w:szCs w:val="18"/>
        </w:rPr>
        <w:t>)</w:t>
      </w:r>
      <w:r w:rsidRPr="00162853">
        <w:rPr>
          <w:rStyle w:val="Imprint0"/>
          <w:sz w:val="18"/>
          <w:szCs w:val="18"/>
        </w:rPr>
        <w:t>.</w:t>
      </w:r>
    </w:p>
    <w:p w14:paraId="7C8B10E3" w14:textId="77777777" w:rsidR="002A3A13" w:rsidRDefault="002A3A13" w:rsidP="00260E30">
      <w:pPr>
        <w:autoSpaceDE w:val="0"/>
        <w:autoSpaceDN w:val="0"/>
        <w:adjustRightInd w:val="0"/>
        <w:spacing w:after="240" w:line="276" w:lineRule="auto"/>
        <w:rPr>
          <w:rStyle w:val="Imprint0"/>
          <w:sz w:val="18"/>
          <w:szCs w:val="18"/>
        </w:rPr>
      </w:pPr>
    </w:p>
    <w:p w14:paraId="293149F5" w14:textId="68070578" w:rsidR="00AE0893" w:rsidRPr="00DD3E38" w:rsidRDefault="00AE0893" w:rsidP="00260E30">
      <w:pPr>
        <w:autoSpaceDE w:val="0"/>
        <w:autoSpaceDN w:val="0"/>
        <w:adjustRightInd w:val="0"/>
        <w:spacing w:after="240" w:line="276" w:lineRule="auto"/>
        <w:rPr>
          <w:rStyle w:val="Imprint0"/>
          <w:sz w:val="18"/>
          <w:szCs w:val="18"/>
        </w:rPr>
      </w:pPr>
      <w:r w:rsidRPr="0054396F">
        <w:rPr>
          <w:rStyle w:val="Imprint0"/>
          <w:sz w:val="18"/>
          <w:szCs w:val="18"/>
        </w:rPr>
        <w:t xml:space="preserve">Edited by </w:t>
      </w:r>
      <w:r w:rsidR="005215DA" w:rsidRPr="00DD3E38">
        <w:rPr>
          <w:rStyle w:val="Imprint0"/>
          <w:sz w:val="18"/>
          <w:szCs w:val="18"/>
        </w:rPr>
        <w:t>Fox Writing Services</w:t>
      </w:r>
    </w:p>
    <w:p w14:paraId="4AB8FA81" w14:textId="6A7C9BB3" w:rsidR="00AE0893" w:rsidRPr="0054396F" w:rsidRDefault="00AE0893" w:rsidP="00AE0893">
      <w:pPr>
        <w:pStyle w:val="ARIimprintpubdetails"/>
        <w:rPr>
          <w:rStyle w:val="Imprint0"/>
          <w:sz w:val="18"/>
          <w:szCs w:val="18"/>
        </w:rPr>
      </w:pPr>
      <w:r w:rsidRPr="0054396F">
        <w:rPr>
          <w:rStyle w:val="Imprint0"/>
          <w:sz w:val="18"/>
          <w:szCs w:val="18"/>
        </w:rPr>
        <w:t xml:space="preserve">ISSN 1835-3835 </w:t>
      </w:r>
      <w:r w:rsidRPr="00DD3E38">
        <w:rPr>
          <w:rStyle w:val="Imprint0"/>
          <w:b/>
          <w:bCs/>
          <w:sz w:val="18"/>
          <w:szCs w:val="18"/>
        </w:rPr>
        <w:t>(pdf)</w:t>
      </w:r>
    </w:p>
    <w:p w14:paraId="356F0F9D" w14:textId="15159F79" w:rsidR="00AD0527" w:rsidRPr="0054396F" w:rsidRDefault="00AE0893" w:rsidP="00AD0527">
      <w:pPr>
        <w:spacing w:after="320"/>
        <w:rPr>
          <w:rFonts w:eastAsiaTheme="minorHAnsi"/>
          <w:sz w:val="18"/>
          <w:szCs w:val="18"/>
        </w:rPr>
      </w:pPr>
      <w:r w:rsidRPr="0054396F">
        <w:rPr>
          <w:rStyle w:val="Imprint0"/>
          <w:sz w:val="18"/>
          <w:szCs w:val="18"/>
        </w:rPr>
        <w:t xml:space="preserve">ISBN </w:t>
      </w:r>
      <w:r w:rsidR="00DD3E38" w:rsidRPr="00DD3E38">
        <w:rPr>
          <w:rStyle w:val="Imprint0"/>
          <w:rFonts w:cstheme="minorHAnsi"/>
          <w:sz w:val="18"/>
          <w:szCs w:val="18"/>
        </w:rPr>
        <w:t xml:space="preserve">978-1-76176-224-6 </w:t>
      </w:r>
      <w:r w:rsidR="00DD3E38" w:rsidRPr="00DD3E38">
        <w:rPr>
          <w:rStyle w:val="Imprint0"/>
          <w:rFonts w:cstheme="minorHAnsi"/>
          <w:b/>
          <w:bCs/>
          <w:sz w:val="18"/>
          <w:szCs w:val="18"/>
        </w:rPr>
        <w:t>(pdf/online/MS word)</w:t>
      </w:r>
    </w:p>
    <w:p w14:paraId="64C5BBBF" w14:textId="4BB5E8E8" w:rsidR="00D65DC2" w:rsidRPr="00D65DC2" w:rsidRDefault="00AD0527" w:rsidP="00DC3852">
      <w:pPr>
        <w:pStyle w:val="Titlepageheading"/>
        <w:rPr>
          <w:b w:val="0"/>
          <w:bCs w:val="0"/>
          <w:sz w:val="20"/>
          <w:szCs w:val="20"/>
        </w:rPr>
      </w:pPr>
      <w:r>
        <w:rPr>
          <w:noProof/>
        </w:rPr>
        <mc:AlternateContent>
          <mc:Choice Requires="wps">
            <w:drawing>
              <wp:inline distT="0" distB="0" distL="0" distR="0" wp14:anchorId="34C1A52D" wp14:editId="03EA6D9E">
                <wp:extent cx="4512215" cy="1476000"/>
                <wp:effectExtent l="0" t="0" r="3175" b="0"/>
                <wp:docPr id="32" name="Freeform: Shape 32"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accent3"/>
                        </a:solidFill>
                        <a:ln w="9525" cap="flat">
                          <a:noFill/>
                          <a:prstDash val="solid"/>
                          <a:miter/>
                        </a:ln>
                      </wps:spPr>
                      <wps:txbx>
                        <w:txbxContent>
                          <w:p w14:paraId="22258E8D" w14:textId="77777777" w:rsidR="00AD0527" w:rsidRDefault="00AD0527" w:rsidP="00AD0527">
                            <w:pPr>
                              <w:pStyle w:val="SmallBodyText"/>
                            </w:pPr>
                            <w:r>
                              <w:t>We acknowledge and respect Victorian Traditional Owners as the original custodians of Victoria’s land and waters, their unique ability to care for Country and deep spiritual connection to it.</w:t>
                            </w:r>
                          </w:p>
                          <w:p w14:paraId="15DA7484" w14:textId="77777777" w:rsidR="00AD0527" w:rsidRDefault="00AD0527" w:rsidP="00AD0527">
                            <w:pPr>
                              <w:pStyle w:val="SmallBodyText"/>
                            </w:pPr>
                            <w:r>
                              <w:t xml:space="preserve">We honour Elders past and present whose knowledge and wisdom </w:t>
                            </w:r>
                            <w:r>
                              <w:br/>
                              <w:t>has ensured the continuation of culture and traditional practices.</w:t>
                            </w:r>
                          </w:p>
                          <w:p w14:paraId="78B4B5C1" w14:textId="77777777" w:rsidR="00AD0527" w:rsidRDefault="00AD0527" w:rsidP="00AD0527">
                            <w:pPr>
                              <w:pStyle w:val="SmallBodyText"/>
                            </w:pPr>
                            <w:r>
                              <w:t>DEECA is committed to genuinely partnering with Victorian Traditional Owners and Victoria’s Aboriginal community to progress their 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34C1A52D" id="Freeform: Shape 32"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" adj="-11796480,,5400" path="m,1106043l,,3389662,,2866835,1106043,,1106043xe" fillcolor="#201547 [3206]" stroked="f">
                <v:stroke joinstyle="miter"/>
                <v:formulas/>
                <v:path arrowok="t" o:connecttype="custom" o:connectlocs="0,1476000;0,0;4512216,0;3816245,1476000;0,1476000" o:connectangles="0,0,0,0,0" textboxrect="0,0,3389661,1106043"/>
                <o:lock v:ext="edit" aspectratio="t"/>
                <v:textbox inset="5mm,2.5mm,14mm,3mm">
                  <w:txbxContent>
                    <w:p w14:paraId="22258E8D" w14:textId="77777777" w:rsidR="00AD0527" w:rsidRDefault="00AD0527" w:rsidP="00AD0527">
                      <w:pPr>
                        <w:pStyle w:val="SmallBodyText"/>
                      </w:pPr>
                      <w:r>
                        <w:t>We acknowledge and respect Victorian Traditional Owners as the original custodians of Victoria’s land and waters, their unique ability to care for Country and deep spiritual connection to it.</w:t>
                      </w:r>
                    </w:p>
                    <w:p w14:paraId="15DA7484" w14:textId="77777777" w:rsidR="00AD0527" w:rsidRDefault="00AD0527" w:rsidP="00AD0527">
                      <w:pPr>
                        <w:pStyle w:val="SmallBodyText"/>
                      </w:pPr>
                      <w:r>
                        <w:t xml:space="preserve">We honour Elders past and present whose knowledge and wisdom </w:t>
                      </w:r>
                      <w:r>
                        <w:br/>
                        <w:t>has ensured the continuation of culture and traditional practices.</w:t>
                      </w:r>
                    </w:p>
                    <w:p w14:paraId="78B4B5C1" w14:textId="77777777" w:rsidR="00AD0527" w:rsidRDefault="00AD0527" w:rsidP="00AD0527">
                      <w:pPr>
                        <w:pStyle w:val="SmallBodyText"/>
                      </w:pPr>
                      <w:r>
                        <w:t>DEECA is committed to genuinely partnering with Victorian Traditional Owners and Victoria’s Aboriginal community to progress their aspirations.</w:t>
                      </w:r>
                    </w:p>
                  </w:txbxContent>
                </v:textbox>
                <w10:anchorlock/>
              </v:shape>
            </w:pict>
          </mc:Fallback>
        </mc:AlternateContent>
      </w:r>
      <w:r>
        <w:rPr>
          <w:noProof/>
        </w:rPr>
        <w:drawing>
          <wp:anchor distT="0" distB="0" distL="114300" distR="114300" simplePos="0" relativeHeight="251658242" behindDoc="1" locked="1" layoutInCell="1" allowOverlap="1" wp14:anchorId="1881E131" wp14:editId="5B439127">
            <wp:simplePos x="0" y="0"/>
            <wp:positionH relativeFrom="margin">
              <wp:posOffset>3810000</wp:posOffset>
            </wp:positionH>
            <wp:positionV relativeFrom="paragraph">
              <wp:posOffset>635</wp:posOffset>
            </wp:positionV>
            <wp:extent cx="2296795" cy="1475740"/>
            <wp:effectExtent l="0" t="0" r="8255" b="0"/>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27" cstate="screen">
                      <a:extLst>
                        <a:ext uri="{28A0092B-C50C-407E-A947-70E740481C1C}">
                          <a14:useLocalDpi xmlns:a14="http://schemas.microsoft.com/office/drawing/2010/main" val="0"/>
                        </a:ext>
                      </a:extLst>
                    </a:blip>
                    <a:stretch>
                      <a:fillRect/>
                    </a:stretch>
                  </pic:blipFill>
                  <pic:spPr>
                    <a:xfrm>
                      <a:off x="0" y="0"/>
                      <a:ext cx="2296795" cy="1475740"/>
                    </a:xfrm>
                    <a:prstGeom prst="rect">
                      <a:avLst/>
                    </a:prstGeom>
                  </pic:spPr>
                </pic:pic>
              </a:graphicData>
            </a:graphic>
            <wp14:sizeRelH relativeFrom="page">
              <wp14:pctWidth>0</wp14:pctWidth>
            </wp14:sizeRelH>
            <wp14:sizeRelV relativeFrom="page">
              <wp14:pctHeight>0</wp14:pctHeight>
            </wp14:sizeRelV>
          </wp:anchor>
        </w:drawing>
      </w:r>
    </w:p>
    <w:p w14:paraId="6B98DDBA" w14:textId="4D85D9A6" w:rsidR="007749D1" w:rsidRPr="00252B7F" w:rsidRDefault="007749D1" w:rsidP="00673EB4">
      <w:pPr>
        <w:pStyle w:val="DisclaimerTextLeft"/>
        <w:framePr w:hSpace="0" w:wrap="auto" w:hAnchor="text" w:yAlign="inline"/>
        <w:spacing w:before="240"/>
        <w:suppressOverlap w:val="0"/>
        <w:rPr>
          <w:rFonts w:ascii="Arial" w:hAnsi="Arial"/>
        </w:rPr>
      </w:pPr>
      <w:r w:rsidRPr="00252B7F">
        <w:rPr>
          <w:rFonts w:ascii="Arial" w:hAnsi="Arial"/>
        </w:rPr>
        <w:t>© The State of Victoria Department of Energy, Environment and Climate Action</w:t>
      </w:r>
      <w:r w:rsidR="00932D5D">
        <w:rPr>
          <w:rFonts w:ascii="Arial" w:hAnsi="Arial"/>
        </w:rPr>
        <w:t>,</w:t>
      </w:r>
      <w:r w:rsidRPr="00252B7F">
        <w:rPr>
          <w:rFonts w:ascii="Arial" w:hAnsi="Arial"/>
        </w:rPr>
        <w:t xml:space="preserve"> </w:t>
      </w:r>
      <w:proofErr w:type="gramStart"/>
      <w:r w:rsidR="00E61122">
        <w:rPr>
          <w:rFonts w:ascii="Arial" w:hAnsi="Arial"/>
        </w:rPr>
        <w:t>Ma</w:t>
      </w:r>
      <w:r w:rsidR="00184B05">
        <w:rPr>
          <w:rFonts w:ascii="Arial" w:hAnsi="Arial"/>
        </w:rPr>
        <w:t>y</w:t>
      </w:r>
      <w:r w:rsidR="00E61122">
        <w:rPr>
          <w:rFonts w:ascii="Arial" w:hAnsi="Arial"/>
        </w:rPr>
        <w:t>,</w:t>
      </w:r>
      <w:proofErr w:type="gramEnd"/>
      <w:r w:rsidR="00E61122">
        <w:rPr>
          <w:rFonts w:ascii="Arial" w:hAnsi="Arial"/>
        </w:rPr>
        <w:t xml:space="preserve"> 2025</w:t>
      </w:r>
    </w:p>
    <w:p w14:paraId="65C7FD82" w14:textId="77777777" w:rsidR="007749D1" w:rsidRPr="00252B7F" w:rsidRDefault="007749D1" w:rsidP="007749D1">
      <w:pPr>
        <w:pStyle w:val="DisclaimerTextLeftBold"/>
        <w:framePr w:hSpace="0" w:wrap="auto" w:hAnchor="text" w:yAlign="inline"/>
        <w:suppressOverlap w:val="0"/>
        <w:rPr>
          <w:rFonts w:ascii="Arial" w:hAnsi="Arial"/>
        </w:rPr>
      </w:pPr>
      <w:r w:rsidRPr="00252B7F">
        <w:rPr>
          <w:rFonts w:ascii="Arial" w:hAnsi="Arial"/>
        </w:rPr>
        <w:t>Creative Commons</w:t>
      </w:r>
    </w:p>
    <w:p w14:paraId="445552BF" w14:textId="77777777" w:rsidR="007749D1" w:rsidRPr="00252B7F" w:rsidRDefault="007749D1" w:rsidP="007749D1">
      <w:pPr>
        <w:pStyle w:val="DisclaimerTextLeft"/>
        <w:framePr w:hSpace="0" w:wrap="auto" w:hAnchor="text" w:yAlign="inline"/>
        <w:suppressOverlap w:val="0"/>
        <w:rPr>
          <w:rFonts w:ascii="Arial" w:hAnsi="Arial"/>
        </w:rPr>
      </w:pPr>
      <w:r w:rsidRPr="00252B7F">
        <w:rPr>
          <w:rFonts w:ascii="Arial" w:hAnsi="Arial"/>
        </w:rPr>
        <w:t xml:space="preserve">This work is licensed under a Creative Commons Attribution 4.0 International licence, visit the </w:t>
      </w:r>
      <w:hyperlink r:id="rId28" w:tooltip="Creative Commons website" w:history="1">
        <w:r w:rsidRPr="00973D7E">
          <w:rPr>
            <w:rStyle w:val="Hyperlink"/>
            <w:color w:val="363534" w:themeColor="text1"/>
          </w:rPr>
          <w:t>Creative Commons website</w:t>
        </w:r>
      </w:hyperlink>
      <w:r w:rsidRPr="00252B7F">
        <w:rPr>
          <w:rFonts w:ascii="Arial" w:hAnsi="Arial"/>
        </w:rPr>
        <w:t xml:space="preserve"> (</w:t>
      </w:r>
      <w:hyperlink r:id="rId29" w:history="1">
        <w:r w:rsidRPr="00973D7E">
          <w:rPr>
            <w:rStyle w:val="Hyperlink"/>
            <w:color w:val="363534" w:themeColor="text1"/>
          </w:rPr>
          <w:t>http://creativecommons.org/licenses/by/4.0/</w:t>
        </w:r>
      </w:hyperlink>
      <w:r w:rsidRPr="00252B7F">
        <w:rPr>
          <w:rFonts w:ascii="Arial" w:hAnsi="Arial"/>
        </w:rPr>
        <w:t>).</w:t>
      </w:r>
    </w:p>
    <w:p w14:paraId="18544028" w14:textId="77777777" w:rsidR="007749D1" w:rsidRPr="00252B7F" w:rsidRDefault="007749D1" w:rsidP="007E7B78">
      <w:pPr>
        <w:pStyle w:val="DisclaimerTextLeft"/>
        <w:framePr w:hSpace="0" w:wrap="auto" w:hAnchor="text" w:yAlign="inline"/>
        <w:spacing w:after="120"/>
        <w:suppressOverlap w:val="0"/>
        <w:rPr>
          <w:rFonts w:ascii="Arial" w:hAnsi="Arial"/>
          <w:strike/>
        </w:rPr>
      </w:pPr>
      <w:r w:rsidRPr="00252B7F">
        <w:rPr>
          <w:rFonts w:ascii="Arial" w:hAnsi="Arial"/>
        </w:rPr>
        <w:t>You are free to re-use the work under that licence, on the condition that you credit the State of Victoria as author. The licence does not apply to any images, photographs or branding, including the Victorian Coat of Arms, and the Victorian Government</w:t>
      </w:r>
      <w:r w:rsidR="00606E9E" w:rsidRPr="00252B7F">
        <w:rPr>
          <w:rFonts w:ascii="Arial" w:hAnsi="Arial"/>
        </w:rPr>
        <w:t>, the</w:t>
      </w:r>
      <w:r w:rsidRPr="00252B7F">
        <w:rPr>
          <w:rFonts w:ascii="Arial" w:hAnsi="Arial"/>
        </w:rPr>
        <w:t xml:space="preserve"> Department </w:t>
      </w:r>
      <w:r w:rsidR="00606E9E" w:rsidRPr="00252B7F">
        <w:rPr>
          <w:rFonts w:ascii="Arial" w:hAnsi="Arial"/>
        </w:rPr>
        <w:t xml:space="preserve">and the ARI </w:t>
      </w:r>
      <w:r w:rsidRPr="00252B7F">
        <w:rPr>
          <w:rFonts w:ascii="Arial" w:hAnsi="Arial"/>
        </w:rPr>
        <w:t>logos.</w:t>
      </w:r>
    </w:p>
    <w:p w14:paraId="283C0BB1" w14:textId="77777777" w:rsidR="007749D1" w:rsidRPr="00252B7F" w:rsidRDefault="007749D1" w:rsidP="007749D1">
      <w:pPr>
        <w:pStyle w:val="DisclaimerTextRightBold"/>
        <w:framePr w:hSpace="0" w:wrap="auto" w:hAnchor="text" w:yAlign="inline"/>
        <w:suppressOverlap w:val="0"/>
        <w:rPr>
          <w:rFonts w:ascii="Arial" w:hAnsi="Arial"/>
          <w:b/>
        </w:rPr>
      </w:pPr>
      <w:r w:rsidRPr="00252B7F">
        <w:rPr>
          <w:rFonts w:ascii="Arial" w:hAnsi="Arial"/>
          <w:b/>
        </w:rPr>
        <w:t>Disclaimer</w:t>
      </w:r>
    </w:p>
    <w:p w14:paraId="22995A1F" w14:textId="77777777" w:rsidR="007749D1" w:rsidRPr="00252B7F" w:rsidRDefault="007749D1" w:rsidP="007E7B78">
      <w:pPr>
        <w:pStyle w:val="DisclaimerTextRight"/>
        <w:framePr w:hSpace="0" w:wrap="auto" w:hAnchor="text" w:yAlign="inline"/>
        <w:spacing w:after="120"/>
        <w:suppressOverlap w:val="0"/>
        <w:rPr>
          <w:rFonts w:ascii="Arial" w:hAnsi="Arial"/>
        </w:rPr>
      </w:pPr>
      <w:r w:rsidRPr="00252B7F">
        <w:rPr>
          <w:rFonts w:ascii="Arial" w:hAnsi="Arial"/>
        </w:rPr>
        <w:t xml:space="preserve">This publication may be of assistance to </w:t>
      </w:r>
      <w:proofErr w:type="gramStart"/>
      <w:r w:rsidRPr="00252B7F">
        <w:rPr>
          <w:rFonts w:ascii="Arial" w:hAnsi="Arial"/>
        </w:rPr>
        <w:t>you</w:t>
      </w:r>
      <w:proofErr w:type="gramEnd"/>
      <w:r w:rsidRPr="00252B7F">
        <w:rPr>
          <w:rFonts w:ascii="Arial" w:hAnsi="Arial"/>
        </w:rPr>
        <w:t xml:space="preserve"> but the State of Victoria and its employees do not guarantee that the publication is without flaw of any kind or is wholly appropriate for your </w:t>
      </w:r>
      <w:proofErr w:type="gramStart"/>
      <w:r w:rsidRPr="00252B7F">
        <w:rPr>
          <w:rFonts w:ascii="Arial" w:hAnsi="Arial"/>
        </w:rPr>
        <w:t>particular purposes</w:t>
      </w:r>
      <w:proofErr w:type="gramEnd"/>
      <w:r w:rsidRPr="00252B7F">
        <w:rPr>
          <w:rFonts w:ascii="Arial" w:hAnsi="Arial"/>
        </w:rPr>
        <w:t xml:space="preserve"> and therefore disclaims all liability for any error, loss or other consequence which may arise from you relying on any information in this publication.</w:t>
      </w:r>
    </w:p>
    <w:p w14:paraId="2A526408" w14:textId="77777777" w:rsidR="007749D1" w:rsidRDefault="007749D1" w:rsidP="00DC3852">
      <w:pPr>
        <w:pStyle w:val="Titlepageheading"/>
        <w:sectPr w:rsidR="007749D1" w:rsidSect="005E0B7E">
          <w:headerReference w:type="default" r:id="rId30"/>
          <w:footerReference w:type="default" r:id="rId31"/>
          <w:headerReference w:type="first" r:id="rId32"/>
          <w:footerReference w:type="first" r:id="rId33"/>
          <w:pgSz w:w="11906" w:h="16838" w:code="9"/>
          <w:pgMar w:top="1134" w:right="1134" w:bottom="1134" w:left="1134" w:header="709" w:footer="709" w:gutter="0"/>
          <w:pgNumType w:fmt="lowerRoman"/>
          <w:cols w:space="708"/>
          <w:vAlign w:val="bottom"/>
          <w:titlePg/>
          <w:docGrid w:linePitch="360"/>
        </w:sectPr>
      </w:pPr>
    </w:p>
    <w:p w14:paraId="619FF660" w14:textId="77777777" w:rsidR="00FE4822" w:rsidRDefault="00FE4822" w:rsidP="00DC3852">
      <w:pPr>
        <w:pStyle w:val="Titlepageheading"/>
      </w:pPr>
    </w:p>
    <w:p w14:paraId="17B5A4F8" w14:textId="0E0664F2" w:rsidR="00243764" w:rsidRPr="00856D1B" w:rsidRDefault="00295C46" w:rsidP="00295C46">
      <w:pPr>
        <w:pStyle w:val="Titlepagesubtitle"/>
        <w:spacing w:line="276" w:lineRule="auto"/>
      </w:pPr>
      <w:r w:rsidRPr="00295C46">
        <w:rPr>
          <w:iCs w:val="0"/>
          <w:kern w:val="28"/>
          <w:sz w:val="48"/>
          <w:szCs w:val="48"/>
          <w:lang w:eastAsia="en-US"/>
        </w:rPr>
        <w:t>Assessing the risks of endemic and exotic diseases to Victoria</w:t>
      </w:r>
      <w:r w:rsidR="00647ADA">
        <w:rPr>
          <w:iCs w:val="0"/>
          <w:kern w:val="28"/>
          <w:sz w:val="48"/>
          <w:szCs w:val="48"/>
          <w:lang w:eastAsia="en-US"/>
        </w:rPr>
        <w:t xml:space="preserve">n </w:t>
      </w:r>
      <w:r w:rsidR="00227D95">
        <w:rPr>
          <w:iCs w:val="0"/>
          <w:kern w:val="28"/>
          <w:sz w:val="48"/>
          <w:szCs w:val="48"/>
          <w:lang w:eastAsia="en-US"/>
        </w:rPr>
        <w:t xml:space="preserve">terrestrial </w:t>
      </w:r>
      <w:r w:rsidR="00647ADA">
        <w:rPr>
          <w:iCs w:val="0"/>
          <w:kern w:val="28"/>
          <w:sz w:val="48"/>
          <w:szCs w:val="48"/>
          <w:lang w:eastAsia="en-US"/>
        </w:rPr>
        <w:t>wild</w:t>
      </w:r>
      <w:r w:rsidR="00B948B4">
        <w:rPr>
          <w:iCs w:val="0"/>
          <w:kern w:val="28"/>
          <w:sz w:val="48"/>
          <w:szCs w:val="48"/>
          <w:lang w:eastAsia="en-US"/>
        </w:rPr>
        <w:t>life</w:t>
      </w:r>
      <w:r w:rsidRPr="00295C46">
        <w:rPr>
          <w:iCs w:val="0"/>
          <w:kern w:val="28"/>
          <w:sz w:val="48"/>
          <w:szCs w:val="48"/>
          <w:lang w:eastAsia="en-US"/>
        </w:rPr>
        <w:t xml:space="preserve"> </w:t>
      </w:r>
    </w:p>
    <w:p w14:paraId="2E867697" w14:textId="77777777" w:rsidR="00243764" w:rsidRPr="00856D1B" w:rsidRDefault="00243764" w:rsidP="00295C46">
      <w:pPr>
        <w:pStyle w:val="Titlepagesubtitle"/>
        <w:spacing w:line="276" w:lineRule="auto"/>
      </w:pPr>
    </w:p>
    <w:p w14:paraId="7780570B" w14:textId="175CE109" w:rsidR="00DA7D7F" w:rsidRPr="008352D5" w:rsidRDefault="001F55E0" w:rsidP="00DC3852">
      <w:pPr>
        <w:pStyle w:val="Titlepagesubtitle"/>
      </w:pPr>
      <w:r>
        <w:t xml:space="preserve">David </w:t>
      </w:r>
      <w:r w:rsidR="00FE690E">
        <w:t>S.</w:t>
      </w:r>
      <w:r>
        <w:t>L. Ramsey</w:t>
      </w:r>
      <w:r w:rsidR="002A56B6" w:rsidRPr="00DB2DB2">
        <w:rPr>
          <w:vertAlign w:val="superscript"/>
        </w:rPr>
        <w:t>1</w:t>
      </w:r>
      <w:r w:rsidR="008352D5" w:rsidRPr="008352D5">
        <w:t>,</w:t>
      </w:r>
      <w:r>
        <w:t xml:space="preserve"> </w:t>
      </w:r>
      <w:r w:rsidR="00DB5ACC">
        <w:t>Jemma K. Cripps</w:t>
      </w:r>
      <w:r w:rsidR="00DB5ACC" w:rsidRPr="00DB2DB2">
        <w:rPr>
          <w:vertAlign w:val="superscript"/>
        </w:rPr>
        <w:t>1</w:t>
      </w:r>
      <w:r w:rsidR="00DB5ACC">
        <w:t xml:space="preserve">, </w:t>
      </w:r>
      <w:r>
        <w:t xml:space="preserve">Michael </w:t>
      </w:r>
      <w:r w:rsidR="00FE690E">
        <w:t>P</w:t>
      </w:r>
      <w:r>
        <w:t>. Scroggie</w:t>
      </w:r>
      <w:r w:rsidRPr="00DB2DB2">
        <w:rPr>
          <w:vertAlign w:val="superscript"/>
        </w:rPr>
        <w:t>1</w:t>
      </w:r>
      <w:r w:rsidR="00FE690E">
        <w:t xml:space="preserve">, </w:t>
      </w:r>
      <w:r w:rsidR="00245FE4">
        <w:t>Carlo Pacioni</w:t>
      </w:r>
      <w:r w:rsidR="00245FE4" w:rsidRPr="00245FE4">
        <w:rPr>
          <w:vertAlign w:val="superscript"/>
        </w:rPr>
        <w:t>1</w:t>
      </w:r>
      <w:r w:rsidR="00245FE4">
        <w:t xml:space="preserve">, </w:t>
      </w:r>
      <w:r w:rsidR="00C044E0">
        <w:t>Jasmin Hufschmid</w:t>
      </w:r>
      <w:r w:rsidR="009663ED" w:rsidRPr="009663ED">
        <w:rPr>
          <w:vertAlign w:val="superscript"/>
        </w:rPr>
        <w:t>2</w:t>
      </w:r>
      <w:r w:rsidR="00C044E0">
        <w:t xml:space="preserve">, </w:t>
      </w:r>
      <w:r w:rsidR="004857A6">
        <w:t>Lee Berger</w:t>
      </w:r>
      <w:r w:rsidR="002A56B6" w:rsidRPr="00DB2DB2">
        <w:rPr>
          <w:vertAlign w:val="superscript"/>
        </w:rPr>
        <w:t>2</w:t>
      </w:r>
      <w:r w:rsidR="004857A6">
        <w:t>,</w:t>
      </w:r>
      <w:r w:rsidR="004857A6" w:rsidRPr="004857A6">
        <w:t xml:space="preserve"> </w:t>
      </w:r>
      <w:r w:rsidR="00C13150">
        <w:t>And</w:t>
      </w:r>
      <w:r w:rsidR="003F35CC">
        <w:t>rew T.D.</w:t>
      </w:r>
      <w:r w:rsidR="00C13150">
        <w:t xml:space="preserve"> Bennett</w:t>
      </w:r>
      <w:r w:rsidR="00C10F44">
        <w:rPr>
          <w:vertAlign w:val="superscript"/>
        </w:rPr>
        <w:t>2</w:t>
      </w:r>
      <w:r w:rsidR="004857A6">
        <w:t>,</w:t>
      </w:r>
      <w:r w:rsidR="004857A6">
        <w:rPr>
          <w:vertAlign w:val="superscript"/>
        </w:rPr>
        <w:t xml:space="preserve"> </w:t>
      </w:r>
      <w:r w:rsidR="004857A6">
        <w:t>Franciscus Scheelings</w:t>
      </w:r>
      <w:r w:rsidR="004857A6" w:rsidRPr="00DB2DB2">
        <w:rPr>
          <w:vertAlign w:val="superscript"/>
        </w:rPr>
        <w:t>2</w:t>
      </w:r>
      <w:r w:rsidR="004857A6">
        <w:t>,</w:t>
      </w:r>
      <w:r w:rsidR="004857A6">
        <w:rPr>
          <w:vertAlign w:val="superscript"/>
        </w:rPr>
        <w:t xml:space="preserve"> </w:t>
      </w:r>
      <w:r w:rsidR="004857A6">
        <w:t>Michael Lynch</w:t>
      </w:r>
      <w:r w:rsidR="00C10F44" w:rsidRPr="00C10F44">
        <w:rPr>
          <w:vertAlign w:val="superscript"/>
        </w:rPr>
        <w:t>2</w:t>
      </w:r>
      <w:r w:rsidR="00F51AC6">
        <w:t xml:space="preserve"> and</w:t>
      </w:r>
      <w:r w:rsidR="004857A6">
        <w:rPr>
          <w:vertAlign w:val="superscript"/>
        </w:rPr>
        <w:t xml:space="preserve"> </w:t>
      </w:r>
      <w:r w:rsidR="00C13150">
        <w:t xml:space="preserve">Lee </w:t>
      </w:r>
      <w:r w:rsidR="00BB7079">
        <w:t xml:space="preserve">F. </w:t>
      </w:r>
      <w:r w:rsidR="00C13150">
        <w:t>Skerratt</w:t>
      </w:r>
      <w:r w:rsidR="00C13150">
        <w:rPr>
          <w:vertAlign w:val="superscript"/>
        </w:rPr>
        <w:t>2</w:t>
      </w:r>
    </w:p>
    <w:p w14:paraId="1198392F" w14:textId="77777777" w:rsidR="00243764" w:rsidRPr="008352D5" w:rsidRDefault="00243764" w:rsidP="00DC3852">
      <w:pPr>
        <w:pStyle w:val="Titlepagesubtitle"/>
      </w:pPr>
    </w:p>
    <w:p w14:paraId="17D6810A" w14:textId="77777777" w:rsidR="00243764" w:rsidRPr="008352D5" w:rsidRDefault="00243764" w:rsidP="00DC3852">
      <w:pPr>
        <w:pStyle w:val="Titlepagesubtitle"/>
      </w:pPr>
    </w:p>
    <w:p w14:paraId="1B21229E" w14:textId="77777777" w:rsidR="00DD09BE" w:rsidRPr="008352D5" w:rsidRDefault="00DD09BE" w:rsidP="00DC3852">
      <w:pPr>
        <w:pStyle w:val="Titlepagesubtitle"/>
      </w:pPr>
    </w:p>
    <w:p w14:paraId="781DCE3A" w14:textId="77777777" w:rsidR="00744A3D" w:rsidRPr="00B455FF" w:rsidRDefault="00744A3D" w:rsidP="00DC3852">
      <w:pPr>
        <w:pStyle w:val="Subtitle"/>
      </w:pPr>
    </w:p>
    <w:p w14:paraId="2A7D85B4" w14:textId="024CE129" w:rsidR="00744A3D" w:rsidRPr="00DD09BE" w:rsidRDefault="00744A3D" w:rsidP="00DC3852">
      <w:r w:rsidRPr="00DD09BE">
        <w:rPr>
          <w:vertAlign w:val="superscript"/>
        </w:rPr>
        <w:t>1</w:t>
      </w:r>
      <w:r w:rsidRPr="00DD09BE">
        <w:t>Arthur Rylah Institute for Environmental Research</w:t>
      </w:r>
      <w:r w:rsidR="00DB2DB2">
        <w:br/>
        <w:t>Department of Energy, Environment and Climate Action</w:t>
      </w:r>
      <w:r w:rsidRPr="00DD09BE">
        <w:t xml:space="preserve"> </w:t>
      </w:r>
      <w:r w:rsidRPr="00DD09BE">
        <w:br/>
        <w:t>123 Brown Street, Heidelberg, Victoria 3084</w:t>
      </w:r>
    </w:p>
    <w:p w14:paraId="3FD543BD" w14:textId="77777777" w:rsidR="00872C4D" w:rsidRDefault="00744A3D" w:rsidP="00872C4D">
      <w:pPr>
        <w:spacing w:after="0"/>
      </w:pPr>
      <w:r w:rsidRPr="00DD09BE">
        <w:rPr>
          <w:vertAlign w:val="superscript"/>
        </w:rPr>
        <w:t>2</w:t>
      </w:r>
      <w:r w:rsidR="00295C46">
        <w:t>OneHealth Research Group</w:t>
      </w:r>
      <w:r w:rsidRPr="00DD09BE">
        <w:t xml:space="preserve">, </w:t>
      </w:r>
    </w:p>
    <w:p w14:paraId="216EEF3B" w14:textId="77777777" w:rsidR="00872C4D" w:rsidRDefault="00295C46" w:rsidP="00872C4D">
      <w:pPr>
        <w:spacing w:after="0"/>
      </w:pPr>
      <w:r>
        <w:t xml:space="preserve">Melbourne Veterinary School, </w:t>
      </w:r>
    </w:p>
    <w:p w14:paraId="2C7F13E6" w14:textId="7394758F" w:rsidR="00744A3D" w:rsidRDefault="00295C46" w:rsidP="00872C4D">
      <w:pPr>
        <w:spacing w:after="0"/>
      </w:pPr>
      <w:r>
        <w:t>The University of Melbourne, Werribee, Victoria, 3030</w:t>
      </w:r>
    </w:p>
    <w:p w14:paraId="6A766208" w14:textId="0A66946F" w:rsidR="00744A3D" w:rsidRPr="00DD09BE" w:rsidRDefault="00744A3D" w:rsidP="00DC3852">
      <w:pPr>
        <w:pStyle w:val="Subtitle"/>
      </w:pPr>
      <w:r w:rsidRPr="00DD09BE">
        <w:t>Date</w:t>
      </w:r>
    </w:p>
    <w:p w14:paraId="5A9BBC8C" w14:textId="77777777" w:rsidR="006A33F1" w:rsidRDefault="006A33F1" w:rsidP="00DC3852">
      <w:pPr>
        <w:pStyle w:val="Titlepagesubtitle"/>
      </w:pPr>
    </w:p>
    <w:p w14:paraId="57E92371" w14:textId="77777777" w:rsidR="00872C4D" w:rsidRDefault="00872C4D" w:rsidP="00DC3852">
      <w:pPr>
        <w:pStyle w:val="Titlepagesubtitle"/>
      </w:pPr>
    </w:p>
    <w:p w14:paraId="21916B24" w14:textId="77777777" w:rsidR="00872C4D" w:rsidRDefault="00872C4D" w:rsidP="00DC3852">
      <w:pPr>
        <w:pStyle w:val="Titlepagesubtitle"/>
      </w:pPr>
    </w:p>
    <w:p w14:paraId="239D396D" w14:textId="2992174D" w:rsidR="00B2382F" w:rsidRPr="00A7384B" w:rsidRDefault="006A33F1" w:rsidP="00DC3852">
      <w:pPr>
        <w:pStyle w:val="Titlepagesubtitle"/>
      </w:pPr>
      <w:r w:rsidRPr="00772526">
        <w:rPr>
          <w:b w:val="0"/>
        </w:rPr>
        <w:t>Arthur Rylah Institute for Environmental Research</w:t>
      </w:r>
      <w:r w:rsidRPr="008352D5">
        <w:br/>
      </w:r>
      <w:r w:rsidR="002F04B4" w:rsidRPr="00A7384B">
        <w:t>Technical</w:t>
      </w:r>
      <w:r w:rsidR="00DE7B6D" w:rsidRPr="00A7384B">
        <w:t xml:space="preserve"> Report </w:t>
      </w:r>
      <w:r w:rsidR="002F04B4" w:rsidRPr="00A7384B">
        <w:t>Series No.</w:t>
      </w:r>
      <w:r w:rsidR="00DE7B6D" w:rsidRPr="00A7384B">
        <w:t xml:space="preserve"> </w:t>
      </w:r>
      <w:r w:rsidR="00A7384B" w:rsidRPr="00A7384B">
        <w:t>387</w:t>
      </w:r>
      <w:r w:rsidR="00BE3EC4">
        <w:t xml:space="preserve"> </w:t>
      </w:r>
    </w:p>
    <w:p w14:paraId="61B0DA05" w14:textId="77777777" w:rsidR="00DA7D7F" w:rsidRPr="00243764" w:rsidRDefault="00DD09BE" w:rsidP="00DC3852">
      <w:r>
        <w:t xml:space="preserve"> </w:t>
      </w:r>
    </w:p>
    <w:p w14:paraId="58A8E056" w14:textId="77777777" w:rsidR="00DA7D7F" w:rsidRPr="00243764" w:rsidRDefault="00DA7D7F" w:rsidP="00DC3852">
      <w:pPr>
        <w:sectPr w:rsidR="00DA7D7F" w:rsidRPr="00243764" w:rsidSect="006A33F1">
          <w:pgSz w:w="11906" w:h="16838" w:code="9"/>
          <w:pgMar w:top="1134" w:right="1134" w:bottom="1134" w:left="1134" w:header="709" w:footer="709" w:gutter="0"/>
          <w:pgNumType w:fmt="lowerRoman"/>
          <w:cols w:space="708"/>
          <w:titlePg/>
          <w:docGrid w:linePitch="360"/>
        </w:sectPr>
      </w:pPr>
    </w:p>
    <w:p w14:paraId="61B31A02" w14:textId="77777777" w:rsidR="00843C86" w:rsidRPr="00B049AA" w:rsidRDefault="00843C86" w:rsidP="0071429D">
      <w:pPr>
        <w:pStyle w:val="Heading1"/>
        <w:rPr>
          <w:b w:val="0"/>
          <w:bCs/>
          <w:sz w:val="40"/>
          <w:szCs w:val="40"/>
        </w:rPr>
      </w:pPr>
      <w:bookmarkStart w:id="0" w:name="_Toc409798395"/>
      <w:bookmarkStart w:id="1" w:name="_Toc286018758"/>
      <w:bookmarkStart w:id="2" w:name="_Toc198634092"/>
      <w:r w:rsidRPr="00B049AA">
        <w:rPr>
          <w:b w:val="0"/>
          <w:bCs/>
          <w:sz w:val="40"/>
          <w:szCs w:val="40"/>
        </w:rPr>
        <w:lastRenderedPageBreak/>
        <w:t>Acknowledgements</w:t>
      </w:r>
      <w:bookmarkEnd w:id="0"/>
      <w:bookmarkEnd w:id="1"/>
      <w:bookmarkEnd w:id="2"/>
    </w:p>
    <w:p w14:paraId="772ECD22" w14:textId="66F341BB" w:rsidR="007C1730" w:rsidRDefault="007C1730" w:rsidP="00DC3852">
      <w:r>
        <w:t xml:space="preserve">This project was funded by </w:t>
      </w:r>
      <w:r w:rsidR="00157425">
        <w:t>Agriculture Victoria</w:t>
      </w:r>
      <w:r w:rsidR="006672D5">
        <w:t xml:space="preserve"> under the </w:t>
      </w:r>
      <w:r w:rsidR="00157425">
        <w:t>EAD preparedness</w:t>
      </w:r>
      <w:r w:rsidR="006672D5">
        <w:t xml:space="preserve"> program</w:t>
      </w:r>
      <w:r>
        <w:t xml:space="preserve">, and we thank </w:t>
      </w:r>
      <w:r w:rsidR="00157425">
        <w:t>Julie Simonds</w:t>
      </w:r>
      <w:r w:rsidR="00FE4AD6">
        <w:t xml:space="preserve"> (</w:t>
      </w:r>
      <w:proofErr w:type="spellStart"/>
      <w:r w:rsidR="00FE4AD6">
        <w:t>AgVic</w:t>
      </w:r>
      <w:proofErr w:type="spellEnd"/>
      <w:r w:rsidR="00FE4AD6">
        <w:t>)</w:t>
      </w:r>
      <w:r w:rsidR="00157425">
        <w:t xml:space="preserve"> </w:t>
      </w:r>
      <w:r w:rsidR="00FE4AD6">
        <w:t xml:space="preserve">and James Todd (ARI) </w:t>
      </w:r>
      <w:r>
        <w:t>for facilitating this funding</w:t>
      </w:r>
      <w:r w:rsidR="00295C46">
        <w:t>.</w:t>
      </w:r>
    </w:p>
    <w:p w14:paraId="3BDEE217" w14:textId="10B79D28" w:rsidR="00295C46" w:rsidRDefault="00295C46" w:rsidP="00295C46">
      <w:r>
        <w:t xml:space="preserve">The authors would also like to thank Tiggy Grillo, Steve Unwin and Clare Death from Wildlife Health Australia for their discussions and provision of information and advice. </w:t>
      </w:r>
    </w:p>
    <w:p w14:paraId="2EF9A59B" w14:textId="08385CCE" w:rsidR="00843C86" w:rsidRPr="00243764" w:rsidRDefault="00295C46" w:rsidP="00295C46">
      <w:r>
        <w:t>Sally Salmon and Adam Kay from Agriculture Victoria provided useful documents outlining previous assessments of wildlife disease priorities and hazards.</w:t>
      </w:r>
    </w:p>
    <w:p w14:paraId="3A52EDD8" w14:textId="2DF1A2C7" w:rsidR="00422EA7" w:rsidRDefault="00CC33D8" w:rsidP="003004D9">
      <w:r>
        <w:t xml:space="preserve">Geoff Heard, Keren Cox-Witton, Lindy Lumsden, Steve Griffiths, </w:t>
      </w:r>
      <w:r w:rsidR="00726709">
        <w:t xml:space="preserve">Nicola Bail, </w:t>
      </w:r>
      <w:r>
        <w:t xml:space="preserve">Andre Chiaradia and Thierry </w:t>
      </w:r>
      <w:proofErr w:type="spellStart"/>
      <w:r>
        <w:t>Boulinier</w:t>
      </w:r>
      <w:proofErr w:type="spellEnd"/>
      <w:r>
        <w:t xml:space="preserve"> provided valuable feedback on the disease impact case studies.</w:t>
      </w:r>
      <w:r w:rsidR="00FE4AD6">
        <w:t xml:space="preserve">  We also thank Ben Fanson and Simone Stevenson (ARI) for providing valuable feedback on a draft of this report.</w:t>
      </w:r>
    </w:p>
    <w:p w14:paraId="6243CC0B" w14:textId="03FEDA6B" w:rsidR="00FE4AD6" w:rsidRDefault="00FE4AD6" w:rsidP="003004D9"/>
    <w:p w14:paraId="1A7B5CB3" w14:textId="77777777" w:rsidR="003004D9" w:rsidRDefault="003004D9" w:rsidP="003004D9"/>
    <w:p w14:paraId="09A001B8" w14:textId="77777777" w:rsidR="003004D9" w:rsidRPr="003004D9" w:rsidRDefault="003004D9" w:rsidP="003004D9">
      <w:pPr>
        <w:sectPr w:rsidR="003004D9" w:rsidRPr="003004D9" w:rsidSect="00DC304D">
          <w:footerReference w:type="first" r:id="rId34"/>
          <w:pgSz w:w="11907" w:h="16840" w:code="9"/>
          <w:pgMar w:top="1134" w:right="1134" w:bottom="1134" w:left="1134" w:header="709" w:footer="567" w:gutter="0"/>
          <w:pgNumType w:fmt="lowerRoman" w:start="2"/>
          <w:cols w:space="708"/>
          <w:formProt w:val="0"/>
          <w:titlePg/>
          <w:docGrid w:linePitch="360"/>
        </w:sectPr>
      </w:pPr>
    </w:p>
    <w:p w14:paraId="5A6E9648" w14:textId="77777777" w:rsidR="004578FA" w:rsidRPr="00FE4E7A" w:rsidRDefault="004578FA" w:rsidP="00B2382F">
      <w:pPr>
        <w:pStyle w:val="TOCtitle"/>
        <w:rPr>
          <w:b w:val="0"/>
          <w:bCs/>
          <w:sz w:val="40"/>
          <w:szCs w:val="40"/>
        </w:rPr>
      </w:pPr>
      <w:r w:rsidRPr="00FE4E7A">
        <w:rPr>
          <w:b w:val="0"/>
          <w:bCs/>
          <w:sz w:val="40"/>
          <w:szCs w:val="40"/>
        </w:rPr>
        <w:lastRenderedPageBreak/>
        <w:t>C</w:t>
      </w:r>
      <w:r w:rsidR="00B025B6" w:rsidRPr="00FE4E7A">
        <w:rPr>
          <w:b w:val="0"/>
          <w:bCs/>
          <w:sz w:val="40"/>
          <w:szCs w:val="40"/>
        </w:rPr>
        <w:t>ontents</w:t>
      </w:r>
    </w:p>
    <w:p w14:paraId="1DDD4763" w14:textId="4DF65AE7" w:rsidR="00592EEF" w:rsidRDefault="007C0E99">
      <w:pPr>
        <w:pStyle w:val="TOC1"/>
        <w:rPr>
          <w:rFonts w:asciiTheme="minorHAnsi" w:eastAsiaTheme="minorEastAsia" w:hAnsiTheme="minorHAnsi" w:cstheme="minorBidi"/>
          <w:b w:val="0"/>
          <w:color w:val="auto"/>
          <w:kern w:val="2"/>
          <w:sz w:val="24"/>
          <w:lang w:val="en-AU"/>
          <w14:ligatures w14:val="standardContextual"/>
        </w:rPr>
      </w:pPr>
      <w:r>
        <w:fldChar w:fldCharType="begin"/>
      </w:r>
      <w:r w:rsidRPr="00FE4E7A">
        <w:rPr>
          <w:b w:val="0"/>
          <w:color w:val="auto"/>
        </w:rPr>
        <w:instrText xml:space="preserve"> TOC \t "Heading 1,1,Heading 2,2,Heading 3,3,Heading 3 - Numbered,3,Heading 2 - Numbered,2,Heading 1 - Numbered,1,TOC_title,1" </w:instrText>
      </w:r>
      <w:r>
        <w:fldChar w:fldCharType="separate"/>
      </w:r>
      <w:r w:rsidR="00592EEF" w:rsidRPr="00DB27D4">
        <w:rPr>
          <w:b w:val="0"/>
          <w:bCs/>
        </w:rPr>
        <w:t>Acknowledgements</w:t>
      </w:r>
      <w:r w:rsidR="00592EEF">
        <w:tab/>
      </w:r>
      <w:r w:rsidR="00592EEF">
        <w:fldChar w:fldCharType="begin"/>
      </w:r>
      <w:r w:rsidR="00592EEF">
        <w:instrText xml:space="preserve"> PAGEREF _Toc198634092 \h </w:instrText>
      </w:r>
      <w:r w:rsidR="00592EEF">
        <w:fldChar w:fldCharType="separate"/>
      </w:r>
      <w:r w:rsidR="00A03F72">
        <w:t>ii</w:t>
      </w:r>
      <w:r w:rsidR="00592EEF">
        <w:fldChar w:fldCharType="end"/>
      </w:r>
    </w:p>
    <w:p w14:paraId="4D085869" w14:textId="4532BAAA" w:rsidR="00592EEF" w:rsidRDefault="00592EEF">
      <w:pPr>
        <w:pStyle w:val="TOC1"/>
        <w:rPr>
          <w:rFonts w:asciiTheme="minorHAnsi" w:eastAsiaTheme="minorEastAsia" w:hAnsiTheme="minorHAnsi" w:cstheme="minorBidi"/>
          <w:b w:val="0"/>
          <w:color w:val="auto"/>
          <w:kern w:val="2"/>
          <w:sz w:val="24"/>
          <w:lang w:val="en-AU"/>
          <w14:ligatures w14:val="standardContextual"/>
        </w:rPr>
      </w:pPr>
      <w:r>
        <w:t>Summary</w:t>
      </w:r>
      <w:r>
        <w:tab/>
      </w:r>
      <w:r>
        <w:fldChar w:fldCharType="begin"/>
      </w:r>
      <w:r>
        <w:instrText xml:space="preserve"> PAGEREF _Toc198634093 \h </w:instrText>
      </w:r>
      <w:r>
        <w:fldChar w:fldCharType="separate"/>
      </w:r>
      <w:r w:rsidR="00A03F72">
        <w:t>9</w:t>
      </w:r>
      <w:r>
        <w:fldChar w:fldCharType="end"/>
      </w:r>
    </w:p>
    <w:p w14:paraId="54349DDE" w14:textId="364E72D7" w:rsidR="00592EEF" w:rsidRDefault="00592EEF">
      <w:pPr>
        <w:pStyle w:val="TOC1"/>
        <w:rPr>
          <w:rFonts w:asciiTheme="minorHAnsi" w:eastAsiaTheme="minorEastAsia" w:hAnsiTheme="minorHAnsi" w:cstheme="minorBidi"/>
          <w:b w:val="0"/>
          <w:color w:val="auto"/>
          <w:kern w:val="2"/>
          <w:sz w:val="24"/>
          <w:lang w:val="en-AU"/>
          <w14:ligatures w14:val="standardContextual"/>
        </w:rPr>
      </w:pPr>
      <w:r>
        <w:t>1</w:t>
      </w:r>
      <w:r>
        <w:rPr>
          <w:rFonts w:asciiTheme="minorHAnsi" w:eastAsiaTheme="minorEastAsia" w:hAnsiTheme="minorHAnsi" w:cstheme="minorBidi"/>
          <w:b w:val="0"/>
          <w:color w:val="auto"/>
          <w:kern w:val="2"/>
          <w:sz w:val="24"/>
          <w:lang w:val="en-AU"/>
          <w14:ligatures w14:val="standardContextual"/>
        </w:rPr>
        <w:tab/>
      </w:r>
      <w:r>
        <w:t>Introduction</w:t>
      </w:r>
      <w:r>
        <w:tab/>
      </w:r>
      <w:r>
        <w:fldChar w:fldCharType="begin"/>
      </w:r>
      <w:r>
        <w:instrText xml:space="preserve"> PAGEREF _Toc198634094 \h </w:instrText>
      </w:r>
      <w:r>
        <w:fldChar w:fldCharType="separate"/>
      </w:r>
      <w:r w:rsidR="00A03F72">
        <w:t>11</w:t>
      </w:r>
      <w:r>
        <w:fldChar w:fldCharType="end"/>
      </w:r>
    </w:p>
    <w:p w14:paraId="019932CE" w14:textId="47A0FB88" w:rsidR="00592EEF" w:rsidRDefault="00592EEF">
      <w:pPr>
        <w:pStyle w:val="TOC2"/>
        <w:rPr>
          <w:rFonts w:asciiTheme="minorHAnsi" w:eastAsiaTheme="minorEastAsia" w:hAnsiTheme="minorHAnsi" w:cstheme="minorBidi"/>
          <w:bCs w:val="0"/>
          <w:kern w:val="2"/>
          <w:sz w:val="24"/>
          <w:szCs w:val="24"/>
          <w14:ligatures w14:val="standardContextual"/>
        </w:rPr>
      </w:pPr>
      <w:r>
        <w:t>1.1</w:t>
      </w:r>
      <w:r>
        <w:rPr>
          <w:rFonts w:asciiTheme="minorHAnsi" w:eastAsiaTheme="minorEastAsia" w:hAnsiTheme="minorHAnsi" w:cstheme="minorBidi"/>
          <w:bCs w:val="0"/>
          <w:kern w:val="2"/>
          <w:sz w:val="24"/>
          <w:szCs w:val="24"/>
          <w14:ligatures w14:val="standardContextual"/>
        </w:rPr>
        <w:tab/>
      </w:r>
      <w:r>
        <w:t>Aims</w:t>
      </w:r>
      <w:r>
        <w:tab/>
      </w:r>
      <w:r>
        <w:fldChar w:fldCharType="begin"/>
      </w:r>
      <w:r>
        <w:instrText xml:space="preserve"> PAGEREF _Toc198634095 \h </w:instrText>
      </w:r>
      <w:r>
        <w:fldChar w:fldCharType="separate"/>
      </w:r>
      <w:r w:rsidR="00A03F72">
        <w:t>12</w:t>
      </w:r>
      <w:r>
        <w:fldChar w:fldCharType="end"/>
      </w:r>
    </w:p>
    <w:p w14:paraId="6D3EC48D" w14:textId="4350A585" w:rsidR="00592EEF" w:rsidRDefault="00592EEF">
      <w:pPr>
        <w:pStyle w:val="TOC1"/>
        <w:rPr>
          <w:rFonts w:asciiTheme="minorHAnsi" w:eastAsiaTheme="minorEastAsia" w:hAnsiTheme="minorHAnsi" w:cstheme="minorBidi"/>
          <w:b w:val="0"/>
          <w:color w:val="auto"/>
          <w:kern w:val="2"/>
          <w:sz w:val="24"/>
          <w:lang w:val="en-AU"/>
          <w14:ligatures w14:val="standardContextual"/>
        </w:rPr>
      </w:pPr>
      <w:r>
        <w:t>2</w:t>
      </w:r>
      <w:r>
        <w:rPr>
          <w:rFonts w:asciiTheme="minorHAnsi" w:eastAsiaTheme="minorEastAsia" w:hAnsiTheme="minorHAnsi" w:cstheme="minorBidi"/>
          <w:b w:val="0"/>
          <w:color w:val="auto"/>
          <w:kern w:val="2"/>
          <w:sz w:val="24"/>
          <w:lang w:val="en-AU"/>
          <w14:ligatures w14:val="standardContextual"/>
        </w:rPr>
        <w:tab/>
      </w:r>
      <w:r>
        <w:t>Methods</w:t>
      </w:r>
      <w:r>
        <w:tab/>
      </w:r>
      <w:r>
        <w:fldChar w:fldCharType="begin"/>
      </w:r>
      <w:r>
        <w:instrText xml:space="preserve"> PAGEREF _Toc198634096 \h </w:instrText>
      </w:r>
      <w:r>
        <w:fldChar w:fldCharType="separate"/>
      </w:r>
      <w:r w:rsidR="00A03F72">
        <w:t>12</w:t>
      </w:r>
      <w:r>
        <w:fldChar w:fldCharType="end"/>
      </w:r>
    </w:p>
    <w:p w14:paraId="1C074C83" w14:textId="53FEB77E" w:rsidR="00592EEF" w:rsidRDefault="00592EEF">
      <w:pPr>
        <w:pStyle w:val="TOC2"/>
        <w:rPr>
          <w:rFonts w:asciiTheme="minorHAnsi" w:eastAsiaTheme="minorEastAsia" w:hAnsiTheme="minorHAnsi" w:cstheme="minorBidi"/>
          <w:bCs w:val="0"/>
          <w:kern w:val="2"/>
          <w:sz w:val="24"/>
          <w:szCs w:val="24"/>
          <w14:ligatures w14:val="standardContextual"/>
        </w:rPr>
      </w:pPr>
      <w:r>
        <w:t>2.1</w:t>
      </w:r>
      <w:r>
        <w:rPr>
          <w:rFonts w:asciiTheme="minorHAnsi" w:eastAsiaTheme="minorEastAsia" w:hAnsiTheme="minorHAnsi" w:cstheme="minorBidi"/>
          <w:bCs w:val="0"/>
          <w:kern w:val="2"/>
          <w:sz w:val="24"/>
          <w:szCs w:val="24"/>
          <w14:ligatures w14:val="standardContextual"/>
        </w:rPr>
        <w:tab/>
      </w:r>
      <w:r>
        <w:t>Wildlife disease risk analysis (WDRA)</w:t>
      </w:r>
      <w:r>
        <w:tab/>
      </w:r>
      <w:r>
        <w:fldChar w:fldCharType="begin"/>
      </w:r>
      <w:r>
        <w:instrText xml:space="preserve"> PAGEREF _Toc198634097 \h </w:instrText>
      </w:r>
      <w:r>
        <w:fldChar w:fldCharType="separate"/>
      </w:r>
      <w:r w:rsidR="00A03F72">
        <w:t>12</w:t>
      </w:r>
      <w:r>
        <w:fldChar w:fldCharType="end"/>
      </w:r>
    </w:p>
    <w:p w14:paraId="5F0F0332" w14:textId="37FB4EE0" w:rsidR="00592EEF" w:rsidRDefault="00592EEF">
      <w:pPr>
        <w:pStyle w:val="TOC3"/>
        <w:rPr>
          <w:rFonts w:asciiTheme="minorHAnsi" w:eastAsiaTheme="minorEastAsia" w:hAnsiTheme="minorHAnsi" w:cstheme="minorBidi"/>
          <w:kern w:val="2"/>
          <w:sz w:val="24"/>
          <w14:ligatures w14:val="standardContextual"/>
        </w:rPr>
      </w:pPr>
      <w:r>
        <w:t>2.1.1</w:t>
      </w:r>
      <w:r>
        <w:rPr>
          <w:rFonts w:asciiTheme="minorHAnsi" w:eastAsiaTheme="minorEastAsia" w:hAnsiTheme="minorHAnsi" w:cstheme="minorBidi"/>
          <w:kern w:val="2"/>
          <w:sz w:val="24"/>
          <w14:ligatures w14:val="standardContextual"/>
        </w:rPr>
        <w:tab/>
      </w:r>
      <w:r>
        <w:t>WDRA purpose</w:t>
      </w:r>
      <w:r>
        <w:tab/>
      </w:r>
      <w:r>
        <w:fldChar w:fldCharType="begin"/>
      </w:r>
      <w:r>
        <w:instrText xml:space="preserve"> PAGEREF _Toc198634098 \h </w:instrText>
      </w:r>
      <w:r>
        <w:fldChar w:fldCharType="separate"/>
      </w:r>
      <w:r w:rsidR="00A03F72">
        <w:t>13</w:t>
      </w:r>
      <w:r>
        <w:fldChar w:fldCharType="end"/>
      </w:r>
    </w:p>
    <w:p w14:paraId="5DFA8B8D" w14:textId="0D3032DD" w:rsidR="00592EEF" w:rsidRDefault="00592EEF">
      <w:pPr>
        <w:pStyle w:val="TOC3"/>
        <w:rPr>
          <w:rFonts w:asciiTheme="minorHAnsi" w:eastAsiaTheme="minorEastAsia" w:hAnsiTheme="minorHAnsi" w:cstheme="minorBidi"/>
          <w:kern w:val="2"/>
          <w:sz w:val="24"/>
          <w14:ligatures w14:val="standardContextual"/>
        </w:rPr>
      </w:pPr>
      <w:r>
        <w:t>2.1.2</w:t>
      </w:r>
      <w:r>
        <w:rPr>
          <w:rFonts w:asciiTheme="minorHAnsi" w:eastAsiaTheme="minorEastAsia" w:hAnsiTheme="minorHAnsi" w:cstheme="minorBidi"/>
          <w:kern w:val="2"/>
          <w:sz w:val="24"/>
          <w14:ligatures w14:val="standardContextual"/>
        </w:rPr>
        <w:tab/>
      </w:r>
      <w:r>
        <w:t>WDRA aims</w:t>
      </w:r>
      <w:r>
        <w:tab/>
      </w:r>
      <w:r>
        <w:fldChar w:fldCharType="begin"/>
      </w:r>
      <w:r>
        <w:instrText xml:space="preserve"> PAGEREF _Toc198634099 \h </w:instrText>
      </w:r>
      <w:r>
        <w:fldChar w:fldCharType="separate"/>
      </w:r>
      <w:r w:rsidR="00A03F72">
        <w:t>13</w:t>
      </w:r>
      <w:r>
        <w:fldChar w:fldCharType="end"/>
      </w:r>
    </w:p>
    <w:p w14:paraId="6FC879C2" w14:textId="066AEFF2" w:rsidR="00592EEF" w:rsidRDefault="00592EEF">
      <w:pPr>
        <w:pStyle w:val="TOC3"/>
        <w:rPr>
          <w:rFonts w:asciiTheme="minorHAnsi" w:eastAsiaTheme="minorEastAsia" w:hAnsiTheme="minorHAnsi" w:cstheme="minorBidi"/>
          <w:kern w:val="2"/>
          <w:sz w:val="24"/>
          <w14:ligatures w14:val="standardContextual"/>
        </w:rPr>
      </w:pPr>
      <w:r>
        <w:t>2.1.3</w:t>
      </w:r>
      <w:r>
        <w:rPr>
          <w:rFonts w:asciiTheme="minorHAnsi" w:eastAsiaTheme="minorEastAsia" w:hAnsiTheme="minorHAnsi" w:cstheme="minorBidi"/>
          <w:kern w:val="2"/>
          <w:sz w:val="24"/>
          <w14:ligatures w14:val="standardContextual"/>
        </w:rPr>
        <w:tab/>
      </w:r>
      <w:r>
        <w:t>WDRA components</w:t>
      </w:r>
      <w:r>
        <w:tab/>
      </w:r>
      <w:r>
        <w:fldChar w:fldCharType="begin"/>
      </w:r>
      <w:r>
        <w:instrText xml:space="preserve"> PAGEREF _Toc198634100 \h </w:instrText>
      </w:r>
      <w:r>
        <w:fldChar w:fldCharType="separate"/>
      </w:r>
      <w:r w:rsidR="00A03F72">
        <w:t>13</w:t>
      </w:r>
      <w:r>
        <w:fldChar w:fldCharType="end"/>
      </w:r>
    </w:p>
    <w:p w14:paraId="78F40A00" w14:textId="0E31AD6B" w:rsidR="00592EEF" w:rsidRDefault="00592EEF">
      <w:pPr>
        <w:pStyle w:val="TOC3"/>
        <w:rPr>
          <w:rFonts w:asciiTheme="minorHAnsi" w:eastAsiaTheme="minorEastAsia" w:hAnsiTheme="minorHAnsi" w:cstheme="minorBidi"/>
          <w:kern w:val="2"/>
          <w:sz w:val="24"/>
          <w14:ligatures w14:val="standardContextual"/>
        </w:rPr>
      </w:pPr>
      <w:r>
        <w:t>2.1.4</w:t>
      </w:r>
      <w:r>
        <w:rPr>
          <w:rFonts w:asciiTheme="minorHAnsi" w:eastAsiaTheme="minorEastAsia" w:hAnsiTheme="minorHAnsi" w:cstheme="minorBidi"/>
          <w:kern w:val="2"/>
          <w:sz w:val="24"/>
          <w14:ligatures w14:val="standardContextual"/>
        </w:rPr>
        <w:tab/>
      </w:r>
      <w:r>
        <w:t>Assumptions and limitations</w:t>
      </w:r>
      <w:r>
        <w:tab/>
      </w:r>
      <w:r>
        <w:fldChar w:fldCharType="begin"/>
      </w:r>
      <w:r>
        <w:instrText xml:space="preserve"> PAGEREF _Toc198634101 \h </w:instrText>
      </w:r>
      <w:r>
        <w:fldChar w:fldCharType="separate"/>
      </w:r>
      <w:r w:rsidR="00A03F72">
        <w:t>17</w:t>
      </w:r>
      <w:r>
        <w:fldChar w:fldCharType="end"/>
      </w:r>
    </w:p>
    <w:p w14:paraId="45308C06" w14:textId="1C40939C" w:rsidR="00592EEF" w:rsidRDefault="00592EEF">
      <w:pPr>
        <w:pStyle w:val="TOC3"/>
        <w:rPr>
          <w:rFonts w:asciiTheme="minorHAnsi" w:eastAsiaTheme="minorEastAsia" w:hAnsiTheme="minorHAnsi" w:cstheme="minorBidi"/>
          <w:kern w:val="2"/>
          <w:sz w:val="24"/>
          <w14:ligatures w14:val="standardContextual"/>
        </w:rPr>
      </w:pPr>
      <w:r>
        <w:t>2.1.5</w:t>
      </w:r>
      <w:r>
        <w:rPr>
          <w:rFonts w:asciiTheme="minorHAnsi" w:eastAsiaTheme="minorEastAsia" w:hAnsiTheme="minorHAnsi" w:cstheme="minorBidi"/>
          <w:kern w:val="2"/>
          <w:sz w:val="24"/>
          <w14:ligatures w14:val="standardContextual"/>
        </w:rPr>
        <w:tab/>
      </w:r>
      <w:r>
        <w:t>Other useful documentation</w:t>
      </w:r>
      <w:r>
        <w:tab/>
      </w:r>
      <w:r>
        <w:fldChar w:fldCharType="begin"/>
      </w:r>
      <w:r>
        <w:instrText xml:space="preserve"> PAGEREF _Toc198634102 \h </w:instrText>
      </w:r>
      <w:r>
        <w:fldChar w:fldCharType="separate"/>
      </w:r>
      <w:r w:rsidR="00A03F72">
        <w:t>18</w:t>
      </w:r>
      <w:r>
        <w:fldChar w:fldCharType="end"/>
      </w:r>
    </w:p>
    <w:p w14:paraId="72789CEA" w14:textId="5EF4FDB6" w:rsidR="00592EEF" w:rsidRDefault="00592EEF">
      <w:pPr>
        <w:pStyle w:val="TOC3"/>
        <w:rPr>
          <w:rFonts w:asciiTheme="minorHAnsi" w:eastAsiaTheme="minorEastAsia" w:hAnsiTheme="minorHAnsi" w:cstheme="minorBidi"/>
          <w:kern w:val="2"/>
          <w:sz w:val="24"/>
          <w14:ligatures w14:val="standardContextual"/>
        </w:rPr>
      </w:pPr>
      <w:r>
        <w:t>2.1.6</w:t>
      </w:r>
      <w:r>
        <w:rPr>
          <w:rFonts w:asciiTheme="minorHAnsi" w:eastAsiaTheme="minorEastAsia" w:hAnsiTheme="minorHAnsi" w:cstheme="minorBidi"/>
          <w:kern w:val="2"/>
          <w:sz w:val="24"/>
          <w14:ligatures w14:val="standardContextual"/>
        </w:rPr>
        <w:tab/>
      </w:r>
      <w:r>
        <w:t>Implementation and review</w:t>
      </w:r>
      <w:r>
        <w:tab/>
      </w:r>
      <w:r>
        <w:fldChar w:fldCharType="begin"/>
      </w:r>
      <w:r>
        <w:instrText xml:space="preserve"> PAGEREF _Toc198634103 \h </w:instrText>
      </w:r>
      <w:r>
        <w:fldChar w:fldCharType="separate"/>
      </w:r>
      <w:r w:rsidR="00A03F72">
        <w:t>18</w:t>
      </w:r>
      <w:r>
        <w:fldChar w:fldCharType="end"/>
      </w:r>
    </w:p>
    <w:p w14:paraId="1828BBF0" w14:textId="1E73E5D1" w:rsidR="00592EEF" w:rsidRDefault="00592EEF">
      <w:pPr>
        <w:pStyle w:val="TOC2"/>
        <w:rPr>
          <w:rFonts w:asciiTheme="minorHAnsi" w:eastAsiaTheme="minorEastAsia" w:hAnsiTheme="minorHAnsi" w:cstheme="minorBidi"/>
          <w:bCs w:val="0"/>
          <w:kern w:val="2"/>
          <w:sz w:val="24"/>
          <w:szCs w:val="24"/>
          <w14:ligatures w14:val="standardContextual"/>
        </w:rPr>
      </w:pPr>
      <w:r>
        <w:t>2.2</w:t>
      </w:r>
      <w:r>
        <w:rPr>
          <w:rFonts w:asciiTheme="minorHAnsi" w:eastAsiaTheme="minorEastAsia" w:hAnsiTheme="minorHAnsi" w:cstheme="minorBidi"/>
          <w:bCs w:val="0"/>
          <w:kern w:val="2"/>
          <w:sz w:val="24"/>
          <w:szCs w:val="24"/>
          <w14:ligatures w14:val="standardContextual"/>
        </w:rPr>
        <w:tab/>
      </w:r>
      <w:r>
        <w:t>Modelling disease impacts and potential mitigation options</w:t>
      </w:r>
      <w:r>
        <w:tab/>
      </w:r>
      <w:r>
        <w:fldChar w:fldCharType="begin"/>
      </w:r>
      <w:r>
        <w:instrText xml:space="preserve"> PAGEREF _Toc198634104 \h </w:instrText>
      </w:r>
      <w:r>
        <w:fldChar w:fldCharType="separate"/>
      </w:r>
      <w:r w:rsidR="00A03F72">
        <w:t>18</w:t>
      </w:r>
      <w:r>
        <w:fldChar w:fldCharType="end"/>
      </w:r>
    </w:p>
    <w:p w14:paraId="6DBEB4A3" w14:textId="56B9E128" w:rsidR="00592EEF" w:rsidRDefault="00592EEF">
      <w:pPr>
        <w:pStyle w:val="TOC3"/>
        <w:rPr>
          <w:rFonts w:asciiTheme="minorHAnsi" w:eastAsiaTheme="minorEastAsia" w:hAnsiTheme="minorHAnsi" w:cstheme="minorBidi"/>
          <w:kern w:val="2"/>
          <w:sz w:val="24"/>
          <w14:ligatures w14:val="standardContextual"/>
        </w:rPr>
      </w:pPr>
      <w:r>
        <w:t>2.2.1</w:t>
      </w:r>
      <w:r>
        <w:rPr>
          <w:rFonts w:asciiTheme="minorHAnsi" w:eastAsiaTheme="minorEastAsia" w:hAnsiTheme="minorHAnsi" w:cstheme="minorBidi"/>
          <w:kern w:val="2"/>
          <w:sz w:val="24"/>
          <w14:ligatures w14:val="standardContextual"/>
        </w:rPr>
        <w:tab/>
      </w:r>
      <w:r>
        <w:t>Modelling components</w:t>
      </w:r>
      <w:r>
        <w:tab/>
      </w:r>
      <w:r>
        <w:fldChar w:fldCharType="begin"/>
      </w:r>
      <w:r>
        <w:instrText xml:space="preserve"> PAGEREF _Toc198634105 \h </w:instrText>
      </w:r>
      <w:r>
        <w:fldChar w:fldCharType="separate"/>
      </w:r>
      <w:r w:rsidR="00A03F72">
        <w:t>19</w:t>
      </w:r>
      <w:r>
        <w:fldChar w:fldCharType="end"/>
      </w:r>
    </w:p>
    <w:p w14:paraId="4824B1DF" w14:textId="7322C05D" w:rsidR="00592EEF" w:rsidRDefault="00592EEF">
      <w:pPr>
        <w:pStyle w:val="TOC1"/>
        <w:rPr>
          <w:rFonts w:asciiTheme="minorHAnsi" w:eastAsiaTheme="minorEastAsia" w:hAnsiTheme="minorHAnsi" w:cstheme="minorBidi"/>
          <w:b w:val="0"/>
          <w:color w:val="auto"/>
          <w:kern w:val="2"/>
          <w:sz w:val="24"/>
          <w:lang w:val="en-AU"/>
          <w14:ligatures w14:val="standardContextual"/>
        </w:rPr>
      </w:pPr>
      <w:r>
        <w:t>3</w:t>
      </w:r>
      <w:r>
        <w:rPr>
          <w:rFonts w:asciiTheme="minorHAnsi" w:eastAsiaTheme="minorEastAsia" w:hAnsiTheme="minorHAnsi" w:cstheme="minorBidi"/>
          <w:b w:val="0"/>
          <w:color w:val="auto"/>
          <w:kern w:val="2"/>
          <w:sz w:val="24"/>
          <w:lang w:val="en-AU"/>
          <w14:ligatures w14:val="standardContextual"/>
        </w:rPr>
        <w:tab/>
      </w:r>
      <w:r>
        <w:t>Results</w:t>
      </w:r>
      <w:r>
        <w:tab/>
      </w:r>
      <w:r>
        <w:fldChar w:fldCharType="begin"/>
      </w:r>
      <w:r>
        <w:instrText xml:space="preserve"> PAGEREF _Toc198634106 \h </w:instrText>
      </w:r>
      <w:r>
        <w:fldChar w:fldCharType="separate"/>
      </w:r>
      <w:r w:rsidR="00A03F72">
        <w:t>22</w:t>
      </w:r>
      <w:r>
        <w:fldChar w:fldCharType="end"/>
      </w:r>
    </w:p>
    <w:p w14:paraId="42C89E24" w14:textId="4213C7EF" w:rsidR="00592EEF" w:rsidRDefault="00592EEF">
      <w:pPr>
        <w:pStyle w:val="TOC2"/>
        <w:rPr>
          <w:rFonts w:asciiTheme="minorHAnsi" w:eastAsiaTheme="minorEastAsia" w:hAnsiTheme="minorHAnsi" w:cstheme="minorBidi"/>
          <w:bCs w:val="0"/>
          <w:kern w:val="2"/>
          <w:sz w:val="24"/>
          <w:szCs w:val="24"/>
          <w14:ligatures w14:val="standardContextual"/>
        </w:rPr>
      </w:pPr>
      <w:r>
        <w:t>3.1</w:t>
      </w:r>
      <w:r>
        <w:rPr>
          <w:rFonts w:asciiTheme="minorHAnsi" w:eastAsiaTheme="minorEastAsia" w:hAnsiTheme="minorHAnsi" w:cstheme="minorBidi"/>
          <w:bCs w:val="0"/>
          <w:kern w:val="2"/>
          <w:sz w:val="24"/>
          <w:szCs w:val="24"/>
          <w14:ligatures w14:val="standardContextual"/>
        </w:rPr>
        <w:tab/>
      </w:r>
      <w:r>
        <w:t>WDRA – general results</w:t>
      </w:r>
      <w:r>
        <w:tab/>
      </w:r>
      <w:r>
        <w:fldChar w:fldCharType="begin"/>
      </w:r>
      <w:r>
        <w:instrText xml:space="preserve"> PAGEREF _Toc198634107 \h </w:instrText>
      </w:r>
      <w:r>
        <w:fldChar w:fldCharType="separate"/>
      </w:r>
      <w:r w:rsidR="00A03F72">
        <w:t>22</w:t>
      </w:r>
      <w:r>
        <w:fldChar w:fldCharType="end"/>
      </w:r>
    </w:p>
    <w:p w14:paraId="256794A9" w14:textId="271E07FA" w:rsidR="00592EEF" w:rsidRDefault="00592EEF">
      <w:pPr>
        <w:pStyle w:val="TOC2"/>
        <w:rPr>
          <w:rFonts w:asciiTheme="minorHAnsi" w:eastAsiaTheme="minorEastAsia" w:hAnsiTheme="minorHAnsi" w:cstheme="minorBidi"/>
          <w:bCs w:val="0"/>
          <w:kern w:val="2"/>
          <w:sz w:val="24"/>
          <w:szCs w:val="24"/>
          <w14:ligatures w14:val="standardContextual"/>
        </w:rPr>
      </w:pPr>
      <w:r>
        <w:t>3.2</w:t>
      </w:r>
      <w:r>
        <w:rPr>
          <w:rFonts w:asciiTheme="minorHAnsi" w:eastAsiaTheme="minorEastAsia" w:hAnsiTheme="minorHAnsi" w:cstheme="minorBidi"/>
          <w:bCs w:val="0"/>
          <w:kern w:val="2"/>
          <w:sz w:val="24"/>
          <w:szCs w:val="24"/>
          <w14:ligatures w14:val="standardContextual"/>
        </w:rPr>
        <w:tab/>
      </w:r>
      <w:r>
        <w:t>Conservation risks</w:t>
      </w:r>
      <w:r>
        <w:tab/>
      </w:r>
      <w:r>
        <w:fldChar w:fldCharType="begin"/>
      </w:r>
      <w:r>
        <w:instrText xml:space="preserve"> PAGEREF _Toc198634108 \h </w:instrText>
      </w:r>
      <w:r>
        <w:fldChar w:fldCharType="separate"/>
      </w:r>
      <w:r w:rsidR="00A03F72">
        <w:t>23</w:t>
      </w:r>
      <w:r>
        <w:fldChar w:fldCharType="end"/>
      </w:r>
    </w:p>
    <w:p w14:paraId="11BED91C" w14:textId="0E4B1CBC" w:rsidR="00592EEF" w:rsidRDefault="00592EEF">
      <w:pPr>
        <w:pStyle w:val="TOC2"/>
        <w:rPr>
          <w:rFonts w:asciiTheme="minorHAnsi" w:eastAsiaTheme="minorEastAsia" w:hAnsiTheme="minorHAnsi" w:cstheme="minorBidi"/>
          <w:bCs w:val="0"/>
          <w:kern w:val="2"/>
          <w:sz w:val="24"/>
          <w:szCs w:val="24"/>
          <w14:ligatures w14:val="standardContextual"/>
        </w:rPr>
      </w:pPr>
      <w:r>
        <w:t>3.3</w:t>
      </w:r>
      <w:r>
        <w:rPr>
          <w:rFonts w:asciiTheme="minorHAnsi" w:eastAsiaTheme="minorEastAsia" w:hAnsiTheme="minorHAnsi" w:cstheme="minorBidi"/>
          <w:bCs w:val="0"/>
          <w:kern w:val="2"/>
          <w:sz w:val="24"/>
          <w:szCs w:val="24"/>
          <w14:ligatures w14:val="standardContextual"/>
        </w:rPr>
        <w:tab/>
      </w:r>
      <w:r>
        <w:t>Economic risks</w:t>
      </w:r>
      <w:r>
        <w:tab/>
      </w:r>
      <w:r>
        <w:fldChar w:fldCharType="begin"/>
      </w:r>
      <w:r>
        <w:instrText xml:space="preserve"> PAGEREF _Toc198634109 \h </w:instrText>
      </w:r>
      <w:r>
        <w:fldChar w:fldCharType="separate"/>
      </w:r>
      <w:r w:rsidR="00A03F72">
        <w:t>23</w:t>
      </w:r>
      <w:r>
        <w:fldChar w:fldCharType="end"/>
      </w:r>
    </w:p>
    <w:p w14:paraId="619BC61C" w14:textId="1BD39051" w:rsidR="00592EEF" w:rsidRDefault="00592EEF">
      <w:pPr>
        <w:pStyle w:val="TOC2"/>
        <w:rPr>
          <w:rFonts w:asciiTheme="minorHAnsi" w:eastAsiaTheme="minorEastAsia" w:hAnsiTheme="minorHAnsi" w:cstheme="minorBidi"/>
          <w:bCs w:val="0"/>
          <w:kern w:val="2"/>
          <w:sz w:val="24"/>
          <w:szCs w:val="24"/>
          <w14:ligatures w14:val="standardContextual"/>
        </w:rPr>
      </w:pPr>
      <w:r>
        <w:t>3.4</w:t>
      </w:r>
      <w:r>
        <w:rPr>
          <w:rFonts w:asciiTheme="minorHAnsi" w:eastAsiaTheme="minorEastAsia" w:hAnsiTheme="minorHAnsi" w:cstheme="minorBidi"/>
          <w:bCs w:val="0"/>
          <w:kern w:val="2"/>
          <w:sz w:val="24"/>
          <w:szCs w:val="24"/>
          <w14:ligatures w14:val="standardContextual"/>
        </w:rPr>
        <w:tab/>
      </w:r>
      <w:r>
        <w:t>Diseases of severe risk to high conservation status wildlife in Victoria</w:t>
      </w:r>
      <w:r>
        <w:tab/>
      </w:r>
      <w:r>
        <w:fldChar w:fldCharType="begin"/>
      </w:r>
      <w:r>
        <w:instrText xml:space="preserve"> PAGEREF _Toc198634110 \h </w:instrText>
      </w:r>
      <w:r>
        <w:fldChar w:fldCharType="separate"/>
      </w:r>
      <w:r w:rsidR="00A03F72">
        <w:t>26</w:t>
      </w:r>
      <w:r>
        <w:fldChar w:fldCharType="end"/>
      </w:r>
    </w:p>
    <w:p w14:paraId="300C1031" w14:textId="21E8C99A" w:rsidR="00592EEF" w:rsidRDefault="00592EEF">
      <w:pPr>
        <w:pStyle w:val="TOC2"/>
        <w:rPr>
          <w:rFonts w:asciiTheme="minorHAnsi" w:eastAsiaTheme="minorEastAsia" w:hAnsiTheme="minorHAnsi" w:cstheme="minorBidi"/>
          <w:bCs w:val="0"/>
          <w:kern w:val="2"/>
          <w:sz w:val="24"/>
          <w:szCs w:val="24"/>
          <w14:ligatures w14:val="standardContextual"/>
        </w:rPr>
      </w:pPr>
      <w:r>
        <w:t>3.5</w:t>
      </w:r>
      <w:r>
        <w:rPr>
          <w:rFonts w:asciiTheme="minorHAnsi" w:eastAsiaTheme="minorEastAsia" w:hAnsiTheme="minorHAnsi" w:cstheme="minorBidi"/>
          <w:bCs w:val="0"/>
          <w:kern w:val="2"/>
          <w:sz w:val="24"/>
          <w:szCs w:val="24"/>
          <w14:ligatures w14:val="standardContextual"/>
        </w:rPr>
        <w:tab/>
      </w:r>
      <w:r>
        <w:t>Modelling disease impacts and potential mitigation options</w:t>
      </w:r>
      <w:r>
        <w:tab/>
      </w:r>
      <w:r>
        <w:fldChar w:fldCharType="begin"/>
      </w:r>
      <w:r>
        <w:instrText xml:space="preserve"> PAGEREF _Toc198634111 \h </w:instrText>
      </w:r>
      <w:r>
        <w:fldChar w:fldCharType="separate"/>
      </w:r>
      <w:r w:rsidR="00A03F72">
        <w:t>29</w:t>
      </w:r>
      <w:r>
        <w:fldChar w:fldCharType="end"/>
      </w:r>
    </w:p>
    <w:p w14:paraId="59D5F07B" w14:textId="3E7167A0" w:rsidR="00592EEF" w:rsidRDefault="00592EEF">
      <w:pPr>
        <w:pStyle w:val="TOC3"/>
        <w:rPr>
          <w:rFonts w:asciiTheme="minorHAnsi" w:eastAsiaTheme="minorEastAsia" w:hAnsiTheme="minorHAnsi" w:cstheme="minorBidi"/>
          <w:kern w:val="2"/>
          <w:sz w:val="24"/>
          <w14:ligatures w14:val="standardContextual"/>
        </w:rPr>
      </w:pPr>
      <w:r>
        <w:t>3.5.1</w:t>
      </w:r>
      <w:r>
        <w:rPr>
          <w:rFonts w:asciiTheme="minorHAnsi" w:eastAsiaTheme="minorEastAsia" w:hAnsiTheme="minorHAnsi" w:cstheme="minorBidi"/>
          <w:kern w:val="2"/>
          <w:sz w:val="24"/>
          <w14:ligatures w14:val="standardContextual"/>
        </w:rPr>
        <w:tab/>
      </w:r>
      <w:r>
        <w:t>Foot and Mouth Disease in Feral Pigs</w:t>
      </w:r>
      <w:r>
        <w:tab/>
      </w:r>
      <w:r>
        <w:fldChar w:fldCharType="begin"/>
      </w:r>
      <w:r>
        <w:instrText xml:space="preserve"> PAGEREF _Toc198634112 \h </w:instrText>
      </w:r>
      <w:r>
        <w:fldChar w:fldCharType="separate"/>
      </w:r>
      <w:r w:rsidR="00A03F72">
        <w:t>29</w:t>
      </w:r>
      <w:r>
        <w:fldChar w:fldCharType="end"/>
      </w:r>
    </w:p>
    <w:p w14:paraId="7F777FDD" w14:textId="06726CFF" w:rsidR="00592EEF" w:rsidRDefault="00592EEF">
      <w:pPr>
        <w:pStyle w:val="TOC3"/>
        <w:rPr>
          <w:rFonts w:asciiTheme="minorHAnsi" w:eastAsiaTheme="minorEastAsia" w:hAnsiTheme="minorHAnsi" w:cstheme="minorBidi"/>
          <w:kern w:val="2"/>
          <w:sz w:val="24"/>
          <w14:ligatures w14:val="standardContextual"/>
        </w:rPr>
      </w:pPr>
      <w:r>
        <w:t>3.5.2</w:t>
      </w:r>
      <w:r>
        <w:rPr>
          <w:rFonts w:asciiTheme="minorHAnsi" w:eastAsiaTheme="minorEastAsia" w:hAnsiTheme="minorHAnsi" w:cstheme="minorBidi"/>
          <w:kern w:val="2"/>
          <w:sz w:val="24"/>
          <w14:ligatures w14:val="standardContextual"/>
        </w:rPr>
        <w:tab/>
      </w:r>
      <w:r>
        <w:t>Highly Pathogenic Avian Influenza in Little Penguins</w:t>
      </w:r>
      <w:r>
        <w:tab/>
      </w:r>
      <w:r>
        <w:fldChar w:fldCharType="begin"/>
      </w:r>
      <w:r>
        <w:instrText xml:space="preserve"> PAGEREF _Toc198634113 \h </w:instrText>
      </w:r>
      <w:r>
        <w:fldChar w:fldCharType="separate"/>
      </w:r>
      <w:r w:rsidR="00A03F72">
        <w:t>33</w:t>
      </w:r>
      <w:r>
        <w:fldChar w:fldCharType="end"/>
      </w:r>
    </w:p>
    <w:p w14:paraId="267131AE" w14:textId="268ED2DA" w:rsidR="00592EEF" w:rsidRDefault="00592EEF">
      <w:pPr>
        <w:pStyle w:val="TOC3"/>
        <w:rPr>
          <w:rFonts w:asciiTheme="minorHAnsi" w:eastAsiaTheme="minorEastAsia" w:hAnsiTheme="minorHAnsi" w:cstheme="minorBidi"/>
          <w:kern w:val="2"/>
          <w:sz w:val="24"/>
          <w14:ligatures w14:val="standardContextual"/>
        </w:rPr>
      </w:pPr>
      <w:r>
        <w:t>3.5.3</w:t>
      </w:r>
      <w:r>
        <w:rPr>
          <w:rFonts w:asciiTheme="minorHAnsi" w:eastAsiaTheme="minorEastAsia" w:hAnsiTheme="minorHAnsi" w:cstheme="minorBidi"/>
          <w:kern w:val="2"/>
          <w:sz w:val="24"/>
          <w14:ligatures w14:val="standardContextual"/>
        </w:rPr>
        <w:tab/>
      </w:r>
      <w:r>
        <w:t>White Nose Syndrome in Southern Bent-wing Bats</w:t>
      </w:r>
      <w:r>
        <w:tab/>
      </w:r>
      <w:r>
        <w:fldChar w:fldCharType="begin"/>
      </w:r>
      <w:r>
        <w:instrText xml:space="preserve"> PAGEREF _Toc198634114 \h </w:instrText>
      </w:r>
      <w:r>
        <w:fldChar w:fldCharType="separate"/>
      </w:r>
      <w:r w:rsidR="00A03F72">
        <w:t>38</w:t>
      </w:r>
      <w:r>
        <w:fldChar w:fldCharType="end"/>
      </w:r>
    </w:p>
    <w:p w14:paraId="5F8BA55E" w14:textId="1C6F1866" w:rsidR="00592EEF" w:rsidRDefault="00592EEF">
      <w:pPr>
        <w:pStyle w:val="TOC3"/>
        <w:rPr>
          <w:rFonts w:asciiTheme="minorHAnsi" w:eastAsiaTheme="minorEastAsia" w:hAnsiTheme="minorHAnsi" w:cstheme="minorBidi"/>
          <w:kern w:val="2"/>
          <w:sz w:val="24"/>
          <w14:ligatures w14:val="standardContextual"/>
        </w:rPr>
      </w:pPr>
      <w:r>
        <w:t>3.5.4</w:t>
      </w:r>
      <w:r>
        <w:rPr>
          <w:rFonts w:asciiTheme="minorHAnsi" w:eastAsiaTheme="minorEastAsia" w:hAnsiTheme="minorHAnsi" w:cstheme="minorBidi"/>
          <w:kern w:val="2"/>
          <w:sz w:val="24"/>
          <w14:ligatures w14:val="standardContextual"/>
        </w:rPr>
        <w:tab/>
      </w:r>
      <w:r>
        <w:t>Amphibian chytrid fungus in Bell Frogs</w:t>
      </w:r>
      <w:r>
        <w:tab/>
      </w:r>
      <w:r>
        <w:fldChar w:fldCharType="begin"/>
      </w:r>
      <w:r>
        <w:instrText xml:space="preserve"> PAGEREF _Toc198634115 \h </w:instrText>
      </w:r>
      <w:r>
        <w:fldChar w:fldCharType="separate"/>
      </w:r>
      <w:r w:rsidR="00A03F72">
        <w:t>44</w:t>
      </w:r>
      <w:r>
        <w:fldChar w:fldCharType="end"/>
      </w:r>
    </w:p>
    <w:p w14:paraId="0B53FA18" w14:textId="5EC4B320" w:rsidR="00592EEF" w:rsidRDefault="00592EEF">
      <w:pPr>
        <w:pStyle w:val="TOC1"/>
        <w:rPr>
          <w:rFonts w:asciiTheme="minorHAnsi" w:eastAsiaTheme="minorEastAsia" w:hAnsiTheme="minorHAnsi" w:cstheme="minorBidi"/>
          <w:b w:val="0"/>
          <w:color w:val="auto"/>
          <w:kern w:val="2"/>
          <w:sz w:val="24"/>
          <w:lang w:val="en-AU"/>
          <w14:ligatures w14:val="standardContextual"/>
        </w:rPr>
      </w:pPr>
      <w:r>
        <w:t>4</w:t>
      </w:r>
      <w:r>
        <w:rPr>
          <w:rFonts w:asciiTheme="minorHAnsi" w:eastAsiaTheme="minorEastAsia" w:hAnsiTheme="minorHAnsi" w:cstheme="minorBidi"/>
          <w:b w:val="0"/>
          <w:color w:val="auto"/>
          <w:kern w:val="2"/>
          <w:sz w:val="24"/>
          <w:lang w:val="en-AU"/>
          <w14:ligatures w14:val="standardContextual"/>
        </w:rPr>
        <w:tab/>
      </w:r>
      <w:r>
        <w:t>Discussion</w:t>
      </w:r>
      <w:r>
        <w:tab/>
      </w:r>
      <w:r>
        <w:fldChar w:fldCharType="begin"/>
      </w:r>
      <w:r>
        <w:instrText xml:space="preserve"> PAGEREF _Toc198634116 \h </w:instrText>
      </w:r>
      <w:r>
        <w:fldChar w:fldCharType="separate"/>
      </w:r>
      <w:r w:rsidR="00A03F72">
        <w:t>56</w:t>
      </w:r>
      <w:r>
        <w:fldChar w:fldCharType="end"/>
      </w:r>
    </w:p>
    <w:p w14:paraId="2FAE1042" w14:textId="3D551AA0" w:rsidR="00592EEF" w:rsidRDefault="00592EEF">
      <w:pPr>
        <w:pStyle w:val="TOC2"/>
        <w:rPr>
          <w:rFonts w:asciiTheme="minorHAnsi" w:eastAsiaTheme="minorEastAsia" w:hAnsiTheme="minorHAnsi" w:cstheme="minorBidi"/>
          <w:bCs w:val="0"/>
          <w:kern w:val="2"/>
          <w:sz w:val="24"/>
          <w:szCs w:val="24"/>
          <w14:ligatures w14:val="standardContextual"/>
        </w:rPr>
      </w:pPr>
      <w:r>
        <w:t>4.1</w:t>
      </w:r>
      <w:r>
        <w:rPr>
          <w:rFonts w:asciiTheme="minorHAnsi" w:eastAsiaTheme="minorEastAsia" w:hAnsiTheme="minorHAnsi" w:cstheme="minorBidi"/>
          <w:bCs w:val="0"/>
          <w:kern w:val="2"/>
          <w:sz w:val="24"/>
          <w:szCs w:val="24"/>
          <w14:ligatures w14:val="standardContextual"/>
        </w:rPr>
        <w:tab/>
      </w:r>
      <w:r>
        <w:t>General commentary</w:t>
      </w:r>
      <w:r>
        <w:tab/>
      </w:r>
      <w:r>
        <w:fldChar w:fldCharType="begin"/>
      </w:r>
      <w:r>
        <w:instrText xml:space="preserve"> PAGEREF _Toc198634117 \h </w:instrText>
      </w:r>
      <w:r>
        <w:fldChar w:fldCharType="separate"/>
      </w:r>
      <w:r w:rsidR="00A03F72">
        <w:t>56</w:t>
      </w:r>
      <w:r>
        <w:fldChar w:fldCharType="end"/>
      </w:r>
    </w:p>
    <w:p w14:paraId="43B28DE4" w14:textId="518E9EE7" w:rsidR="00592EEF" w:rsidRDefault="00592EEF">
      <w:pPr>
        <w:pStyle w:val="TOC3"/>
        <w:rPr>
          <w:rFonts w:asciiTheme="minorHAnsi" w:eastAsiaTheme="minorEastAsia" w:hAnsiTheme="minorHAnsi" w:cstheme="minorBidi"/>
          <w:kern w:val="2"/>
          <w:sz w:val="24"/>
          <w14:ligatures w14:val="standardContextual"/>
        </w:rPr>
      </w:pPr>
      <w:r>
        <w:t>4.1.1</w:t>
      </w:r>
      <w:r>
        <w:rPr>
          <w:rFonts w:asciiTheme="minorHAnsi" w:eastAsiaTheme="minorEastAsia" w:hAnsiTheme="minorHAnsi" w:cstheme="minorBidi"/>
          <w:kern w:val="2"/>
          <w:sz w:val="24"/>
          <w14:ligatures w14:val="standardContextual"/>
        </w:rPr>
        <w:tab/>
      </w:r>
      <w:r>
        <w:t>WDRA results: Conservation risks</w:t>
      </w:r>
      <w:r>
        <w:tab/>
      </w:r>
      <w:r>
        <w:fldChar w:fldCharType="begin"/>
      </w:r>
      <w:r>
        <w:instrText xml:space="preserve"> PAGEREF _Toc198634118 \h </w:instrText>
      </w:r>
      <w:r>
        <w:fldChar w:fldCharType="separate"/>
      </w:r>
      <w:r w:rsidR="00A03F72">
        <w:t>56</w:t>
      </w:r>
      <w:r>
        <w:fldChar w:fldCharType="end"/>
      </w:r>
    </w:p>
    <w:p w14:paraId="33FA3C78" w14:textId="3B4DBD2F" w:rsidR="00592EEF" w:rsidRDefault="00592EEF">
      <w:pPr>
        <w:pStyle w:val="TOC3"/>
        <w:rPr>
          <w:rFonts w:asciiTheme="minorHAnsi" w:eastAsiaTheme="minorEastAsia" w:hAnsiTheme="minorHAnsi" w:cstheme="minorBidi"/>
          <w:kern w:val="2"/>
          <w:sz w:val="24"/>
          <w14:ligatures w14:val="standardContextual"/>
        </w:rPr>
      </w:pPr>
      <w:r>
        <w:t>4.1.2</w:t>
      </w:r>
      <w:r>
        <w:rPr>
          <w:rFonts w:asciiTheme="minorHAnsi" w:eastAsiaTheme="minorEastAsia" w:hAnsiTheme="minorHAnsi" w:cstheme="minorBidi"/>
          <w:kern w:val="2"/>
          <w:sz w:val="24"/>
          <w14:ligatures w14:val="standardContextual"/>
        </w:rPr>
        <w:tab/>
      </w:r>
      <w:r>
        <w:t>WDRA results: Economic risks</w:t>
      </w:r>
      <w:r>
        <w:tab/>
      </w:r>
      <w:r>
        <w:fldChar w:fldCharType="begin"/>
      </w:r>
      <w:r>
        <w:instrText xml:space="preserve"> PAGEREF _Toc198634119 \h </w:instrText>
      </w:r>
      <w:r>
        <w:fldChar w:fldCharType="separate"/>
      </w:r>
      <w:r w:rsidR="00A03F72">
        <w:t>57</w:t>
      </w:r>
      <w:r>
        <w:fldChar w:fldCharType="end"/>
      </w:r>
    </w:p>
    <w:p w14:paraId="21EE9CDD" w14:textId="5E9A473F" w:rsidR="00592EEF" w:rsidRDefault="00592EEF">
      <w:pPr>
        <w:pStyle w:val="TOC2"/>
        <w:rPr>
          <w:rFonts w:asciiTheme="minorHAnsi" w:eastAsiaTheme="minorEastAsia" w:hAnsiTheme="minorHAnsi" w:cstheme="minorBidi"/>
          <w:bCs w:val="0"/>
          <w:kern w:val="2"/>
          <w:sz w:val="24"/>
          <w:szCs w:val="24"/>
          <w14:ligatures w14:val="standardContextual"/>
        </w:rPr>
      </w:pPr>
      <w:r>
        <w:t>4.2</w:t>
      </w:r>
      <w:r>
        <w:rPr>
          <w:rFonts w:asciiTheme="minorHAnsi" w:eastAsiaTheme="minorEastAsia" w:hAnsiTheme="minorHAnsi" w:cstheme="minorBidi"/>
          <w:bCs w:val="0"/>
          <w:kern w:val="2"/>
          <w:sz w:val="24"/>
          <w:szCs w:val="24"/>
          <w14:ligatures w14:val="standardContextual"/>
        </w:rPr>
        <w:tab/>
      </w:r>
      <w:r>
        <w:t>Mitigation of wildlife disease risks</w:t>
      </w:r>
      <w:r>
        <w:tab/>
      </w:r>
      <w:r>
        <w:fldChar w:fldCharType="begin"/>
      </w:r>
      <w:r>
        <w:instrText xml:space="preserve"> PAGEREF _Toc198634120 \h </w:instrText>
      </w:r>
      <w:r>
        <w:fldChar w:fldCharType="separate"/>
      </w:r>
      <w:r w:rsidR="00A03F72">
        <w:t>57</w:t>
      </w:r>
      <w:r>
        <w:fldChar w:fldCharType="end"/>
      </w:r>
    </w:p>
    <w:p w14:paraId="5A0498E2" w14:textId="67E15135" w:rsidR="00592EEF" w:rsidRDefault="00592EEF">
      <w:pPr>
        <w:pStyle w:val="TOC3"/>
        <w:rPr>
          <w:rFonts w:asciiTheme="minorHAnsi" w:eastAsiaTheme="minorEastAsia" w:hAnsiTheme="minorHAnsi" w:cstheme="minorBidi"/>
          <w:kern w:val="2"/>
          <w:sz w:val="24"/>
          <w14:ligatures w14:val="standardContextual"/>
        </w:rPr>
      </w:pPr>
      <w:r>
        <w:t>4.2.1</w:t>
      </w:r>
      <w:r>
        <w:rPr>
          <w:rFonts w:asciiTheme="minorHAnsi" w:eastAsiaTheme="minorEastAsia" w:hAnsiTheme="minorHAnsi" w:cstheme="minorBidi"/>
          <w:kern w:val="2"/>
          <w:sz w:val="24"/>
          <w14:ligatures w14:val="standardContextual"/>
        </w:rPr>
        <w:tab/>
      </w:r>
      <w:r>
        <w:t>Conservation risks</w:t>
      </w:r>
      <w:r>
        <w:tab/>
      </w:r>
      <w:r>
        <w:fldChar w:fldCharType="begin"/>
      </w:r>
      <w:r>
        <w:instrText xml:space="preserve"> PAGEREF _Toc198634121 \h </w:instrText>
      </w:r>
      <w:r>
        <w:fldChar w:fldCharType="separate"/>
      </w:r>
      <w:r w:rsidR="00A03F72">
        <w:t>58</w:t>
      </w:r>
      <w:r>
        <w:fldChar w:fldCharType="end"/>
      </w:r>
    </w:p>
    <w:p w14:paraId="7D6A04B1" w14:textId="603379DA" w:rsidR="00592EEF" w:rsidRDefault="00592EEF">
      <w:pPr>
        <w:pStyle w:val="TOC3"/>
        <w:rPr>
          <w:rFonts w:asciiTheme="minorHAnsi" w:eastAsiaTheme="minorEastAsia" w:hAnsiTheme="minorHAnsi" w:cstheme="minorBidi"/>
          <w:kern w:val="2"/>
          <w:sz w:val="24"/>
          <w14:ligatures w14:val="standardContextual"/>
        </w:rPr>
      </w:pPr>
      <w:r>
        <w:t>4.2.2</w:t>
      </w:r>
      <w:r>
        <w:rPr>
          <w:rFonts w:asciiTheme="minorHAnsi" w:eastAsiaTheme="minorEastAsia" w:hAnsiTheme="minorHAnsi" w:cstheme="minorBidi"/>
          <w:kern w:val="2"/>
          <w:sz w:val="24"/>
          <w14:ligatures w14:val="standardContextual"/>
        </w:rPr>
        <w:tab/>
      </w:r>
      <w:r>
        <w:t>Economic risks</w:t>
      </w:r>
      <w:r>
        <w:tab/>
      </w:r>
      <w:r>
        <w:fldChar w:fldCharType="begin"/>
      </w:r>
      <w:r>
        <w:instrText xml:space="preserve"> PAGEREF _Toc198634122 \h </w:instrText>
      </w:r>
      <w:r>
        <w:fldChar w:fldCharType="separate"/>
      </w:r>
      <w:r w:rsidR="00A03F72">
        <w:t>59</w:t>
      </w:r>
      <w:r>
        <w:fldChar w:fldCharType="end"/>
      </w:r>
    </w:p>
    <w:p w14:paraId="6742FE66" w14:textId="113EC174" w:rsidR="00592EEF" w:rsidRDefault="00592EEF">
      <w:pPr>
        <w:pStyle w:val="TOC3"/>
        <w:rPr>
          <w:rFonts w:asciiTheme="minorHAnsi" w:eastAsiaTheme="minorEastAsia" w:hAnsiTheme="minorHAnsi" w:cstheme="minorBidi"/>
          <w:kern w:val="2"/>
          <w:sz w:val="24"/>
          <w14:ligatures w14:val="standardContextual"/>
        </w:rPr>
      </w:pPr>
      <w:r>
        <w:t>4.2.3</w:t>
      </w:r>
      <w:r>
        <w:rPr>
          <w:rFonts w:asciiTheme="minorHAnsi" w:eastAsiaTheme="minorEastAsia" w:hAnsiTheme="minorHAnsi" w:cstheme="minorBidi"/>
          <w:kern w:val="2"/>
          <w:sz w:val="24"/>
          <w14:ligatures w14:val="standardContextual"/>
        </w:rPr>
        <w:tab/>
      </w:r>
      <w:r>
        <w:t>Economic risks</w:t>
      </w:r>
      <w:r>
        <w:tab/>
      </w:r>
      <w:r>
        <w:fldChar w:fldCharType="begin"/>
      </w:r>
      <w:r>
        <w:instrText xml:space="preserve"> PAGEREF _Toc198634123 \h </w:instrText>
      </w:r>
      <w:r>
        <w:fldChar w:fldCharType="separate"/>
      </w:r>
      <w:r w:rsidR="00A03F72">
        <w:t>60</w:t>
      </w:r>
      <w:r>
        <w:fldChar w:fldCharType="end"/>
      </w:r>
    </w:p>
    <w:p w14:paraId="102671E3" w14:textId="4D3FC30C" w:rsidR="00592EEF" w:rsidRDefault="00592EEF">
      <w:pPr>
        <w:pStyle w:val="TOC2"/>
        <w:rPr>
          <w:rFonts w:asciiTheme="minorHAnsi" w:eastAsiaTheme="minorEastAsia" w:hAnsiTheme="minorHAnsi" w:cstheme="minorBidi"/>
          <w:bCs w:val="0"/>
          <w:kern w:val="2"/>
          <w:sz w:val="24"/>
          <w:szCs w:val="24"/>
          <w14:ligatures w14:val="standardContextual"/>
        </w:rPr>
      </w:pPr>
      <w:r>
        <w:t>4.3</w:t>
      </w:r>
      <w:r>
        <w:rPr>
          <w:rFonts w:asciiTheme="minorHAnsi" w:eastAsiaTheme="minorEastAsia" w:hAnsiTheme="minorHAnsi" w:cstheme="minorBidi"/>
          <w:bCs w:val="0"/>
          <w:kern w:val="2"/>
          <w:sz w:val="24"/>
          <w:szCs w:val="24"/>
          <w14:ligatures w14:val="standardContextual"/>
        </w:rPr>
        <w:tab/>
      </w:r>
      <w:r>
        <w:t>Unknowns and uncertainties</w:t>
      </w:r>
      <w:r>
        <w:tab/>
      </w:r>
      <w:r>
        <w:fldChar w:fldCharType="begin"/>
      </w:r>
      <w:r>
        <w:instrText xml:space="preserve"> PAGEREF _Toc198634124 \h </w:instrText>
      </w:r>
      <w:r>
        <w:fldChar w:fldCharType="separate"/>
      </w:r>
      <w:r w:rsidR="00A03F72">
        <w:t>60</w:t>
      </w:r>
      <w:r>
        <w:fldChar w:fldCharType="end"/>
      </w:r>
    </w:p>
    <w:p w14:paraId="2DEBDB58" w14:textId="5567C44C" w:rsidR="00592EEF" w:rsidRDefault="00592EEF">
      <w:pPr>
        <w:pStyle w:val="TOC2"/>
        <w:rPr>
          <w:rFonts w:asciiTheme="minorHAnsi" w:eastAsiaTheme="minorEastAsia" w:hAnsiTheme="minorHAnsi" w:cstheme="minorBidi"/>
          <w:bCs w:val="0"/>
          <w:kern w:val="2"/>
          <w:sz w:val="24"/>
          <w:szCs w:val="24"/>
          <w14:ligatures w14:val="standardContextual"/>
        </w:rPr>
      </w:pPr>
      <w:r>
        <w:t>4.4</w:t>
      </w:r>
      <w:r>
        <w:rPr>
          <w:rFonts w:asciiTheme="minorHAnsi" w:eastAsiaTheme="minorEastAsia" w:hAnsiTheme="minorHAnsi" w:cstheme="minorBidi"/>
          <w:bCs w:val="0"/>
          <w:kern w:val="2"/>
          <w:sz w:val="24"/>
          <w:szCs w:val="24"/>
          <w14:ligatures w14:val="standardContextual"/>
        </w:rPr>
        <w:tab/>
      </w:r>
      <w:r>
        <w:t>Wildlife disease management</w:t>
      </w:r>
      <w:r>
        <w:tab/>
      </w:r>
      <w:r>
        <w:fldChar w:fldCharType="begin"/>
      </w:r>
      <w:r>
        <w:instrText xml:space="preserve"> PAGEREF _Toc198634125 \h </w:instrText>
      </w:r>
      <w:r>
        <w:fldChar w:fldCharType="separate"/>
      </w:r>
      <w:r w:rsidR="00A03F72">
        <w:t>61</w:t>
      </w:r>
      <w:r>
        <w:fldChar w:fldCharType="end"/>
      </w:r>
    </w:p>
    <w:p w14:paraId="4C4A9C8E" w14:textId="75DBAFC5" w:rsidR="00592EEF" w:rsidRDefault="00592EEF">
      <w:pPr>
        <w:pStyle w:val="TOC3"/>
        <w:rPr>
          <w:rFonts w:asciiTheme="minorHAnsi" w:eastAsiaTheme="minorEastAsia" w:hAnsiTheme="minorHAnsi" w:cstheme="minorBidi"/>
          <w:kern w:val="2"/>
          <w:sz w:val="24"/>
          <w14:ligatures w14:val="standardContextual"/>
        </w:rPr>
      </w:pPr>
      <w:r>
        <w:t>4.4.1</w:t>
      </w:r>
      <w:r>
        <w:rPr>
          <w:rFonts w:asciiTheme="minorHAnsi" w:eastAsiaTheme="minorEastAsia" w:hAnsiTheme="minorHAnsi" w:cstheme="minorBidi"/>
          <w:kern w:val="2"/>
          <w:sz w:val="24"/>
          <w14:ligatures w14:val="standardContextual"/>
        </w:rPr>
        <w:tab/>
      </w:r>
      <w:r>
        <w:t>Recommendations for managing current and future disease risks</w:t>
      </w:r>
      <w:r>
        <w:tab/>
      </w:r>
      <w:r>
        <w:fldChar w:fldCharType="begin"/>
      </w:r>
      <w:r>
        <w:instrText xml:space="preserve"> PAGEREF _Toc198634126 \h </w:instrText>
      </w:r>
      <w:r>
        <w:fldChar w:fldCharType="separate"/>
      </w:r>
      <w:r w:rsidR="00A03F72">
        <w:t>62</w:t>
      </w:r>
      <w:r>
        <w:fldChar w:fldCharType="end"/>
      </w:r>
    </w:p>
    <w:p w14:paraId="6564C867" w14:textId="1163ADD6" w:rsidR="00592EEF" w:rsidRDefault="00592EEF">
      <w:pPr>
        <w:pStyle w:val="TOC1"/>
        <w:rPr>
          <w:rFonts w:asciiTheme="minorHAnsi" w:eastAsiaTheme="minorEastAsia" w:hAnsiTheme="minorHAnsi" w:cstheme="minorBidi"/>
          <w:b w:val="0"/>
          <w:color w:val="auto"/>
          <w:kern w:val="2"/>
          <w:sz w:val="24"/>
          <w:lang w:val="en-AU"/>
          <w14:ligatures w14:val="standardContextual"/>
        </w:rPr>
      </w:pPr>
      <w:r>
        <w:t>5</w:t>
      </w:r>
      <w:r>
        <w:rPr>
          <w:rFonts w:asciiTheme="minorHAnsi" w:eastAsiaTheme="minorEastAsia" w:hAnsiTheme="minorHAnsi" w:cstheme="minorBidi"/>
          <w:b w:val="0"/>
          <w:color w:val="auto"/>
          <w:kern w:val="2"/>
          <w:sz w:val="24"/>
          <w:lang w:val="en-AU"/>
          <w14:ligatures w14:val="standardContextual"/>
        </w:rPr>
        <w:tab/>
      </w:r>
      <w:r>
        <w:t>References</w:t>
      </w:r>
      <w:r>
        <w:tab/>
      </w:r>
      <w:r>
        <w:fldChar w:fldCharType="begin"/>
      </w:r>
      <w:r>
        <w:instrText xml:space="preserve"> PAGEREF _Toc198634127 \h </w:instrText>
      </w:r>
      <w:r>
        <w:fldChar w:fldCharType="separate"/>
      </w:r>
      <w:r w:rsidR="00A03F72">
        <w:t>63</w:t>
      </w:r>
      <w:r>
        <w:fldChar w:fldCharType="end"/>
      </w:r>
    </w:p>
    <w:p w14:paraId="666908EF" w14:textId="7392197C" w:rsidR="00592EEF" w:rsidRDefault="00592EEF">
      <w:pPr>
        <w:pStyle w:val="TOC1"/>
        <w:rPr>
          <w:rFonts w:asciiTheme="minorHAnsi" w:eastAsiaTheme="minorEastAsia" w:hAnsiTheme="minorHAnsi" w:cstheme="minorBidi"/>
          <w:b w:val="0"/>
          <w:color w:val="auto"/>
          <w:kern w:val="2"/>
          <w:sz w:val="24"/>
          <w:lang w:val="en-AU"/>
          <w14:ligatures w14:val="standardContextual"/>
        </w:rPr>
      </w:pPr>
      <w:r>
        <w:t>6</w:t>
      </w:r>
      <w:r>
        <w:rPr>
          <w:rFonts w:asciiTheme="minorHAnsi" w:eastAsiaTheme="minorEastAsia" w:hAnsiTheme="minorHAnsi" w:cstheme="minorBidi"/>
          <w:b w:val="0"/>
          <w:color w:val="auto"/>
          <w:kern w:val="2"/>
          <w:sz w:val="24"/>
          <w:lang w:val="en-AU"/>
          <w14:ligatures w14:val="standardContextual"/>
        </w:rPr>
        <w:tab/>
      </w:r>
      <w:r>
        <w:t>Additional modelling details and results</w:t>
      </w:r>
      <w:r>
        <w:tab/>
      </w:r>
      <w:r>
        <w:fldChar w:fldCharType="begin"/>
      </w:r>
      <w:r>
        <w:instrText xml:space="preserve"> PAGEREF _Toc198634128 \h </w:instrText>
      </w:r>
      <w:r>
        <w:fldChar w:fldCharType="separate"/>
      </w:r>
      <w:r w:rsidR="00A03F72">
        <w:t>70</w:t>
      </w:r>
      <w:r>
        <w:fldChar w:fldCharType="end"/>
      </w:r>
    </w:p>
    <w:p w14:paraId="668899C8" w14:textId="62DBB8D5" w:rsidR="00592EEF" w:rsidRDefault="00592EEF">
      <w:pPr>
        <w:pStyle w:val="TOC2"/>
        <w:rPr>
          <w:rFonts w:asciiTheme="minorHAnsi" w:eastAsiaTheme="minorEastAsia" w:hAnsiTheme="minorHAnsi" w:cstheme="minorBidi"/>
          <w:bCs w:val="0"/>
          <w:kern w:val="2"/>
          <w:sz w:val="24"/>
          <w:szCs w:val="24"/>
          <w14:ligatures w14:val="standardContextual"/>
        </w:rPr>
      </w:pPr>
      <w:r>
        <w:lastRenderedPageBreak/>
        <w:t>6.1</w:t>
      </w:r>
      <w:r>
        <w:rPr>
          <w:rFonts w:asciiTheme="minorHAnsi" w:eastAsiaTheme="minorEastAsia" w:hAnsiTheme="minorHAnsi" w:cstheme="minorBidi"/>
          <w:bCs w:val="0"/>
          <w:kern w:val="2"/>
          <w:sz w:val="24"/>
          <w:szCs w:val="24"/>
          <w14:ligatures w14:val="standardContextual"/>
        </w:rPr>
        <w:tab/>
      </w:r>
      <w:r>
        <w:t>Foot and Mouth Disease in Feral Pigs</w:t>
      </w:r>
      <w:r>
        <w:tab/>
      </w:r>
      <w:r>
        <w:fldChar w:fldCharType="begin"/>
      </w:r>
      <w:r>
        <w:instrText xml:space="preserve"> PAGEREF _Toc198634129 \h </w:instrText>
      </w:r>
      <w:r>
        <w:fldChar w:fldCharType="separate"/>
      </w:r>
      <w:r w:rsidR="00A03F72">
        <w:t>70</w:t>
      </w:r>
      <w:r>
        <w:fldChar w:fldCharType="end"/>
      </w:r>
    </w:p>
    <w:p w14:paraId="21806925" w14:textId="3DA756DE" w:rsidR="00592EEF" w:rsidRDefault="00592EEF">
      <w:pPr>
        <w:pStyle w:val="TOC2"/>
        <w:rPr>
          <w:rFonts w:asciiTheme="minorHAnsi" w:eastAsiaTheme="minorEastAsia" w:hAnsiTheme="minorHAnsi" w:cstheme="minorBidi"/>
          <w:bCs w:val="0"/>
          <w:kern w:val="2"/>
          <w:sz w:val="24"/>
          <w:szCs w:val="24"/>
          <w14:ligatures w14:val="standardContextual"/>
        </w:rPr>
      </w:pPr>
      <w:r>
        <w:t>6.2</w:t>
      </w:r>
      <w:r>
        <w:rPr>
          <w:rFonts w:asciiTheme="minorHAnsi" w:eastAsiaTheme="minorEastAsia" w:hAnsiTheme="minorHAnsi" w:cstheme="minorBidi"/>
          <w:bCs w:val="0"/>
          <w:kern w:val="2"/>
          <w:sz w:val="24"/>
          <w:szCs w:val="24"/>
          <w14:ligatures w14:val="standardContextual"/>
        </w:rPr>
        <w:tab/>
      </w:r>
      <w:r>
        <w:t>High Pathogenic Avian Influenza in Little Penguins</w:t>
      </w:r>
      <w:r>
        <w:tab/>
      </w:r>
      <w:r>
        <w:fldChar w:fldCharType="begin"/>
      </w:r>
      <w:r>
        <w:instrText xml:space="preserve"> PAGEREF _Toc198634130 \h </w:instrText>
      </w:r>
      <w:r>
        <w:fldChar w:fldCharType="separate"/>
      </w:r>
      <w:r w:rsidR="00A03F72">
        <w:t>74</w:t>
      </w:r>
      <w:r>
        <w:fldChar w:fldCharType="end"/>
      </w:r>
    </w:p>
    <w:p w14:paraId="564E81F6" w14:textId="7179CA77" w:rsidR="00592EEF" w:rsidRDefault="00592EEF">
      <w:pPr>
        <w:pStyle w:val="TOC2"/>
        <w:rPr>
          <w:rFonts w:asciiTheme="minorHAnsi" w:eastAsiaTheme="minorEastAsia" w:hAnsiTheme="minorHAnsi" w:cstheme="minorBidi"/>
          <w:bCs w:val="0"/>
          <w:kern w:val="2"/>
          <w:sz w:val="24"/>
          <w:szCs w:val="24"/>
          <w14:ligatures w14:val="standardContextual"/>
        </w:rPr>
      </w:pPr>
      <w:r>
        <w:t>6.3</w:t>
      </w:r>
      <w:r>
        <w:rPr>
          <w:rFonts w:asciiTheme="minorHAnsi" w:eastAsiaTheme="minorEastAsia" w:hAnsiTheme="minorHAnsi" w:cstheme="minorBidi"/>
          <w:bCs w:val="0"/>
          <w:kern w:val="2"/>
          <w:sz w:val="24"/>
          <w:szCs w:val="24"/>
          <w14:ligatures w14:val="standardContextual"/>
        </w:rPr>
        <w:tab/>
      </w:r>
      <w:r>
        <w:t>White Nose Syndrome in Southern Bent-wing Bats</w:t>
      </w:r>
      <w:r>
        <w:tab/>
      </w:r>
      <w:r>
        <w:fldChar w:fldCharType="begin"/>
      </w:r>
      <w:r>
        <w:instrText xml:space="preserve"> PAGEREF _Toc198634131 \h </w:instrText>
      </w:r>
      <w:r>
        <w:fldChar w:fldCharType="separate"/>
      </w:r>
      <w:r w:rsidR="00A03F72">
        <w:t>77</w:t>
      </w:r>
      <w:r>
        <w:fldChar w:fldCharType="end"/>
      </w:r>
    </w:p>
    <w:p w14:paraId="1CDCAC30" w14:textId="40D3191B" w:rsidR="00592EEF" w:rsidRDefault="00592EEF">
      <w:pPr>
        <w:pStyle w:val="TOC2"/>
        <w:rPr>
          <w:rFonts w:asciiTheme="minorHAnsi" w:eastAsiaTheme="minorEastAsia" w:hAnsiTheme="minorHAnsi" w:cstheme="minorBidi"/>
          <w:bCs w:val="0"/>
          <w:kern w:val="2"/>
          <w:sz w:val="24"/>
          <w:szCs w:val="24"/>
          <w14:ligatures w14:val="standardContextual"/>
        </w:rPr>
      </w:pPr>
      <w:r>
        <w:t>6.4</w:t>
      </w:r>
      <w:r>
        <w:rPr>
          <w:rFonts w:asciiTheme="minorHAnsi" w:eastAsiaTheme="minorEastAsia" w:hAnsiTheme="minorHAnsi" w:cstheme="minorBidi"/>
          <w:bCs w:val="0"/>
          <w:kern w:val="2"/>
          <w:sz w:val="24"/>
          <w:szCs w:val="24"/>
          <w14:ligatures w14:val="standardContextual"/>
        </w:rPr>
        <w:tab/>
      </w:r>
      <w:r>
        <w:t>Amphibian chytrid fungus in Bell Frogs</w:t>
      </w:r>
      <w:r>
        <w:tab/>
      </w:r>
      <w:r>
        <w:fldChar w:fldCharType="begin"/>
      </w:r>
      <w:r>
        <w:instrText xml:space="preserve"> PAGEREF _Toc198634132 \h </w:instrText>
      </w:r>
      <w:r>
        <w:fldChar w:fldCharType="separate"/>
      </w:r>
      <w:r w:rsidR="00A03F72">
        <w:t>80</w:t>
      </w:r>
      <w:r>
        <w:fldChar w:fldCharType="end"/>
      </w:r>
    </w:p>
    <w:p w14:paraId="48D72E59" w14:textId="58C65D8A" w:rsidR="00051FE1" w:rsidRPr="00FE4E7A" w:rsidRDefault="007C0E99" w:rsidP="0071429D">
      <w:r>
        <w:rPr>
          <w:lang w:val="en-US"/>
        </w:rPr>
        <w:fldChar w:fldCharType="end"/>
      </w:r>
    </w:p>
    <w:p w14:paraId="0219E547" w14:textId="452C4137" w:rsidR="005F55AD" w:rsidRPr="00FE4E7A" w:rsidRDefault="009D303E" w:rsidP="00B2382F">
      <w:pPr>
        <w:pStyle w:val="TOCtitle"/>
      </w:pPr>
      <w:r w:rsidRPr="00243764">
        <w:br w:type="page"/>
      </w:r>
      <w:r w:rsidR="005F55AD" w:rsidRPr="00FE4E7A">
        <w:lastRenderedPageBreak/>
        <w:t>Tables</w:t>
      </w:r>
      <w:r w:rsidR="00FE4E7A" w:rsidRPr="00FE4E7A">
        <w:t xml:space="preserve"> </w:t>
      </w:r>
    </w:p>
    <w:p w14:paraId="06BCF4CB" w14:textId="77777777" w:rsidR="00840DC6" w:rsidRDefault="00840DC6">
      <w:pPr>
        <w:pStyle w:val="TableofFigures"/>
      </w:pPr>
    </w:p>
    <w:p w14:paraId="23B9D97F" w14:textId="1413C5E6" w:rsidR="00592EEF" w:rsidRDefault="00503C92">
      <w:pPr>
        <w:pStyle w:val="TableofFigures"/>
        <w:rPr>
          <w:rFonts w:asciiTheme="minorHAnsi" w:eastAsiaTheme="minorEastAsia" w:hAnsiTheme="minorHAnsi" w:cstheme="minorBidi"/>
          <w:kern w:val="2"/>
          <w:sz w:val="24"/>
          <w:szCs w:val="24"/>
          <w14:ligatures w14:val="standardContextual"/>
        </w:rPr>
      </w:pPr>
      <w:r>
        <w:fldChar w:fldCharType="begin"/>
      </w:r>
      <w:r>
        <w:instrText xml:space="preserve"> TOC \h \z \t "Caption - Table" \c </w:instrText>
      </w:r>
      <w:r>
        <w:fldChar w:fldCharType="separate"/>
      </w:r>
      <w:hyperlink w:anchor="_Toc198634133" w:history="1">
        <w:r w:rsidR="00592EEF" w:rsidRPr="00125F40">
          <w:rPr>
            <w:rStyle w:val="Hyperlink"/>
          </w:rPr>
          <w:t>Table 1. The components of the wildlife disease risk assessment in Victoria.</w:t>
        </w:r>
        <w:r w:rsidR="00592EEF">
          <w:rPr>
            <w:webHidden/>
          </w:rPr>
          <w:tab/>
        </w:r>
        <w:r w:rsidR="00592EEF">
          <w:rPr>
            <w:webHidden/>
          </w:rPr>
          <w:fldChar w:fldCharType="begin"/>
        </w:r>
        <w:r w:rsidR="00592EEF">
          <w:rPr>
            <w:webHidden/>
          </w:rPr>
          <w:instrText xml:space="preserve"> PAGEREF _Toc198634133 \h </w:instrText>
        </w:r>
        <w:r w:rsidR="00592EEF">
          <w:rPr>
            <w:webHidden/>
          </w:rPr>
        </w:r>
        <w:r w:rsidR="00592EEF">
          <w:rPr>
            <w:webHidden/>
          </w:rPr>
          <w:fldChar w:fldCharType="separate"/>
        </w:r>
        <w:r w:rsidR="00A03F72">
          <w:rPr>
            <w:webHidden/>
          </w:rPr>
          <w:t>13</w:t>
        </w:r>
        <w:r w:rsidR="00592EEF">
          <w:rPr>
            <w:webHidden/>
          </w:rPr>
          <w:fldChar w:fldCharType="end"/>
        </w:r>
      </w:hyperlink>
    </w:p>
    <w:p w14:paraId="2BD9A837" w14:textId="54525C04"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34" w:history="1">
        <w:r w:rsidRPr="00125F40">
          <w:rPr>
            <w:rStyle w:val="Hyperlink"/>
          </w:rPr>
          <w:t>Table 2. Level of uncertainty of predictions.</w:t>
        </w:r>
        <w:r>
          <w:rPr>
            <w:webHidden/>
          </w:rPr>
          <w:tab/>
        </w:r>
        <w:r>
          <w:rPr>
            <w:webHidden/>
          </w:rPr>
          <w:fldChar w:fldCharType="begin"/>
        </w:r>
        <w:r>
          <w:rPr>
            <w:webHidden/>
          </w:rPr>
          <w:instrText xml:space="preserve"> PAGEREF _Toc198634134 \h </w:instrText>
        </w:r>
        <w:r>
          <w:rPr>
            <w:webHidden/>
          </w:rPr>
        </w:r>
        <w:r>
          <w:rPr>
            <w:webHidden/>
          </w:rPr>
          <w:fldChar w:fldCharType="separate"/>
        </w:r>
        <w:r w:rsidR="00A03F72">
          <w:rPr>
            <w:webHidden/>
          </w:rPr>
          <w:t>15</w:t>
        </w:r>
        <w:r>
          <w:rPr>
            <w:webHidden/>
          </w:rPr>
          <w:fldChar w:fldCharType="end"/>
        </w:r>
      </w:hyperlink>
    </w:p>
    <w:p w14:paraId="58171FF8" w14:textId="141BF800"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35" w:history="1">
        <w:r w:rsidRPr="00125F40">
          <w:rPr>
            <w:rStyle w:val="Hyperlink"/>
          </w:rPr>
          <w:t>Table 3. Descriptions and definitions of the likelihood scores.</w:t>
        </w:r>
        <w:r>
          <w:rPr>
            <w:webHidden/>
          </w:rPr>
          <w:tab/>
        </w:r>
        <w:r>
          <w:rPr>
            <w:webHidden/>
          </w:rPr>
          <w:fldChar w:fldCharType="begin"/>
        </w:r>
        <w:r>
          <w:rPr>
            <w:webHidden/>
          </w:rPr>
          <w:instrText xml:space="preserve"> PAGEREF _Toc198634135 \h </w:instrText>
        </w:r>
        <w:r>
          <w:rPr>
            <w:webHidden/>
          </w:rPr>
        </w:r>
        <w:r>
          <w:rPr>
            <w:webHidden/>
          </w:rPr>
          <w:fldChar w:fldCharType="separate"/>
        </w:r>
        <w:r w:rsidR="00A03F72">
          <w:rPr>
            <w:webHidden/>
          </w:rPr>
          <w:t>15</w:t>
        </w:r>
        <w:r>
          <w:rPr>
            <w:webHidden/>
          </w:rPr>
          <w:fldChar w:fldCharType="end"/>
        </w:r>
      </w:hyperlink>
    </w:p>
    <w:p w14:paraId="0A324CB5" w14:textId="49955668"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36" w:history="1">
        <w:r w:rsidRPr="00125F40">
          <w:rPr>
            <w:rStyle w:val="Hyperlink"/>
          </w:rPr>
          <w:t>Table 4. Descriptions and definitions of consequence scores.</w:t>
        </w:r>
        <w:r>
          <w:rPr>
            <w:webHidden/>
          </w:rPr>
          <w:tab/>
        </w:r>
        <w:r>
          <w:rPr>
            <w:webHidden/>
          </w:rPr>
          <w:fldChar w:fldCharType="begin"/>
        </w:r>
        <w:r>
          <w:rPr>
            <w:webHidden/>
          </w:rPr>
          <w:instrText xml:space="preserve"> PAGEREF _Toc198634136 \h </w:instrText>
        </w:r>
        <w:r>
          <w:rPr>
            <w:webHidden/>
          </w:rPr>
        </w:r>
        <w:r>
          <w:rPr>
            <w:webHidden/>
          </w:rPr>
          <w:fldChar w:fldCharType="separate"/>
        </w:r>
        <w:r w:rsidR="00A03F72">
          <w:rPr>
            <w:webHidden/>
          </w:rPr>
          <w:t>16</w:t>
        </w:r>
        <w:r>
          <w:rPr>
            <w:webHidden/>
          </w:rPr>
          <w:fldChar w:fldCharType="end"/>
        </w:r>
      </w:hyperlink>
    </w:p>
    <w:p w14:paraId="46B5668A" w14:textId="5CC5C909"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37" w:history="1">
        <w:r w:rsidRPr="00125F40">
          <w:rPr>
            <w:rStyle w:val="Hyperlink"/>
          </w:rPr>
          <w:t>Table 5. Risk matrix.</w:t>
        </w:r>
        <w:r>
          <w:rPr>
            <w:webHidden/>
          </w:rPr>
          <w:tab/>
        </w:r>
        <w:r>
          <w:rPr>
            <w:webHidden/>
          </w:rPr>
          <w:fldChar w:fldCharType="begin"/>
        </w:r>
        <w:r>
          <w:rPr>
            <w:webHidden/>
          </w:rPr>
          <w:instrText xml:space="preserve"> PAGEREF _Toc198634137 \h </w:instrText>
        </w:r>
        <w:r>
          <w:rPr>
            <w:webHidden/>
          </w:rPr>
        </w:r>
        <w:r>
          <w:rPr>
            <w:webHidden/>
          </w:rPr>
          <w:fldChar w:fldCharType="separate"/>
        </w:r>
        <w:r w:rsidR="00A03F72">
          <w:rPr>
            <w:webHidden/>
          </w:rPr>
          <w:t>16</w:t>
        </w:r>
        <w:r>
          <w:rPr>
            <w:webHidden/>
          </w:rPr>
          <w:fldChar w:fldCharType="end"/>
        </w:r>
      </w:hyperlink>
    </w:p>
    <w:p w14:paraId="382B8B1C" w14:textId="6310328A"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38" w:history="1">
        <w:r w:rsidRPr="00125F40">
          <w:rPr>
            <w:rStyle w:val="Hyperlink"/>
          </w:rPr>
          <w:t>Table 6. Disease hazards and affected fauna selected for the case studies.</w:t>
        </w:r>
        <w:r>
          <w:rPr>
            <w:webHidden/>
          </w:rPr>
          <w:tab/>
        </w:r>
        <w:r>
          <w:rPr>
            <w:webHidden/>
          </w:rPr>
          <w:fldChar w:fldCharType="begin"/>
        </w:r>
        <w:r>
          <w:rPr>
            <w:webHidden/>
          </w:rPr>
          <w:instrText xml:space="preserve"> PAGEREF _Toc198634138 \h </w:instrText>
        </w:r>
        <w:r>
          <w:rPr>
            <w:webHidden/>
          </w:rPr>
        </w:r>
        <w:r>
          <w:rPr>
            <w:webHidden/>
          </w:rPr>
          <w:fldChar w:fldCharType="separate"/>
        </w:r>
        <w:r w:rsidR="00A03F72">
          <w:rPr>
            <w:webHidden/>
          </w:rPr>
          <w:t>19</w:t>
        </w:r>
        <w:r>
          <w:rPr>
            <w:webHidden/>
          </w:rPr>
          <w:fldChar w:fldCharType="end"/>
        </w:r>
      </w:hyperlink>
    </w:p>
    <w:p w14:paraId="798475E1" w14:textId="00835027"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39" w:history="1">
        <w:r w:rsidRPr="00125F40">
          <w:rPr>
            <w:rStyle w:val="Hyperlink"/>
          </w:rPr>
          <w:t>Table 7. Summary of the number of disease risk assessments that were assigned a given risk rating for the conservation impacts of each disease hazard.</w:t>
        </w:r>
        <w:r>
          <w:rPr>
            <w:webHidden/>
          </w:rPr>
          <w:tab/>
        </w:r>
        <w:r>
          <w:rPr>
            <w:webHidden/>
          </w:rPr>
          <w:fldChar w:fldCharType="begin"/>
        </w:r>
        <w:r>
          <w:rPr>
            <w:webHidden/>
          </w:rPr>
          <w:instrText xml:space="preserve"> PAGEREF _Toc198634139 \h </w:instrText>
        </w:r>
        <w:r>
          <w:rPr>
            <w:webHidden/>
          </w:rPr>
        </w:r>
        <w:r>
          <w:rPr>
            <w:webHidden/>
          </w:rPr>
          <w:fldChar w:fldCharType="separate"/>
        </w:r>
        <w:r w:rsidR="00A03F72">
          <w:rPr>
            <w:webHidden/>
          </w:rPr>
          <w:t>22</w:t>
        </w:r>
        <w:r>
          <w:rPr>
            <w:webHidden/>
          </w:rPr>
          <w:fldChar w:fldCharType="end"/>
        </w:r>
      </w:hyperlink>
    </w:p>
    <w:p w14:paraId="69AB283B" w14:textId="38D0B015"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0" w:history="1">
        <w:r w:rsidRPr="00125F40">
          <w:rPr>
            <w:rStyle w:val="Hyperlink"/>
          </w:rPr>
          <w:t>Table 8. Summary of the number of disease risk assessments that were assigned a given risk rating for the economic impacts of each disease hazard.</w:t>
        </w:r>
        <w:r>
          <w:rPr>
            <w:webHidden/>
          </w:rPr>
          <w:tab/>
        </w:r>
        <w:r>
          <w:rPr>
            <w:webHidden/>
          </w:rPr>
          <w:fldChar w:fldCharType="begin"/>
        </w:r>
        <w:r>
          <w:rPr>
            <w:webHidden/>
          </w:rPr>
          <w:instrText xml:space="preserve"> PAGEREF _Toc198634140 \h </w:instrText>
        </w:r>
        <w:r>
          <w:rPr>
            <w:webHidden/>
          </w:rPr>
        </w:r>
        <w:r>
          <w:rPr>
            <w:webHidden/>
          </w:rPr>
          <w:fldChar w:fldCharType="separate"/>
        </w:r>
        <w:r w:rsidR="00A03F72">
          <w:rPr>
            <w:webHidden/>
          </w:rPr>
          <w:t>22</w:t>
        </w:r>
        <w:r>
          <w:rPr>
            <w:webHidden/>
          </w:rPr>
          <w:fldChar w:fldCharType="end"/>
        </w:r>
      </w:hyperlink>
    </w:p>
    <w:p w14:paraId="6633440F" w14:textId="4E41F860"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1" w:history="1">
        <w:r w:rsidRPr="00125F40">
          <w:rPr>
            <w:rStyle w:val="Hyperlink"/>
          </w:rPr>
          <w:t>Table 9. Diseases with Extreme and High conservation risk ratings in the disease risk assessment.</w:t>
        </w:r>
        <w:r>
          <w:rPr>
            <w:webHidden/>
          </w:rPr>
          <w:tab/>
        </w:r>
        <w:r>
          <w:rPr>
            <w:webHidden/>
          </w:rPr>
          <w:fldChar w:fldCharType="begin"/>
        </w:r>
        <w:r>
          <w:rPr>
            <w:webHidden/>
          </w:rPr>
          <w:instrText xml:space="preserve"> PAGEREF _Toc198634141 \h </w:instrText>
        </w:r>
        <w:r>
          <w:rPr>
            <w:webHidden/>
          </w:rPr>
        </w:r>
        <w:r>
          <w:rPr>
            <w:webHidden/>
          </w:rPr>
          <w:fldChar w:fldCharType="separate"/>
        </w:r>
        <w:r w:rsidR="00A03F72">
          <w:rPr>
            <w:webHidden/>
          </w:rPr>
          <w:t>24</w:t>
        </w:r>
        <w:r>
          <w:rPr>
            <w:webHidden/>
          </w:rPr>
          <w:fldChar w:fldCharType="end"/>
        </w:r>
      </w:hyperlink>
    </w:p>
    <w:p w14:paraId="57C6F17A" w14:textId="2F59C550"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2" w:history="1">
        <w:r w:rsidRPr="00125F40">
          <w:rPr>
            <w:rStyle w:val="Hyperlink"/>
          </w:rPr>
          <w:t>Table 10. Diseases with Extreme and High economic risk ratings in the disease risk assessment</w:t>
        </w:r>
        <w:r>
          <w:rPr>
            <w:webHidden/>
          </w:rPr>
          <w:tab/>
        </w:r>
        <w:r>
          <w:rPr>
            <w:webHidden/>
          </w:rPr>
          <w:fldChar w:fldCharType="begin"/>
        </w:r>
        <w:r>
          <w:rPr>
            <w:webHidden/>
          </w:rPr>
          <w:instrText xml:space="preserve"> PAGEREF _Toc198634142 \h </w:instrText>
        </w:r>
        <w:r>
          <w:rPr>
            <w:webHidden/>
          </w:rPr>
        </w:r>
        <w:r>
          <w:rPr>
            <w:webHidden/>
          </w:rPr>
          <w:fldChar w:fldCharType="separate"/>
        </w:r>
        <w:r w:rsidR="00A03F72">
          <w:rPr>
            <w:webHidden/>
          </w:rPr>
          <w:t>25</w:t>
        </w:r>
        <w:r>
          <w:rPr>
            <w:webHidden/>
          </w:rPr>
          <w:fldChar w:fldCharType="end"/>
        </w:r>
      </w:hyperlink>
    </w:p>
    <w:p w14:paraId="062AC318" w14:textId="1216B865"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3" w:history="1">
        <w:r w:rsidRPr="00125F40">
          <w:rPr>
            <w:rStyle w:val="Hyperlink"/>
          </w:rPr>
          <w:t>Table 11. Diseases that were assessed as representing potentially Extreme or High conservation risks to Endangered (EN) and Critically Endangered (CE) FFG-listed mammals in Victoria.</w:t>
        </w:r>
        <w:r>
          <w:rPr>
            <w:webHidden/>
          </w:rPr>
          <w:tab/>
        </w:r>
        <w:r>
          <w:rPr>
            <w:webHidden/>
          </w:rPr>
          <w:fldChar w:fldCharType="begin"/>
        </w:r>
        <w:r>
          <w:rPr>
            <w:webHidden/>
          </w:rPr>
          <w:instrText xml:space="preserve"> PAGEREF _Toc198634143 \h </w:instrText>
        </w:r>
        <w:r>
          <w:rPr>
            <w:webHidden/>
          </w:rPr>
        </w:r>
        <w:r>
          <w:rPr>
            <w:webHidden/>
          </w:rPr>
          <w:fldChar w:fldCharType="separate"/>
        </w:r>
        <w:r w:rsidR="00A03F72">
          <w:rPr>
            <w:webHidden/>
          </w:rPr>
          <w:t>26</w:t>
        </w:r>
        <w:r>
          <w:rPr>
            <w:webHidden/>
          </w:rPr>
          <w:fldChar w:fldCharType="end"/>
        </w:r>
      </w:hyperlink>
    </w:p>
    <w:p w14:paraId="318B272B" w14:textId="58910E8F"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4" w:history="1">
        <w:r w:rsidRPr="00125F40">
          <w:rPr>
            <w:rStyle w:val="Hyperlink"/>
          </w:rPr>
          <w:t>Table 12. Diseases that were assessed as representing potentially Extreme or High conservation risks to Endangered (EN) and Critically Endangered (CE) FFG-listed birds in Victoria.</w:t>
        </w:r>
        <w:r>
          <w:rPr>
            <w:webHidden/>
          </w:rPr>
          <w:tab/>
        </w:r>
        <w:r>
          <w:rPr>
            <w:webHidden/>
          </w:rPr>
          <w:fldChar w:fldCharType="begin"/>
        </w:r>
        <w:r>
          <w:rPr>
            <w:webHidden/>
          </w:rPr>
          <w:instrText xml:space="preserve"> PAGEREF _Toc198634144 \h </w:instrText>
        </w:r>
        <w:r>
          <w:rPr>
            <w:webHidden/>
          </w:rPr>
        </w:r>
        <w:r>
          <w:rPr>
            <w:webHidden/>
          </w:rPr>
          <w:fldChar w:fldCharType="separate"/>
        </w:r>
        <w:r w:rsidR="00A03F72">
          <w:rPr>
            <w:webHidden/>
          </w:rPr>
          <w:t>27</w:t>
        </w:r>
        <w:r>
          <w:rPr>
            <w:webHidden/>
          </w:rPr>
          <w:fldChar w:fldCharType="end"/>
        </w:r>
      </w:hyperlink>
    </w:p>
    <w:p w14:paraId="426A5FFB" w14:textId="20CD3B46"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5" w:history="1">
        <w:r w:rsidRPr="00125F40">
          <w:rPr>
            <w:rStyle w:val="Hyperlink"/>
          </w:rPr>
          <w:t>Table 13. Diseases that were assessed as representing potentially Extreme or High conservation risks to Endangered (EN) and Critically Endangered (CE) FFG-listed reptiles in Victoria.</w:t>
        </w:r>
        <w:r>
          <w:rPr>
            <w:webHidden/>
          </w:rPr>
          <w:tab/>
        </w:r>
        <w:r>
          <w:rPr>
            <w:webHidden/>
          </w:rPr>
          <w:fldChar w:fldCharType="begin"/>
        </w:r>
        <w:r>
          <w:rPr>
            <w:webHidden/>
          </w:rPr>
          <w:instrText xml:space="preserve"> PAGEREF _Toc198634145 \h </w:instrText>
        </w:r>
        <w:r>
          <w:rPr>
            <w:webHidden/>
          </w:rPr>
        </w:r>
        <w:r>
          <w:rPr>
            <w:webHidden/>
          </w:rPr>
          <w:fldChar w:fldCharType="separate"/>
        </w:r>
        <w:r w:rsidR="00A03F72">
          <w:rPr>
            <w:webHidden/>
          </w:rPr>
          <w:t>28</w:t>
        </w:r>
        <w:r>
          <w:rPr>
            <w:webHidden/>
          </w:rPr>
          <w:fldChar w:fldCharType="end"/>
        </w:r>
      </w:hyperlink>
    </w:p>
    <w:p w14:paraId="05F10557" w14:textId="2E82780D"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6" w:history="1">
        <w:r w:rsidRPr="00125F40">
          <w:rPr>
            <w:rStyle w:val="Hyperlink"/>
          </w:rPr>
          <w:t>Table 14. Diseases that were assessed as representing potentially Extreme or High conservation risks to Endangered (EN) and Critically Endangered (CE) FFG-listed amphibians in Victoria.</w:t>
        </w:r>
        <w:r>
          <w:rPr>
            <w:webHidden/>
          </w:rPr>
          <w:tab/>
        </w:r>
        <w:r>
          <w:rPr>
            <w:webHidden/>
          </w:rPr>
          <w:fldChar w:fldCharType="begin"/>
        </w:r>
        <w:r>
          <w:rPr>
            <w:webHidden/>
          </w:rPr>
          <w:instrText xml:space="preserve"> PAGEREF _Toc198634146 \h </w:instrText>
        </w:r>
        <w:r>
          <w:rPr>
            <w:webHidden/>
          </w:rPr>
        </w:r>
        <w:r>
          <w:rPr>
            <w:webHidden/>
          </w:rPr>
          <w:fldChar w:fldCharType="separate"/>
        </w:r>
        <w:r w:rsidR="00A03F72">
          <w:rPr>
            <w:webHidden/>
          </w:rPr>
          <w:t>28</w:t>
        </w:r>
        <w:r>
          <w:rPr>
            <w:webHidden/>
          </w:rPr>
          <w:fldChar w:fldCharType="end"/>
        </w:r>
      </w:hyperlink>
    </w:p>
    <w:p w14:paraId="0A669654" w14:textId="7C71AC6B"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7" w:history="1">
        <w:r w:rsidRPr="00125F40">
          <w:rPr>
            <w:rStyle w:val="Hyperlink"/>
          </w:rPr>
          <w:t>Table A1. Parameter values used for the Feral Pig FMD model. Parameter values are per day.</w:t>
        </w:r>
        <w:r>
          <w:rPr>
            <w:webHidden/>
          </w:rPr>
          <w:tab/>
        </w:r>
        <w:r>
          <w:rPr>
            <w:webHidden/>
          </w:rPr>
          <w:fldChar w:fldCharType="begin"/>
        </w:r>
        <w:r>
          <w:rPr>
            <w:webHidden/>
          </w:rPr>
          <w:instrText xml:space="preserve"> PAGEREF _Toc198634147 \h </w:instrText>
        </w:r>
        <w:r>
          <w:rPr>
            <w:webHidden/>
          </w:rPr>
        </w:r>
        <w:r>
          <w:rPr>
            <w:webHidden/>
          </w:rPr>
          <w:fldChar w:fldCharType="separate"/>
        </w:r>
        <w:r w:rsidR="00A03F72">
          <w:rPr>
            <w:webHidden/>
          </w:rPr>
          <w:t>70</w:t>
        </w:r>
        <w:r>
          <w:rPr>
            <w:webHidden/>
          </w:rPr>
          <w:fldChar w:fldCharType="end"/>
        </w:r>
      </w:hyperlink>
    </w:p>
    <w:p w14:paraId="1CA1BF14" w14:textId="38818369"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8" w:history="1">
        <w:r w:rsidRPr="00125F40">
          <w:rPr>
            <w:rStyle w:val="Hyperlink"/>
          </w:rPr>
          <w:t>Table A2. Parameter values used to model an outbreak of HPAI in Little Penguins. Parameter values are per day.</w:t>
        </w:r>
        <w:r>
          <w:rPr>
            <w:webHidden/>
          </w:rPr>
          <w:tab/>
        </w:r>
        <w:r>
          <w:rPr>
            <w:webHidden/>
          </w:rPr>
          <w:fldChar w:fldCharType="begin"/>
        </w:r>
        <w:r>
          <w:rPr>
            <w:webHidden/>
          </w:rPr>
          <w:instrText xml:space="preserve"> PAGEREF _Toc198634148 \h </w:instrText>
        </w:r>
        <w:r>
          <w:rPr>
            <w:webHidden/>
          </w:rPr>
        </w:r>
        <w:r>
          <w:rPr>
            <w:webHidden/>
          </w:rPr>
          <w:fldChar w:fldCharType="separate"/>
        </w:r>
        <w:r w:rsidR="00A03F72">
          <w:rPr>
            <w:webHidden/>
          </w:rPr>
          <w:t>74</w:t>
        </w:r>
        <w:r>
          <w:rPr>
            <w:webHidden/>
          </w:rPr>
          <w:fldChar w:fldCharType="end"/>
        </w:r>
      </w:hyperlink>
    </w:p>
    <w:p w14:paraId="042C1C57" w14:textId="68E34AB2"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49" w:history="1">
        <w:r w:rsidRPr="00125F40">
          <w:rPr>
            <w:rStyle w:val="Hyperlink"/>
          </w:rPr>
          <w:t>Table A3. Parameter values used to model an outbreak of WNS in SBWBs. Parameter values are per day.</w:t>
        </w:r>
        <w:r>
          <w:rPr>
            <w:webHidden/>
          </w:rPr>
          <w:tab/>
        </w:r>
        <w:r>
          <w:rPr>
            <w:webHidden/>
          </w:rPr>
          <w:fldChar w:fldCharType="begin"/>
        </w:r>
        <w:r>
          <w:rPr>
            <w:webHidden/>
          </w:rPr>
          <w:instrText xml:space="preserve"> PAGEREF _Toc198634149 \h </w:instrText>
        </w:r>
        <w:r>
          <w:rPr>
            <w:webHidden/>
          </w:rPr>
        </w:r>
        <w:r>
          <w:rPr>
            <w:webHidden/>
          </w:rPr>
          <w:fldChar w:fldCharType="separate"/>
        </w:r>
        <w:r w:rsidR="00A03F72">
          <w:rPr>
            <w:webHidden/>
          </w:rPr>
          <w:t>78</w:t>
        </w:r>
        <w:r>
          <w:rPr>
            <w:webHidden/>
          </w:rPr>
          <w:fldChar w:fldCharType="end"/>
        </w:r>
      </w:hyperlink>
    </w:p>
    <w:p w14:paraId="2B47E051" w14:textId="35544494"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0" w:history="1">
        <w:r w:rsidRPr="00125F40">
          <w:rPr>
            <w:rStyle w:val="Hyperlink"/>
          </w:rPr>
          <w:t>Table A4. Parameter values used to model the epidemiology of chytrid in Bell Frogs. Parameter values are per day unless otherwise indicated.</w:t>
        </w:r>
        <w:r>
          <w:rPr>
            <w:webHidden/>
          </w:rPr>
          <w:tab/>
        </w:r>
        <w:r>
          <w:rPr>
            <w:webHidden/>
          </w:rPr>
          <w:fldChar w:fldCharType="begin"/>
        </w:r>
        <w:r>
          <w:rPr>
            <w:webHidden/>
          </w:rPr>
          <w:instrText xml:space="preserve"> PAGEREF _Toc198634150 \h </w:instrText>
        </w:r>
        <w:r>
          <w:rPr>
            <w:webHidden/>
          </w:rPr>
        </w:r>
        <w:r>
          <w:rPr>
            <w:webHidden/>
          </w:rPr>
          <w:fldChar w:fldCharType="separate"/>
        </w:r>
        <w:r w:rsidR="00A03F72">
          <w:rPr>
            <w:webHidden/>
          </w:rPr>
          <w:t>81</w:t>
        </w:r>
        <w:r>
          <w:rPr>
            <w:webHidden/>
          </w:rPr>
          <w:fldChar w:fldCharType="end"/>
        </w:r>
      </w:hyperlink>
    </w:p>
    <w:p w14:paraId="3FC56F03" w14:textId="7F754B6E" w:rsidR="00BE541D" w:rsidRPr="00243764" w:rsidRDefault="00503C92" w:rsidP="00DC3852">
      <w:pPr>
        <w:pStyle w:val="TableofFigures"/>
      </w:pPr>
      <w:r>
        <w:fldChar w:fldCharType="end"/>
      </w:r>
    </w:p>
    <w:p w14:paraId="1440AE18" w14:textId="0DD92F84" w:rsidR="001F10BD" w:rsidRPr="00295C46" w:rsidRDefault="001F10BD" w:rsidP="00B2382F">
      <w:pPr>
        <w:pStyle w:val="TOCtitle"/>
        <w:rPr>
          <w:color w:val="FF0000"/>
        </w:rPr>
      </w:pPr>
      <w:r w:rsidRPr="00FE4E7A">
        <w:t>Figures</w:t>
      </w:r>
      <w:r w:rsidR="006672D5" w:rsidRPr="00FE4E7A">
        <w:t xml:space="preserve"> </w:t>
      </w:r>
    </w:p>
    <w:p w14:paraId="3DFB325A" w14:textId="79A70D9A" w:rsidR="00592EEF" w:rsidRDefault="00013B7B">
      <w:pPr>
        <w:pStyle w:val="TableofFigures"/>
        <w:rPr>
          <w:rFonts w:asciiTheme="minorHAnsi" w:eastAsiaTheme="minorEastAsia" w:hAnsiTheme="minorHAnsi" w:cstheme="minorBidi"/>
          <w:kern w:val="2"/>
          <w:sz w:val="24"/>
          <w:szCs w:val="24"/>
          <w14:ligatures w14:val="standardContextual"/>
        </w:rPr>
      </w:pPr>
      <w:r>
        <w:fldChar w:fldCharType="begin"/>
      </w:r>
      <w:r>
        <w:instrText xml:space="preserve"> TOC \h \z \t "Caption - Figure" \c </w:instrText>
      </w:r>
      <w:r>
        <w:fldChar w:fldCharType="separate"/>
      </w:r>
      <w:hyperlink w:anchor="_Toc198634151" w:history="1">
        <w:r w:rsidR="00592EEF" w:rsidRPr="00745A63">
          <w:rPr>
            <w:rStyle w:val="Hyperlink"/>
          </w:rPr>
          <w:t>Figure 1. The IUCN wildlife disease risk analysis process steps (Jakob-Hoff et al. 2014)</w:t>
        </w:r>
        <w:r w:rsidR="00592EEF">
          <w:rPr>
            <w:webHidden/>
          </w:rPr>
          <w:tab/>
        </w:r>
        <w:r w:rsidR="00592EEF">
          <w:rPr>
            <w:webHidden/>
          </w:rPr>
          <w:fldChar w:fldCharType="begin"/>
        </w:r>
        <w:r w:rsidR="00592EEF">
          <w:rPr>
            <w:webHidden/>
          </w:rPr>
          <w:instrText xml:space="preserve"> PAGEREF _Toc198634151 \h </w:instrText>
        </w:r>
        <w:r w:rsidR="00592EEF">
          <w:rPr>
            <w:webHidden/>
          </w:rPr>
        </w:r>
        <w:r w:rsidR="00592EEF">
          <w:rPr>
            <w:webHidden/>
          </w:rPr>
          <w:fldChar w:fldCharType="separate"/>
        </w:r>
        <w:r w:rsidR="00A03F72">
          <w:rPr>
            <w:webHidden/>
          </w:rPr>
          <w:t>12</w:t>
        </w:r>
        <w:r w:rsidR="00592EEF">
          <w:rPr>
            <w:webHidden/>
          </w:rPr>
          <w:fldChar w:fldCharType="end"/>
        </w:r>
      </w:hyperlink>
    </w:p>
    <w:p w14:paraId="68C76AF4" w14:textId="5ACEA03E"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2" w:history="1">
        <w:r w:rsidRPr="00745A63">
          <w:rPr>
            <w:rStyle w:val="Hyperlink"/>
          </w:rPr>
          <w:t>Figure 2. Compartment host-pathogen model including classes for susceptible (S), infected (I) and recovered (immune) (R) classes.</w:t>
        </w:r>
        <w:r>
          <w:rPr>
            <w:webHidden/>
          </w:rPr>
          <w:tab/>
        </w:r>
        <w:r>
          <w:rPr>
            <w:webHidden/>
          </w:rPr>
          <w:fldChar w:fldCharType="begin"/>
        </w:r>
        <w:r>
          <w:rPr>
            <w:webHidden/>
          </w:rPr>
          <w:instrText xml:space="preserve"> PAGEREF _Toc198634152 \h </w:instrText>
        </w:r>
        <w:r>
          <w:rPr>
            <w:webHidden/>
          </w:rPr>
        </w:r>
        <w:r>
          <w:rPr>
            <w:webHidden/>
          </w:rPr>
          <w:fldChar w:fldCharType="separate"/>
        </w:r>
        <w:r w:rsidR="00A03F72">
          <w:rPr>
            <w:webHidden/>
          </w:rPr>
          <w:t>20</w:t>
        </w:r>
        <w:r>
          <w:rPr>
            <w:webHidden/>
          </w:rPr>
          <w:fldChar w:fldCharType="end"/>
        </w:r>
      </w:hyperlink>
    </w:p>
    <w:p w14:paraId="455EFEB0" w14:textId="788DDF44"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3" w:history="1">
        <w:r w:rsidRPr="00745A63">
          <w:rPr>
            <w:rStyle w:val="Hyperlink"/>
          </w:rPr>
          <w:t>Figure 3. Compartment host-pathogen model including environmental transmission (ET), which was used to represent transmission pathways from an environmental reservoir or from sympatric species acting as a reservoir for the pathogen.</w:t>
        </w:r>
        <w:r>
          <w:rPr>
            <w:webHidden/>
          </w:rPr>
          <w:tab/>
        </w:r>
        <w:r>
          <w:rPr>
            <w:webHidden/>
          </w:rPr>
          <w:fldChar w:fldCharType="begin"/>
        </w:r>
        <w:r>
          <w:rPr>
            <w:webHidden/>
          </w:rPr>
          <w:instrText xml:space="preserve"> PAGEREF _Toc198634153 \h </w:instrText>
        </w:r>
        <w:r>
          <w:rPr>
            <w:webHidden/>
          </w:rPr>
        </w:r>
        <w:r>
          <w:rPr>
            <w:webHidden/>
          </w:rPr>
          <w:fldChar w:fldCharType="separate"/>
        </w:r>
        <w:r w:rsidR="00A03F72">
          <w:rPr>
            <w:webHidden/>
          </w:rPr>
          <w:t>20</w:t>
        </w:r>
        <w:r>
          <w:rPr>
            <w:webHidden/>
          </w:rPr>
          <w:fldChar w:fldCharType="end"/>
        </w:r>
      </w:hyperlink>
    </w:p>
    <w:p w14:paraId="685D7CED" w14:textId="29A37E61"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4" w:history="1">
        <w:r w:rsidRPr="00745A63">
          <w:rPr>
            <w:rStyle w:val="Hyperlink"/>
          </w:rPr>
          <w:t xml:space="preserve">Figure 4. Flow chart of the Feral Pig FMD individual-based model showing the progression of individuals through each of the model compartments. </w:t>
        </w:r>
        <m:oMath>
          <m:r>
            <m:rPr>
              <m:sty m:val="bi"/>
            </m:rPr>
            <w:rPr>
              <w:rStyle w:val="Hyperlink"/>
              <w:rFonts w:ascii="Cambria Math" w:hAnsi="Cambria Math"/>
            </w:rPr>
            <m:t>S</m:t>
          </m:r>
        </m:oMath>
        <w:r w:rsidRPr="00745A63">
          <w:rPr>
            <w:rStyle w:val="Hyperlink"/>
          </w:rPr>
          <w:t xml:space="preserve"> – susceptible, </w:t>
        </w:r>
        <m:oMath>
          <m:r>
            <m:rPr>
              <m:sty m:val="bi"/>
            </m:rPr>
            <w:rPr>
              <w:rStyle w:val="Hyperlink"/>
              <w:rFonts w:ascii="Cambria Math" w:hAnsi="Cambria Math"/>
            </w:rPr>
            <m:t>E</m:t>
          </m:r>
        </m:oMath>
        <w:r w:rsidRPr="00745A63">
          <w:rPr>
            <w:rStyle w:val="Hyperlink"/>
          </w:rPr>
          <w:t xml:space="preserve"> – exposed, </w:t>
        </w:r>
        <m:oMath>
          <m:r>
            <m:rPr>
              <m:sty m:val="bi"/>
            </m:rPr>
            <w:rPr>
              <w:rStyle w:val="Hyperlink"/>
              <w:rFonts w:ascii="Cambria Math" w:hAnsi="Cambria Math"/>
            </w:rPr>
            <m:t>I</m:t>
          </m:r>
        </m:oMath>
        <w:r w:rsidRPr="00745A63">
          <w:rPr>
            <w:rStyle w:val="Hyperlink"/>
          </w:rPr>
          <w:t xml:space="preserve"> – infectious, </w:t>
        </w:r>
        <m:oMath>
          <m:r>
            <m:rPr>
              <m:sty m:val="bi"/>
            </m:rPr>
            <w:rPr>
              <w:rStyle w:val="Hyperlink"/>
              <w:rFonts w:ascii="Cambria Math" w:hAnsi="Cambria Math"/>
            </w:rPr>
            <m:t>R</m:t>
          </m:r>
        </m:oMath>
        <w:r w:rsidRPr="00745A63">
          <w:rPr>
            <w:rStyle w:val="Hyperlink"/>
          </w:rPr>
          <w:t> – recovered. Parameter descriptions are given in the Appendix.</w:t>
        </w:r>
        <w:r>
          <w:rPr>
            <w:webHidden/>
          </w:rPr>
          <w:tab/>
        </w:r>
        <w:r>
          <w:rPr>
            <w:webHidden/>
          </w:rPr>
          <w:fldChar w:fldCharType="begin"/>
        </w:r>
        <w:r>
          <w:rPr>
            <w:webHidden/>
          </w:rPr>
          <w:instrText xml:space="preserve"> PAGEREF _Toc198634154 \h </w:instrText>
        </w:r>
        <w:r>
          <w:rPr>
            <w:webHidden/>
          </w:rPr>
        </w:r>
        <w:r>
          <w:rPr>
            <w:webHidden/>
          </w:rPr>
          <w:fldChar w:fldCharType="separate"/>
        </w:r>
        <w:r w:rsidR="00A03F72">
          <w:rPr>
            <w:webHidden/>
          </w:rPr>
          <w:t>29</w:t>
        </w:r>
        <w:r>
          <w:rPr>
            <w:webHidden/>
          </w:rPr>
          <w:fldChar w:fldCharType="end"/>
        </w:r>
      </w:hyperlink>
    </w:p>
    <w:p w14:paraId="658E8BE1" w14:textId="6755ECC5"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5" w:history="1">
        <w:r w:rsidRPr="00745A63">
          <w:rPr>
            <w:rStyle w:val="Hyperlink"/>
          </w:rPr>
          <w:t>Figure 5a. The progression of an outbreak of FMD in Feral Pigs over a 5-year period from the deterministic model. Parameter estimates are given in Section 6.1. N – total relative population size. S – susceptible,  I – exposed + infected, and R – recovered (prevalence).</w:t>
        </w:r>
        <w:r>
          <w:rPr>
            <w:webHidden/>
          </w:rPr>
          <w:tab/>
        </w:r>
        <w:r>
          <w:rPr>
            <w:webHidden/>
          </w:rPr>
          <w:fldChar w:fldCharType="begin"/>
        </w:r>
        <w:r>
          <w:rPr>
            <w:webHidden/>
          </w:rPr>
          <w:instrText xml:space="preserve"> PAGEREF _Toc198634155 \h </w:instrText>
        </w:r>
        <w:r>
          <w:rPr>
            <w:webHidden/>
          </w:rPr>
        </w:r>
        <w:r>
          <w:rPr>
            <w:webHidden/>
          </w:rPr>
          <w:fldChar w:fldCharType="separate"/>
        </w:r>
        <w:r w:rsidR="00A03F72">
          <w:rPr>
            <w:webHidden/>
          </w:rPr>
          <w:t>30</w:t>
        </w:r>
        <w:r>
          <w:rPr>
            <w:webHidden/>
          </w:rPr>
          <w:fldChar w:fldCharType="end"/>
        </w:r>
      </w:hyperlink>
    </w:p>
    <w:p w14:paraId="28991347" w14:textId="6C60E167"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6" w:history="1">
        <w:r w:rsidRPr="00745A63">
          <w:rPr>
            <w:rStyle w:val="Hyperlink"/>
          </w:rPr>
          <w:t xml:space="preserve">Figure 5b. Predicted uncertainty in total (relative) population size and disease states for simulated outbreaks of FMD in a population of Feral Pigs from the stochastic individual-based model. Trajectories were generated by varying key parameters by </w:t>
        </w:r>
        <m:oMath>
          <m:r>
            <w:rPr>
              <w:rStyle w:val="Hyperlink"/>
              <w:rFonts w:ascii="Cambria Math" w:hAnsi="Cambria Math"/>
            </w:rPr>
            <m:t>±</m:t>
          </m:r>
        </m:oMath>
        <w:r w:rsidRPr="00745A63">
          <w:rPr>
            <w:rStyle w:val="Hyperlink"/>
          </w:rPr>
          <w:t xml:space="preserve"> 30% and simulating 250 sets of random parameter values using Latin hypercube sampling, Solid black line – mean, dashed black lines – 90% confidence intervals. N – total relative population size, S – susceptible, I – exposed + infected (prevalence).</w:t>
        </w:r>
        <w:r>
          <w:rPr>
            <w:webHidden/>
          </w:rPr>
          <w:tab/>
        </w:r>
        <w:r>
          <w:rPr>
            <w:webHidden/>
          </w:rPr>
          <w:fldChar w:fldCharType="begin"/>
        </w:r>
        <w:r>
          <w:rPr>
            <w:webHidden/>
          </w:rPr>
          <w:instrText xml:space="preserve"> PAGEREF _Toc198634156 \h </w:instrText>
        </w:r>
        <w:r>
          <w:rPr>
            <w:webHidden/>
          </w:rPr>
        </w:r>
        <w:r>
          <w:rPr>
            <w:webHidden/>
          </w:rPr>
          <w:fldChar w:fldCharType="separate"/>
        </w:r>
        <w:r w:rsidR="00A03F72">
          <w:rPr>
            <w:webHidden/>
          </w:rPr>
          <w:t>31</w:t>
        </w:r>
        <w:r>
          <w:rPr>
            <w:webHidden/>
          </w:rPr>
          <w:fldChar w:fldCharType="end"/>
        </w:r>
      </w:hyperlink>
    </w:p>
    <w:p w14:paraId="13854AC9" w14:textId="26D94746"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7" w:history="1">
        <w:r w:rsidRPr="00745A63">
          <w:rPr>
            <w:rStyle w:val="Hyperlink"/>
          </w:rPr>
          <w:t>Figure 6. Cumulative probability of eradication of an FMD outbreak in Feral Pigs over time under the most likely parameter values with one-off culling operations of varying intensity (0, 20, 40, 60 or 80%) at either 7, 28 or 64 days after the initiation of the outbreak</w:t>
        </w:r>
        <w:r>
          <w:rPr>
            <w:webHidden/>
          </w:rPr>
          <w:tab/>
        </w:r>
        <w:r>
          <w:rPr>
            <w:webHidden/>
          </w:rPr>
          <w:fldChar w:fldCharType="begin"/>
        </w:r>
        <w:r>
          <w:rPr>
            <w:webHidden/>
          </w:rPr>
          <w:instrText xml:space="preserve"> PAGEREF _Toc198634157 \h </w:instrText>
        </w:r>
        <w:r>
          <w:rPr>
            <w:webHidden/>
          </w:rPr>
        </w:r>
        <w:r>
          <w:rPr>
            <w:webHidden/>
          </w:rPr>
          <w:fldChar w:fldCharType="separate"/>
        </w:r>
        <w:r w:rsidR="00A03F72">
          <w:rPr>
            <w:webHidden/>
          </w:rPr>
          <w:t>32</w:t>
        </w:r>
        <w:r>
          <w:rPr>
            <w:webHidden/>
          </w:rPr>
          <w:fldChar w:fldCharType="end"/>
        </w:r>
      </w:hyperlink>
    </w:p>
    <w:p w14:paraId="7B92B923" w14:textId="49D64163"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8" w:history="1">
        <w:r w:rsidRPr="00745A63">
          <w:rPr>
            <w:rStyle w:val="Hyperlink"/>
          </w:rPr>
          <w:t>Figure 7. Mean time to eradication (in weeks) for simulated FMD outbreaks under the likely parameter values with one-off culling operations of varying intensity (0, 20, 40, 60 or 80%) at either 7, 28 or 64 days after the initiation of the outbreak. Black horizontal lines give the mean and blue bars give the width of the 95% confidence interval.</w:t>
        </w:r>
        <w:r>
          <w:rPr>
            <w:webHidden/>
          </w:rPr>
          <w:tab/>
        </w:r>
        <w:r>
          <w:rPr>
            <w:webHidden/>
          </w:rPr>
          <w:fldChar w:fldCharType="begin"/>
        </w:r>
        <w:r>
          <w:rPr>
            <w:webHidden/>
          </w:rPr>
          <w:instrText xml:space="preserve"> PAGEREF _Toc198634158 \h </w:instrText>
        </w:r>
        <w:r>
          <w:rPr>
            <w:webHidden/>
          </w:rPr>
        </w:r>
        <w:r>
          <w:rPr>
            <w:webHidden/>
          </w:rPr>
          <w:fldChar w:fldCharType="separate"/>
        </w:r>
        <w:r w:rsidR="00A03F72">
          <w:rPr>
            <w:webHidden/>
          </w:rPr>
          <w:t>32</w:t>
        </w:r>
        <w:r>
          <w:rPr>
            <w:webHidden/>
          </w:rPr>
          <w:fldChar w:fldCharType="end"/>
        </w:r>
      </w:hyperlink>
    </w:p>
    <w:p w14:paraId="46D575CA" w14:textId="38FF6EC3"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59" w:history="1">
        <w:r w:rsidRPr="00745A63">
          <w:rPr>
            <w:rStyle w:val="Hyperlink"/>
          </w:rPr>
          <w:t>Figure 8. Peak FMD prevalences (proportion of exposed and infectious individuals in the population) for simulated FMD outbreaks under the likely parameter values with one-off culling operations of varying intensity (0, 20, 40, 60 or 80%) at either 7, 28 or 64 days after the initiation of the outbreak. Black horizontal lines give the mean and pink bars give the width of the 95% confidence interval.</w:t>
        </w:r>
        <w:r>
          <w:rPr>
            <w:webHidden/>
          </w:rPr>
          <w:tab/>
        </w:r>
        <w:r>
          <w:rPr>
            <w:webHidden/>
          </w:rPr>
          <w:fldChar w:fldCharType="begin"/>
        </w:r>
        <w:r>
          <w:rPr>
            <w:webHidden/>
          </w:rPr>
          <w:instrText xml:space="preserve"> PAGEREF _Toc198634159 \h </w:instrText>
        </w:r>
        <w:r>
          <w:rPr>
            <w:webHidden/>
          </w:rPr>
        </w:r>
        <w:r>
          <w:rPr>
            <w:webHidden/>
          </w:rPr>
          <w:fldChar w:fldCharType="separate"/>
        </w:r>
        <w:r w:rsidR="00A03F72">
          <w:rPr>
            <w:webHidden/>
          </w:rPr>
          <w:t>33</w:t>
        </w:r>
        <w:r>
          <w:rPr>
            <w:webHidden/>
          </w:rPr>
          <w:fldChar w:fldCharType="end"/>
        </w:r>
      </w:hyperlink>
    </w:p>
    <w:p w14:paraId="0614ACD0" w14:textId="207CBA43"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0" w:history="1">
        <w:r w:rsidRPr="00745A63">
          <w:rPr>
            <w:rStyle w:val="Hyperlink"/>
          </w:rPr>
          <w:t xml:space="preserve">Figure 9. Flow chart of the HPAI Little Penguin individual-based model showing the progression of individuals through each of the model compartments. </w:t>
        </w:r>
        <m:oMath>
          <m:r>
            <m:rPr>
              <m:sty m:val="bi"/>
            </m:rPr>
            <w:rPr>
              <w:rStyle w:val="Hyperlink"/>
              <w:rFonts w:ascii="Cambria Math" w:hAnsi="Cambria Math"/>
            </w:rPr>
            <m:t>S</m:t>
          </m:r>
        </m:oMath>
        <w:r w:rsidRPr="00745A63">
          <w:rPr>
            <w:rStyle w:val="Hyperlink"/>
          </w:rPr>
          <w:t xml:space="preserve"> – susceptible, </w:t>
        </w:r>
        <m:oMath>
          <m:r>
            <m:rPr>
              <m:sty m:val="bi"/>
            </m:rPr>
            <w:rPr>
              <w:rStyle w:val="Hyperlink"/>
              <w:rFonts w:ascii="Cambria Math" w:hAnsi="Cambria Math"/>
            </w:rPr>
            <m:t>E</m:t>
          </m:r>
        </m:oMath>
        <w:r w:rsidRPr="00745A63">
          <w:rPr>
            <w:rStyle w:val="Hyperlink"/>
          </w:rPr>
          <w:t xml:space="preserve"> – exposed, </w:t>
        </w:r>
        <m:oMath>
          <m:r>
            <m:rPr>
              <m:sty m:val="bi"/>
            </m:rPr>
            <w:rPr>
              <w:rStyle w:val="Hyperlink"/>
              <w:rFonts w:ascii="Cambria Math" w:hAnsi="Cambria Math"/>
            </w:rPr>
            <m:t>I</m:t>
          </m:r>
        </m:oMath>
        <w:r w:rsidRPr="00745A63">
          <w:rPr>
            <w:rStyle w:val="Hyperlink"/>
          </w:rPr>
          <w:t xml:space="preserve"> – infectious, </w:t>
        </w:r>
        <m:oMath>
          <m:r>
            <m:rPr>
              <m:sty m:val="bi"/>
            </m:rPr>
            <w:rPr>
              <w:rStyle w:val="Hyperlink"/>
              <w:rFonts w:ascii="Cambria Math" w:hAnsi="Cambria Math"/>
            </w:rPr>
            <m:t>R</m:t>
          </m:r>
        </m:oMath>
        <w:r w:rsidRPr="00745A63">
          <w:rPr>
            <w:rStyle w:val="Hyperlink"/>
          </w:rPr>
          <w:t> – recovered. Parameter descriptions are given in Section 6.2.</w:t>
        </w:r>
        <w:r>
          <w:rPr>
            <w:webHidden/>
          </w:rPr>
          <w:tab/>
        </w:r>
        <w:r>
          <w:rPr>
            <w:webHidden/>
          </w:rPr>
          <w:fldChar w:fldCharType="begin"/>
        </w:r>
        <w:r>
          <w:rPr>
            <w:webHidden/>
          </w:rPr>
          <w:instrText xml:space="preserve"> PAGEREF _Toc198634160 \h </w:instrText>
        </w:r>
        <w:r>
          <w:rPr>
            <w:webHidden/>
          </w:rPr>
        </w:r>
        <w:r>
          <w:rPr>
            <w:webHidden/>
          </w:rPr>
          <w:fldChar w:fldCharType="separate"/>
        </w:r>
        <w:r w:rsidR="00A03F72">
          <w:rPr>
            <w:webHidden/>
          </w:rPr>
          <w:t>34</w:t>
        </w:r>
        <w:r>
          <w:rPr>
            <w:webHidden/>
          </w:rPr>
          <w:fldChar w:fldCharType="end"/>
        </w:r>
      </w:hyperlink>
    </w:p>
    <w:p w14:paraId="623666A6" w14:textId="32B97433"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1" w:history="1">
        <w:r w:rsidRPr="00745A63">
          <w:rPr>
            <w:rStyle w:val="Hyperlink"/>
          </w:rPr>
          <w:t>Figure 10. Predicted mean trajectories for each of the disease states following an outbreak of HPAI in a population of Little Penguins. N – total population and D – deaths (relative population size), S – Susceptible, I – infected (and infectious), R – recovered (prevalence).</w:t>
        </w:r>
        <w:r>
          <w:rPr>
            <w:webHidden/>
          </w:rPr>
          <w:tab/>
        </w:r>
        <w:r>
          <w:rPr>
            <w:webHidden/>
          </w:rPr>
          <w:fldChar w:fldCharType="begin"/>
        </w:r>
        <w:r>
          <w:rPr>
            <w:webHidden/>
          </w:rPr>
          <w:instrText xml:space="preserve"> PAGEREF _Toc198634161 \h </w:instrText>
        </w:r>
        <w:r>
          <w:rPr>
            <w:webHidden/>
          </w:rPr>
        </w:r>
        <w:r>
          <w:rPr>
            <w:webHidden/>
          </w:rPr>
          <w:fldChar w:fldCharType="separate"/>
        </w:r>
        <w:r w:rsidR="00A03F72">
          <w:rPr>
            <w:webHidden/>
          </w:rPr>
          <w:t>35</w:t>
        </w:r>
        <w:r>
          <w:rPr>
            <w:webHidden/>
          </w:rPr>
          <w:fldChar w:fldCharType="end"/>
        </w:r>
      </w:hyperlink>
    </w:p>
    <w:p w14:paraId="5C0CEC42" w14:textId="4322689E"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2" w:history="1">
        <w:r w:rsidRPr="00745A63">
          <w:rPr>
            <w:rStyle w:val="Hyperlink"/>
          </w:rPr>
          <w:t xml:space="preserve">Figure 11. Predicted uncertainty in total (relative) population size (N), infection prevalence (I), and deaths (D) of High Pathogenic Avian Influenza (HPAI) in Little Penguins predicted from the stochastic IBM. Trajectories were generated by varying key parameters by </w:t>
        </w:r>
        <m:oMath>
          <m:r>
            <w:rPr>
              <w:rStyle w:val="Hyperlink"/>
              <w:rFonts w:ascii="Cambria Math" w:hAnsi="Cambria Math"/>
            </w:rPr>
            <m:t>±</m:t>
          </m:r>
        </m:oMath>
        <w:r w:rsidRPr="00745A63">
          <w:rPr>
            <w:rStyle w:val="Hyperlink"/>
          </w:rPr>
          <w:t xml:space="preserve"> 30% and simulating 250 sets of random parameter values using Latin hypercube sampling, Solid black line – mean, dashed black lines – 90% confidence intervals. Susceptible and Recovered states have been removed for clarity.</w:t>
        </w:r>
        <w:r>
          <w:rPr>
            <w:webHidden/>
          </w:rPr>
          <w:tab/>
        </w:r>
        <w:r>
          <w:rPr>
            <w:webHidden/>
          </w:rPr>
          <w:fldChar w:fldCharType="begin"/>
        </w:r>
        <w:r>
          <w:rPr>
            <w:webHidden/>
          </w:rPr>
          <w:instrText xml:space="preserve"> PAGEREF _Toc198634162 \h </w:instrText>
        </w:r>
        <w:r>
          <w:rPr>
            <w:webHidden/>
          </w:rPr>
        </w:r>
        <w:r>
          <w:rPr>
            <w:webHidden/>
          </w:rPr>
          <w:fldChar w:fldCharType="separate"/>
        </w:r>
        <w:r w:rsidR="00A03F72">
          <w:rPr>
            <w:webHidden/>
          </w:rPr>
          <w:t>36</w:t>
        </w:r>
        <w:r>
          <w:rPr>
            <w:webHidden/>
          </w:rPr>
          <w:fldChar w:fldCharType="end"/>
        </w:r>
      </w:hyperlink>
    </w:p>
    <w:p w14:paraId="76D086C6" w14:textId="196CDA9C"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3" w:history="1">
        <w:r w:rsidRPr="00745A63">
          <w:rPr>
            <w:rStyle w:val="Hyperlink"/>
          </w:rPr>
          <w:t>Figure 12. Maximum mortality rate of Little Penguins due to HPAI, estimated following vaccination programs achieving varying rates of population coverage. Vaccination was assumed to be applied just prior to arrival of HPAI.</w:t>
        </w:r>
        <w:r>
          <w:rPr>
            <w:webHidden/>
          </w:rPr>
          <w:tab/>
        </w:r>
        <w:r>
          <w:rPr>
            <w:webHidden/>
          </w:rPr>
          <w:fldChar w:fldCharType="begin"/>
        </w:r>
        <w:r>
          <w:rPr>
            <w:webHidden/>
          </w:rPr>
          <w:instrText xml:space="preserve"> PAGEREF _Toc198634163 \h </w:instrText>
        </w:r>
        <w:r>
          <w:rPr>
            <w:webHidden/>
          </w:rPr>
        </w:r>
        <w:r>
          <w:rPr>
            <w:webHidden/>
          </w:rPr>
          <w:fldChar w:fldCharType="separate"/>
        </w:r>
        <w:r w:rsidR="00A03F72">
          <w:rPr>
            <w:webHidden/>
          </w:rPr>
          <w:t>37</w:t>
        </w:r>
        <w:r>
          <w:rPr>
            <w:webHidden/>
          </w:rPr>
          <w:fldChar w:fldCharType="end"/>
        </w:r>
      </w:hyperlink>
    </w:p>
    <w:p w14:paraId="38CF623A" w14:textId="4C8BE618"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4" w:history="1">
        <w:r w:rsidRPr="00745A63">
          <w:rPr>
            <w:rStyle w:val="Hyperlink"/>
          </w:rPr>
          <w:t>Figure 13. Maximum mortality rate of Little Penguins due to HPAI, estimated following vaccination programs achieving varying rates of population coverage. Vaccination was assumed to be initiated 5 days following the arrival of HPAI, taking 30 days to achieve the desired level of population coverage.</w:t>
        </w:r>
        <w:r>
          <w:rPr>
            <w:webHidden/>
          </w:rPr>
          <w:tab/>
        </w:r>
        <w:r>
          <w:rPr>
            <w:webHidden/>
          </w:rPr>
          <w:fldChar w:fldCharType="begin"/>
        </w:r>
        <w:r>
          <w:rPr>
            <w:webHidden/>
          </w:rPr>
          <w:instrText xml:space="preserve"> PAGEREF _Toc198634164 \h </w:instrText>
        </w:r>
        <w:r>
          <w:rPr>
            <w:webHidden/>
          </w:rPr>
        </w:r>
        <w:r>
          <w:rPr>
            <w:webHidden/>
          </w:rPr>
          <w:fldChar w:fldCharType="separate"/>
        </w:r>
        <w:r w:rsidR="00A03F72">
          <w:rPr>
            <w:webHidden/>
          </w:rPr>
          <w:t>37</w:t>
        </w:r>
        <w:r>
          <w:rPr>
            <w:webHidden/>
          </w:rPr>
          <w:fldChar w:fldCharType="end"/>
        </w:r>
      </w:hyperlink>
    </w:p>
    <w:p w14:paraId="06F80E23" w14:textId="60C0E9D2"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5" w:history="1">
        <w:r w:rsidRPr="00745A63">
          <w:rPr>
            <w:rStyle w:val="Hyperlink"/>
          </w:rPr>
          <w:t xml:space="preserve">Figure 14. Flow chart of the transmission of WNS in SBWBs during the hibernation phase (torpor period) used for the individual-based model, showing the progression of individuals through each of the model compartments. </w:t>
        </w:r>
        <m:oMath>
          <m:r>
            <m:rPr>
              <m:sty m:val="bi"/>
            </m:rPr>
            <w:rPr>
              <w:rStyle w:val="Hyperlink"/>
              <w:rFonts w:ascii="Cambria Math" w:hAnsi="Cambria Math"/>
            </w:rPr>
            <m:t>S</m:t>
          </m:r>
        </m:oMath>
        <w:r w:rsidRPr="00745A63">
          <w:rPr>
            <w:rStyle w:val="Hyperlink"/>
          </w:rPr>
          <w:t xml:space="preserve"> – susceptible, </w:t>
        </w:r>
        <m:oMath>
          <m:r>
            <m:rPr>
              <m:sty m:val="bi"/>
            </m:rPr>
            <w:rPr>
              <w:rStyle w:val="Hyperlink"/>
              <w:rFonts w:ascii="Cambria Math" w:hAnsi="Cambria Math"/>
            </w:rPr>
            <m:t>E</m:t>
          </m:r>
        </m:oMath>
        <w:r w:rsidRPr="00745A63">
          <w:rPr>
            <w:rStyle w:val="Hyperlink"/>
          </w:rPr>
          <w:t xml:space="preserve"> – exposed, </w:t>
        </w:r>
        <m:oMath>
          <m:r>
            <m:rPr>
              <m:sty m:val="bi"/>
            </m:rPr>
            <w:rPr>
              <w:rStyle w:val="Hyperlink"/>
              <w:rFonts w:ascii="Cambria Math" w:hAnsi="Cambria Math"/>
            </w:rPr>
            <m:t>I</m:t>
          </m:r>
        </m:oMath>
        <w:r w:rsidRPr="00745A63">
          <w:rPr>
            <w:rStyle w:val="Hyperlink"/>
          </w:rPr>
          <w:t xml:space="preserve"> – infectious, </w:t>
        </w:r>
        <m:oMath>
          <m:r>
            <m:rPr>
              <m:sty m:val="bi"/>
            </m:rPr>
            <w:rPr>
              <w:rStyle w:val="Hyperlink"/>
              <w:rFonts w:ascii="Cambria Math" w:hAnsi="Cambria Math"/>
            </w:rPr>
            <m:t>P</m:t>
          </m:r>
        </m:oMath>
        <w:r w:rsidRPr="00745A63">
          <w:rPr>
            <w:rStyle w:val="Hyperlink"/>
          </w:rPr>
          <w:t xml:space="preserve"> – pathogen in the cave environment.</w:t>
        </w:r>
        <w:r>
          <w:rPr>
            <w:webHidden/>
          </w:rPr>
          <w:tab/>
        </w:r>
        <w:r>
          <w:rPr>
            <w:webHidden/>
          </w:rPr>
          <w:fldChar w:fldCharType="begin"/>
        </w:r>
        <w:r>
          <w:rPr>
            <w:webHidden/>
          </w:rPr>
          <w:instrText xml:space="preserve"> PAGEREF _Toc198634165 \h </w:instrText>
        </w:r>
        <w:r>
          <w:rPr>
            <w:webHidden/>
          </w:rPr>
        </w:r>
        <w:r>
          <w:rPr>
            <w:webHidden/>
          </w:rPr>
          <w:fldChar w:fldCharType="separate"/>
        </w:r>
        <w:r w:rsidR="00A03F72">
          <w:rPr>
            <w:webHidden/>
          </w:rPr>
          <w:t>39</w:t>
        </w:r>
        <w:r>
          <w:rPr>
            <w:webHidden/>
          </w:rPr>
          <w:fldChar w:fldCharType="end"/>
        </w:r>
      </w:hyperlink>
    </w:p>
    <w:p w14:paraId="7542F7A1" w14:textId="4C5A160D"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6" w:history="1">
        <w:r w:rsidRPr="00745A63">
          <w:rPr>
            <w:rStyle w:val="Hyperlink"/>
          </w:rPr>
          <w:t xml:space="preserve">Figure 15. Flow chart of the transmission of WNS in SBWBs during the active phase used for the individual-based model, showing the progression of individuals through each of the model compartments. </w:t>
        </w:r>
        <m:oMath>
          <m:r>
            <m:rPr>
              <m:sty m:val="bi"/>
            </m:rPr>
            <w:rPr>
              <w:rStyle w:val="Hyperlink"/>
              <w:rFonts w:ascii="Cambria Math" w:hAnsi="Cambria Math"/>
            </w:rPr>
            <m:t>S</m:t>
          </m:r>
        </m:oMath>
        <w:r w:rsidRPr="00745A63">
          <w:rPr>
            <w:rStyle w:val="Hyperlink"/>
          </w:rPr>
          <w:t xml:space="preserve"> – susceptible, </w:t>
        </w:r>
        <m:oMath>
          <m:r>
            <m:rPr>
              <m:sty m:val="bi"/>
            </m:rPr>
            <w:rPr>
              <w:rStyle w:val="Hyperlink"/>
              <w:rFonts w:ascii="Cambria Math" w:hAnsi="Cambria Math"/>
            </w:rPr>
            <m:t>E</m:t>
          </m:r>
        </m:oMath>
        <w:r w:rsidRPr="00745A63">
          <w:rPr>
            <w:rStyle w:val="Hyperlink"/>
          </w:rPr>
          <w:t xml:space="preserve"> – exposed, </w:t>
        </w:r>
        <m:oMath>
          <m:r>
            <m:rPr>
              <m:sty m:val="bi"/>
            </m:rPr>
            <w:rPr>
              <w:rStyle w:val="Hyperlink"/>
              <w:rFonts w:ascii="Cambria Math" w:hAnsi="Cambria Math"/>
            </w:rPr>
            <m:t>I</m:t>
          </m:r>
        </m:oMath>
        <w:r w:rsidRPr="00745A63">
          <w:rPr>
            <w:rStyle w:val="Hyperlink"/>
          </w:rPr>
          <w:t xml:space="preserve"> – infectious, </w:t>
        </w:r>
        <m:oMath>
          <m:r>
            <m:rPr>
              <m:sty m:val="bi"/>
            </m:rPr>
            <w:rPr>
              <w:rStyle w:val="Hyperlink"/>
              <w:rFonts w:ascii="Cambria Math" w:hAnsi="Cambria Math"/>
            </w:rPr>
            <m:t>P</m:t>
          </m:r>
        </m:oMath>
        <w:r w:rsidRPr="00745A63">
          <w:rPr>
            <w:rStyle w:val="Hyperlink"/>
          </w:rPr>
          <w:t xml:space="preserve"> – pathogen in the cave environment. Parameter descriptions are given in Section 6.3.</w:t>
        </w:r>
        <w:r>
          <w:rPr>
            <w:webHidden/>
          </w:rPr>
          <w:tab/>
        </w:r>
        <w:r>
          <w:rPr>
            <w:webHidden/>
          </w:rPr>
          <w:fldChar w:fldCharType="begin"/>
        </w:r>
        <w:r>
          <w:rPr>
            <w:webHidden/>
          </w:rPr>
          <w:instrText xml:space="preserve"> PAGEREF _Toc198634166 \h </w:instrText>
        </w:r>
        <w:r>
          <w:rPr>
            <w:webHidden/>
          </w:rPr>
        </w:r>
        <w:r>
          <w:rPr>
            <w:webHidden/>
          </w:rPr>
          <w:fldChar w:fldCharType="separate"/>
        </w:r>
        <w:r w:rsidR="00A03F72">
          <w:rPr>
            <w:webHidden/>
          </w:rPr>
          <w:t>40</w:t>
        </w:r>
        <w:r>
          <w:rPr>
            <w:webHidden/>
          </w:rPr>
          <w:fldChar w:fldCharType="end"/>
        </w:r>
      </w:hyperlink>
    </w:p>
    <w:p w14:paraId="2522CE0E" w14:textId="023F36EB"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7" w:history="1">
        <w:r w:rsidRPr="00745A63">
          <w:rPr>
            <w:rStyle w:val="Hyperlink"/>
          </w:rPr>
          <w:t>Figure 16a. Predicted mean trajectories for each of the disease states following an outbreak of White Nose Syndrome in a population of Southern Bent-wing Bats assuming bats undergo a 7-month period of torpor. N – total relative population size, S – susceptible, E – exposed, I – infected (prevalence).</w:t>
        </w:r>
        <w:r>
          <w:rPr>
            <w:webHidden/>
          </w:rPr>
          <w:tab/>
        </w:r>
        <w:r>
          <w:rPr>
            <w:webHidden/>
          </w:rPr>
          <w:fldChar w:fldCharType="begin"/>
        </w:r>
        <w:r>
          <w:rPr>
            <w:webHidden/>
          </w:rPr>
          <w:instrText xml:space="preserve"> PAGEREF _Toc198634167 \h </w:instrText>
        </w:r>
        <w:r>
          <w:rPr>
            <w:webHidden/>
          </w:rPr>
        </w:r>
        <w:r>
          <w:rPr>
            <w:webHidden/>
          </w:rPr>
          <w:fldChar w:fldCharType="separate"/>
        </w:r>
        <w:r w:rsidR="00A03F72">
          <w:rPr>
            <w:webHidden/>
          </w:rPr>
          <w:t>41</w:t>
        </w:r>
        <w:r>
          <w:rPr>
            <w:webHidden/>
          </w:rPr>
          <w:fldChar w:fldCharType="end"/>
        </w:r>
      </w:hyperlink>
    </w:p>
    <w:p w14:paraId="4347BE96" w14:textId="4FB70B2E"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8" w:history="1">
        <w:r w:rsidRPr="00745A63">
          <w:rPr>
            <w:rStyle w:val="Hyperlink"/>
          </w:rPr>
          <w:t xml:space="preserve">Figure 16b. Predicted uncertainty in total relative population size (N), Susceptible (S) and infection prevalence (I) following an outbreak of White Nose Syndrome in a population of Southern Bent-wing Bats, assuming bats undergo a 7-month period of torpor. Trajectories were generated by varying key parameters by </w:t>
        </w:r>
        <m:oMath>
          <m:r>
            <w:rPr>
              <w:rStyle w:val="Hyperlink"/>
              <w:rFonts w:ascii="Cambria Math" w:hAnsi="Cambria Math"/>
            </w:rPr>
            <m:t>±</m:t>
          </m:r>
        </m:oMath>
        <w:r w:rsidRPr="00745A63">
          <w:rPr>
            <w:rStyle w:val="Hyperlink"/>
          </w:rPr>
          <w:t xml:space="preserve"> 30% and simulating 250 sets of random parameter values using Latin hypercube sampling. Solid black line – mean, dashed black lines – 90% confidence intervals. Exposed states have been removed for clarity.</w:t>
        </w:r>
        <w:r>
          <w:rPr>
            <w:webHidden/>
          </w:rPr>
          <w:tab/>
        </w:r>
        <w:r>
          <w:rPr>
            <w:webHidden/>
          </w:rPr>
          <w:fldChar w:fldCharType="begin"/>
        </w:r>
        <w:r>
          <w:rPr>
            <w:webHidden/>
          </w:rPr>
          <w:instrText xml:space="preserve"> PAGEREF _Toc198634168 \h </w:instrText>
        </w:r>
        <w:r>
          <w:rPr>
            <w:webHidden/>
          </w:rPr>
        </w:r>
        <w:r>
          <w:rPr>
            <w:webHidden/>
          </w:rPr>
          <w:fldChar w:fldCharType="separate"/>
        </w:r>
        <w:r w:rsidR="00A03F72">
          <w:rPr>
            <w:webHidden/>
          </w:rPr>
          <w:t>42</w:t>
        </w:r>
        <w:r>
          <w:rPr>
            <w:webHidden/>
          </w:rPr>
          <w:fldChar w:fldCharType="end"/>
        </w:r>
      </w:hyperlink>
    </w:p>
    <w:p w14:paraId="32674F9E" w14:textId="4F023444"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69" w:history="1">
        <w:r w:rsidRPr="00745A63">
          <w:rPr>
            <w:rStyle w:val="Hyperlink"/>
          </w:rPr>
          <w:t xml:space="preserve">Figure 17. Population trajectories of the SBWB following an incursion of WNS for varying numbers of days spent in torpor by bats during winter (see text for details). N – total population (relative to starting population); I – prevalence of infected bats (proportion of current population infected). Light blue and </w:t>
        </w:r>
        <w:r w:rsidRPr="00745A63">
          <w:rPr>
            <w:rStyle w:val="Hyperlink"/>
          </w:rPr>
          <w:lastRenderedPageBreak/>
          <w:t>red lines indicate trajectories from each simulation while black solid and dashed lines indicate the mean and 90% confidence intervals, respectively.</w:t>
        </w:r>
        <w:r>
          <w:rPr>
            <w:webHidden/>
          </w:rPr>
          <w:tab/>
        </w:r>
        <w:r>
          <w:rPr>
            <w:webHidden/>
          </w:rPr>
          <w:fldChar w:fldCharType="begin"/>
        </w:r>
        <w:r>
          <w:rPr>
            <w:webHidden/>
          </w:rPr>
          <w:instrText xml:space="preserve"> PAGEREF _Toc198634169 \h </w:instrText>
        </w:r>
        <w:r>
          <w:rPr>
            <w:webHidden/>
          </w:rPr>
        </w:r>
        <w:r>
          <w:rPr>
            <w:webHidden/>
          </w:rPr>
          <w:fldChar w:fldCharType="separate"/>
        </w:r>
        <w:r w:rsidR="00A03F72">
          <w:rPr>
            <w:webHidden/>
          </w:rPr>
          <w:t>43</w:t>
        </w:r>
        <w:r>
          <w:rPr>
            <w:webHidden/>
          </w:rPr>
          <w:fldChar w:fldCharType="end"/>
        </w:r>
      </w:hyperlink>
    </w:p>
    <w:p w14:paraId="4066330B" w14:textId="51189351"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0" w:history="1">
        <w:r w:rsidRPr="00745A63">
          <w:rPr>
            <w:rStyle w:val="Hyperlink"/>
          </w:rPr>
          <w:t>Figure 18. Relative population size after 10 years following an introduction of WNS into the SBWB population in Warrnambool cave, for various periods (days) spent in winter torpor each year.</w:t>
        </w:r>
        <w:r>
          <w:rPr>
            <w:webHidden/>
          </w:rPr>
          <w:tab/>
        </w:r>
        <w:r>
          <w:rPr>
            <w:webHidden/>
          </w:rPr>
          <w:fldChar w:fldCharType="begin"/>
        </w:r>
        <w:r>
          <w:rPr>
            <w:webHidden/>
          </w:rPr>
          <w:instrText xml:space="preserve"> PAGEREF _Toc198634170 \h </w:instrText>
        </w:r>
        <w:r>
          <w:rPr>
            <w:webHidden/>
          </w:rPr>
        </w:r>
        <w:r>
          <w:rPr>
            <w:webHidden/>
          </w:rPr>
          <w:fldChar w:fldCharType="separate"/>
        </w:r>
        <w:r w:rsidR="00A03F72">
          <w:rPr>
            <w:webHidden/>
          </w:rPr>
          <w:t>44</w:t>
        </w:r>
        <w:r>
          <w:rPr>
            <w:webHidden/>
          </w:rPr>
          <w:fldChar w:fldCharType="end"/>
        </w:r>
      </w:hyperlink>
    </w:p>
    <w:p w14:paraId="2BC11440" w14:textId="27CA6806"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1" w:history="1">
        <w:r w:rsidRPr="00745A63">
          <w:rPr>
            <w:rStyle w:val="Hyperlink"/>
          </w:rPr>
          <w:t xml:space="preserve">Figure 19. Flow chart of the transmission of the Chytrid pathogen in Bell Frogs inhabiting a single waterbody, used for the individual-based model showing the progression of individuals through each of the model compartments. </w:t>
        </w:r>
        <m:oMath>
          <m:r>
            <m:rPr>
              <m:sty m:val="bi"/>
            </m:rPr>
            <w:rPr>
              <w:rStyle w:val="Hyperlink"/>
              <w:rFonts w:ascii="Cambria Math" w:hAnsi="Cambria Math"/>
            </w:rPr>
            <m:t>S</m:t>
          </m:r>
        </m:oMath>
        <w:r w:rsidRPr="00745A63">
          <w:rPr>
            <w:rStyle w:val="Hyperlink"/>
          </w:rPr>
          <w:t xml:space="preserve"> – susceptible, </w:t>
        </w:r>
        <m:oMath>
          <m:r>
            <m:rPr>
              <m:sty m:val="bi"/>
            </m:rPr>
            <w:rPr>
              <w:rStyle w:val="Hyperlink"/>
              <w:rFonts w:ascii="Cambria Math" w:hAnsi="Cambria Math"/>
            </w:rPr>
            <m:t>I</m:t>
          </m:r>
        </m:oMath>
        <w:r w:rsidRPr="00745A63">
          <w:rPr>
            <w:rStyle w:val="Hyperlink"/>
          </w:rPr>
          <w:t xml:space="preserve"> – infected, </w:t>
        </w:r>
        <m:oMath>
          <m:r>
            <m:rPr>
              <m:sty m:val="bi"/>
            </m:rPr>
            <w:rPr>
              <w:rStyle w:val="Hyperlink"/>
              <w:rFonts w:ascii="Cambria Math" w:hAnsi="Cambria Math"/>
            </w:rPr>
            <m:t>Sr</m:t>
          </m:r>
        </m:oMath>
        <w:r w:rsidRPr="00745A63">
          <w:rPr>
            <w:rStyle w:val="Hyperlink"/>
          </w:rPr>
          <w:t xml:space="preserve"> – recovered and susceptible, </w:t>
        </w:r>
        <m:oMath>
          <m:r>
            <m:rPr>
              <m:sty m:val="bi"/>
            </m:rPr>
            <w:rPr>
              <w:rStyle w:val="Hyperlink"/>
              <w:rFonts w:ascii="Cambria Math" w:hAnsi="Cambria Math"/>
            </w:rPr>
            <m:t>Ir</m:t>
          </m:r>
        </m:oMath>
        <w:r w:rsidRPr="00745A63">
          <w:rPr>
            <w:rStyle w:val="Hyperlink"/>
          </w:rPr>
          <w:t xml:space="preserve"> – recovered and re-infected, </w:t>
        </w:r>
        <m:oMath>
          <m:r>
            <m:rPr>
              <m:sty m:val="bi"/>
            </m:rPr>
            <w:rPr>
              <w:rStyle w:val="Hyperlink"/>
              <w:rFonts w:ascii="Cambria Math" w:hAnsi="Cambria Math"/>
            </w:rPr>
            <m:t>P</m:t>
          </m:r>
        </m:oMath>
        <w:r w:rsidRPr="00745A63">
          <w:rPr>
            <w:rStyle w:val="Hyperlink"/>
          </w:rPr>
          <w:t xml:space="preserve"> – environmental reservoir of the pathogen. Parameter descriptions are given in Section 6.4.</w:t>
        </w:r>
        <w:r>
          <w:rPr>
            <w:webHidden/>
          </w:rPr>
          <w:tab/>
        </w:r>
        <w:r>
          <w:rPr>
            <w:webHidden/>
          </w:rPr>
          <w:fldChar w:fldCharType="begin"/>
        </w:r>
        <w:r>
          <w:rPr>
            <w:webHidden/>
          </w:rPr>
          <w:instrText xml:space="preserve"> PAGEREF _Toc198634171 \h </w:instrText>
        </w:r>
        <w:r>
          <w:rPr>
            <w:webHidden/>
          </w:rPr>
        </w:r>
        <w:r>
          <w:rPr>
            <w:webHidden/>
          </w:rPr>
          <w:fldChar w:fldCharType="separate"/>
        </w:r>
        <w:r w:rsidR="00A03F72">
          <w:rPr>
            <w:webHidden/>
          </w:rPr>
          <w:t>45</w:t>
        </w:r>
        <w:r>
          <w:rPr>
            <w:webHidden/>
          </w:rPr>
          <w:fldChar w:fldCharType="end"/>
        </w:r>
      </w:hyperlink>
    </w:p>
    <w:p w14:paraId="29329A44" w14:textId="38DF1770"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2" w:history="1">
        <w:r w:rsidRPr="00745A63">
          <w:rPr>
            <w:rStyle w:val="Hyperlink"/>
          </w:rPr>
          <w:t>Figure 20. Relationship between maximum zoospore load (log</w:t>
        </w:r>
        <w:r w:rsidRPr="00745A63">
          <w:rPr>
            <w:rStyle w:val="Hyperlink"/>
            <w:vertAlign w:val="subscript"/>
          </w:rPr>
          <w:t>10</w:t>
        </w:r>
        <w:r w:rsidRPr="00745A63">
          <w:rPr>
            <w:rStyle w:val="Hyperlink"/>
          </w:rPr>
          <w:t xml:space="preserve"> scale) per infected individual </w:t>
        </w:r>
        <m:oMath>
          <m:r>
            <m:rPr>
              <m:sty m:val="bi"/>
            </m:rPr>
            <w:rPr>
              <w:rStyle w:val="Hyperlink"/>
              <w:rFonts w:ascii="Cambria Math" w:hAnsi="Cambria Math"/>
            </w:rPr>
            <m:t>Zmax</m:t>
          </m:r>
        </m:oMath>
        <w:r w:rsidRPr="00745A63">
          <w:rPr>
            <w:rStyle w:val="Hyperlink"/>
          </w:rPr>
          <w:t xml:space="preserve"> and temperature for frogs, with and without prior exposure to </w:t>
        </w:r>
        <w:r w:rsidRPr="00745A63">
          <w:rPr>
            <w:rStyle w:val="Hyperlink"/>
            <w:i/>
            <w:iCs/>
          </w:rPr>
          <w:t>Bd</w:t>
        </w:r>
        <w:r w:rsidRPr="00745A63">
          <w:rPr>
            <w:rStyle w:val="Hyperlink"/>
          </w:rPr>
          <w:t xml:space="preserve">. Dashed line indicates the threshold zoospore load </w:t>
        </w:r>
        <m:oMath>
          <m:r>
            <m:rPr>
              <m:sty m:val="bi"/>
            </m:rPr>
            <w:rPr>
              <w:rStyle w:val="Hyperlink"/>
              <w:rFonts w:ascii="Cambria Math" w:hAnsi="Cambria Math"/>
            </w:rPr>
            <m:t>ZT</m:t>
          </m:r>
        </m:oMath>
        <w:r w:rsidRPr="00745A63">
          <w:rPr>
            <w:rStyle w:val="Hyperlink"/>
          </w:rPr>
          <w:t xml:space="preserve"> above which, mortality from Chytridiomycosis occurs.</w:t>
        </w:r>
        <w:r>
          <w:rPr>
            <w:webHidden/>
          </w:rPr>
          <w:tab/>
        </w:r>
        <w:r>
          <w:rPr>
            <w:webHidden/>
          </w:rPr>
          <w:fldChar w:fldCharType="begin"/>
        </w:r>
        <w:r>
          <w:rPr>
            <w:webHidden/>
          </w:rPr>
          <w:instrText xml:space="preserve"> PAGEREF _Toc198634172 \h </w:instrText>
        </w:r>
        <w:r>
          <w:rPr>
            <w:webHidden/>
          </w:rPr>
        </w:r>
        <w:r>
          <w:rPr>
            <w:webHidden/>
          </w:rPr>
          <w:fldChar w:fldCharType="separate"/>
        </w:r>
        <w:r w:rsidR="00A03F72">
          <w:rPr>
            <w:webHidden/>
          </w:rPr>
          <w:t>47</w:t>
        </w:r>
        <w:r>
          <w:rPr>
            <w:webHidden/>
          </w:rPr>
          <w:fldChar w:fldCharType="end"/>
        </w:r>
      </w:hyperlink>
    </w:p>
    <w:p w14:paraId="1554F354" w14:textId="5BE1BA92"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3" w:history="1">
        <w:r w:rsidRPr="00745A63">
          <w:rPr>
            <w:rStyle w:val="Hyperlink"/>
          </w:rPr>
          <w:t>Figure 21. Growth rate of zoospores (Z) on infected frogs (log</w:t>
        </w:r>
        <w:r w:rsidRPr="00745A63">
          <w:rPr>
            <w:rStyle w:val="Hyperlink"/>
            <w:vertAlign w:val="subscript"/>
          </w:rPr>
          <w:t>10</w:t>
        </w:r>
        <w:r w:rsidRPr="00745A63">
          <w:rPr>
            <w:rStyle w:val="Hyperlink"/>
          </w:rPr>
          <w:t xml:space="preserve"> scale) with time since infection at various ambient temperatures for frogs, with and without prior exposure to </w:t>
        </w:r>
        <w:r w:rsidRPr="00745A63">
          <w:rPr>
            <w:rStyle w:val="Hyperlink"/>
            <w:i/>
            <w:iCs/>
          </w:rPr>
          <w:t>Bd</w:t>
        </w:r>
        <w:r w:rsidRPr="00745A63">
          <w:rPr>
            <w:rStyle w:val="Hyperlink"/>
          </w:rPr>
          <w:t xml:space="preserve">. Dashed line indicates the value of </w:t>
        </w:r>
        <m:oMath>
          <m:r>
            <m:rPr>
              <m:sty m:val="bi"/>
            </m:rPr>
            <w:rPr>
              <w:rStyle w:val="Hyperlink"/>
              <w:rFonts w:ascii="Cambria Math" w:hAnsi="Cambria Math"/>
            </w:rPr>
            <m:t>Zt</m:t>
          </m:r>
        </m:oMath>
        <w:r w:rsidRPr="00745A63">
          <w:rPr>
            <w:rStyle w:val="Hyperlink"/>
          </w:rPr>
          <w:t xml:space="preserve"> above which, significant frog mortality occurs.</w:t>
        </w:r>
        <w:r>
          <w:rPr>
            <w:webHidden/>
          </w:rPr>
          <w:tab/>
        </w:r>
        <w:r>
          <w:rPr>
            <w:webHidden/>
          </w:rPr>
          <w:fldChar w:fldCharType="begin"/>
        </w:r>
        <w:r>
          <w:rPr>
            <w:webHidden/>
          </w:rPr>
          <w:instrText xml:space="preserve"> PAGEREF _Toc198634173 \h </w:instrText>
        </w:r>
        <w:r>
          <w:rPr>
            <w:webHidden/>
          </w:rPr>
        </w:r>
        <w:r>
          <w:rPr>
            <w:webHidden/>
          </w:rPr>
          <w:fldChar w:fldCharType="separate"/>
        </w:r>
        <w:r w:rsidR="00A03F72">
          <w:rPr>
            <w:webHidden/>
          </w:rPr>
          <w:t>47</w:t>
        </w:r>
        <w:r>
          <w:rPr>
            <w:webHidden/>
          </w:rPr>
          <w:fldChar w:fldCharType="end"/>
        </w:r>
      </w:hyperlink>
    </w:p>
    <w:p w14:paraId="7707A212" w14:textId="326D5D73"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4" w:history="1">
        <w:r w:rsidRPr="00745A63">
          <w:rPr>
            <w:rStyle w:val="Hyperlink"/>
          </w:rPr>
          <w:t>Figure 22. Seasonal maximum daytime temperature regimes for three simulated wetlands representing ‘cold’, ‘warm’ and ‘hot’ thermal environments.</w:t>
        </w:r>
        <w:r>
          <w:rPr>
            <w:webHidden/>
          </w:rPr>
          <w:tab/>
        </w:r>
        <w:r>
          <w:rPr>
            <w:webHidden/>
          </w:rPr>
          <w:fldChar w:fldCharType="begin"/>
        </w:r>
        <w:r>
          <w:rPr>
            <w:webHidden/>
          </w:rPr>
          <w:instrText xml:space="preserve"> PAGEREF _Toc198634174 \h </w:instrText>
        </w:r>
        <w:r>
          <w:rPr>
            <w:webHidden/>
          </w:rPr>
        </w:r>
        <w:r>
          <w:rPr>
            <w:webHidden/>
          </w:rPr>
          <w:fldChar w:fldCharType="separate"/>
        </w:r>
        <w:r w:rsidR="00A03F72">
          <w:rPr>
            <w:webHidden/>
          </w:rPr>
          <w:t>49</w:t>
        </w:r>
        <w:r>
          <w:rPr>
            <w:webHidden/>
          </w:rPr>
          <w:fldChar w:fldCharType="end"/>
        </w:r>
      </w:hyperlink>
    </w:p>
    <w:p w14:paraId="7AE19475" w14:textId="238C3286"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5" w:history="1">
        <w:r w:rsidRPr="00745A63">
          <w:rPr>
            <w:rStyle w:val="Hyperlink"/>
          </w:rPr>
          <w:t xml:space="preserve">Figure 23. Relative population size for Bell Frogs following the introduction of </w:t>
        </w:r>
        <w:r w:rsidRPr="00745A63">
          <w:rPr>
            <w:rStyle w:val="Hyperlink"/>
            <w:i/>
            <w:iCs/>
          </w:rPr>
          <w:t>Bd</w:t>
        </w:r>
        <w:r w:rsidRPr="00745A63">
          <w:rPr>
            <w:rStyle w:val="Hyperlink"/>
          </w:rPr>
          <w:t xml:space="preserve"> for frogs inhabiting the ‘cold’ thermal environment. Black line – relative population size; red line – </w:t>
        </w:r>
        <w:r w:rsidRPr="00745A63">
          <w:rPr>
            <w:rStyle w:val="Hyperlink"/>
            <w:i/>
            <w:iCs/>
          </w:rPr>
          <w:t>Bd</w:t>
        </w:r>
        <w:r w:rsidRPr="00745A63">
          <w:rPr>
            <w:rStyle w:val="Hyperlink"/>
          </w:rPr>
          <w:t xml:space="preserve"> prevalence. Shading represents 95% uncertainty intervals.</w:t>
        </w:r>
        <w:r>
          <w:rPr>
            <w:webHidden/>
          </w:rPr>
          <w:tab/>
        </w:r>
        <w:r>
          <w:rPr>
            <w:webHidden/>
          </w:rPr>
          <w:fldChar w:fldCharType="begin"/>
        </w:r>
        <w:r>
          <w:rPr>
            <w:webHidden/>
          </w:rPr>
          <w:instrText xml:space="preserve"> PAGEREF _Toc198634175 \h </w:instrText>
        </w:r>
        <w:r>
          <w:rPr>
            <w:webHidden/>
          </w:rPr>
        </w:r>
        <w:r>
          <w:rPr>
            <w:webHidden/>
          </w:rPr>
          <w:fldChar w:fldCharType="separate"/>
        </w:r>
        <w:r w:rsidR="00A03F72">
          <w:rPr>
            <w:webHidden/>
          </w:rPr>
          <w:t>50</w:t>
        </w:r>
        <w:r>
          <w:rPr>
            <w:webHidden/>
          </w:rPr>
          <w:fldChar w:fldCharType="end"/>
        </w:r>
      </w:hyperlink>
    </w:p>
    <w:p w14:paraId="3B093986" w14:textId="0C946F9A"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6" w:history="1">
        <w:r w:rsidRPr="00745A63">
          <w:rPr>
            <w:rStyle w:val="Hyperlink"/>
          </w:rPr>
          <w:t xml:space="preserve">Figure 24. Relative population size for Bell Frogs following the introduction of </w:t>
        </w:r>
        <w:r w:rsidRPr="00745A63">
          <w:rPr>
            <w:rStyle w:val="Hyperlink"/>
            <w:i/>
            <w:iCs/>
          </w:rPr>
          <w:t>Bd</w:t>
        </w:r>
        <w:r w:rsidRPr="00745A63">
          <w:rPr>
            <w:rStyle w:val="Hyperlink"/>
          </w:rPr>
          <w:t xml:space="preserve"> for frogs inhabiting the ‘warm’ thermal environment. Black line – total population; red line – </w:t>
        </w:r>
        <w:r w:rsidRPr="00745A63">
          <w:rPr>
            <w:rStyle w:val="Hyperlink"/>
            <w:i/>
            <w:iCs/>
          </w:rPr>
          <w:t>Bd</w:t>
        </w:r>
        <w:r w:rsidRPr="00745A63">
          <w:rPr>
            <w:rStyle w:val="Hyperlink"/>
          </w:rPr>
          <w:t xml:space="preserve"> prevalence. Shading represents 95% uncertainty intervals.</w:t>
        </w:r>
        <w:r>
          <w:rPr>
            <w:webHidden/>
          </w:rPr>
          <w:tab/>
        </w:r>
        <w:r>
          <w:rPr>
            <w:webHidden/>
          </w:rPr>
          <w:fldChar w:fldCharType="begin"/>
        </w:r>
        <w:r>
          <w:rPr>
            <w:webHidden/>
          </w:rPr>
          <w:instrText xml:space="preserve"> PAGEREF _Toc198634176 \h </w:instrText>
        </w:r>
        <w:r>
          <w:rPr>
            <w:webHidden/>
          </w:rPr>
        </w:r>
        <w:r>
          <w:rPr>
            <w:webHidden/>
          </w:rPr>
          <w:fldChar w:fldCharType="separate"/>
        </w:r>
        <w:r w:rsidR="00A03F72">
          <w:rPr>
            <w:webHidden/>
          </w:rPr>
          <w:t>50</w:t>
        </w:r>
        <w:r>
          <w:rPr>
            <w:webHidden/>
          </w:rPr>
          <w:fldChar w:fldCharType="end"/>
        </w:r>
      </w:hyperlink>
    </w:p>
    <w:p w14:paraId="6BF0AE9B" w14:textId="0F2CE703"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7" w:history="1">
        <w:r w:rsidRPr="00745A63">
          <w:rPr>
            <w:rStyle w:val="Hyperlink"/>
          </w:rPr>
          <w:t xml:space="preserve">Figure 25. Relative population size for Bell Frogs following the introduction of </w:t>
        </w:r>
        <w:r w:rsidRPr="00745A63">
          <w:rPr>
            <w:rStyle w:val="Hyperlink"/>
            <w:i/>
            <w:iCs/>
          </w:rPr>
          <w:t>Bd</w:t>
        </w:r>
        <w:r w:rsidRPr="00745A63">
          <w:rPr>
            <w:rStyle w:val="Hyperlink"/>
          </w:rPr>
          <w:t xml:space="preserve"> for frogs inhabiting the ‘hot’ thermal environment. Black line – total population; red line – </w:t>
        </w:r>
        <w:r w:rsidRPr="00745A63">
          <w:rPr>
            <w:rStyle w:val="Hyperlink"/>
            <w:i/>
            <w:iCs/>
          </w:rPr>
          <w:t>Bd</w:t>
        </w:r>
        <w:r w:rsidRPr="00745A63">
          <w:rPr>
            <w:rStyle w:val="Hyperlink"/>
          </w:rPr>
          <w:t xml:space="preserve"> prevalence. Shading represents 95% uncertainty intervals.</w:t>
        </w:r>
        <w:r>
          <w:rPr>
            <w:webHidden/>
          </w:rPr>
          <w:tab/>
        </w:r>
        <w:r>
          <w:rPr>
            <w:webHidden/>
          </w:rPr>
          <w:fldChar w:fldCharType="begin"/>
        </w:r>
        <w:r>
          <w:rPr>
            <w:webHidden/>
          </w:rPr>
          <w:instrText xml:space="preserve"> PAGEREF _Toc198634177 \h </w:instrText>
        </w:r>
        <w:r>
          <w:rPr>
            <w:webHidden/>
          </w:rPr>
        </w:r>
        <w:r>
          <w:rPr>
            <w:webHidden/>
          </w:rPr>
          <w:fldChar w:fldCharType="separate"/>
        </w:r>
        <w:r w:rsidR="00A03F72">
          <w:rPr>
            <w:webHidden/>
          </w:rPr>
          <w:t>51</w:t>
        </w:r>
        <w:r>
          <w:rPr>
            <w:webHidden/>
          </w:rPr>
          <w:fldChar w:fldCharType="end"/>
        </w:r>
      </w:hyperlink>
    </w:p>
    <w:p w14:paraId="0B6763DA" w14:textId="4CF4F25D"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8" w:history="1">
        <w:r w:rsidRPr="00745A63">
          <w:rPr>
            <w:rStyle w:val="Hyperlink"/>
          </w:rPr>
          <w:t xml:space="preserve">Figure 26. Relative population size for Bell Frogs following the introduction of </w:t>
        </w:r>
        <w:r w:rsidRPr="00745A63">
          <w:rPr>
            <w:rStyle w:val="Hyperlink"/>
            <w:i/>
            <w:iCs/>
          </w:rPr>
          <w:t>Bd</w:t>
        </w:r>
        <w:r w:rsidRPr="00745A63">
          <w:rPr>
            <w:rStyle w:val="Hyperlink"/>
          </w:rPr>
          <w:t xml:space="preserve"> for frogs inhabiting the ‘warm’ thermal environment before and after the introduction of thermal shelters (vertical dashed line) where the percentage of the population using shelters was 50% or 90%. Each shelter had a thermal delta of 4°C. Shading represents 95% uncertainty intervals.</w:t>
        </w:r>
        <w:r>
          <w:rPr>
            <w:webHidden/>
          </w:rPr>
          <w:tab/>
        </w:r>
        <w:r>
          <w:rPr>
            <w:webHidden/>
          </w:rPr>
          <w:fldChar w:fldCharType="begin"/>
        </w:r>
        <w:r>
          <w:rPr>
            <w:webHidden/>
          </w:rPr>
          <w:instrText xml:space="preserve"> PAGEREF _Toc198634178 \h </w:instrText>
        </w:r>
        <w:r>
          <w:rPr>
            <w:webHidden/>
          </w:rPr>
        </w:r>
        <w:r>
          <w:rPr>
            <w:webHidden/>
          </w:rPr>
          <w:fldChar w:fldCharType="separate"/>
        </w:r>
        <w:r w:rsidR="00A03F72">
          <w:rPr>
            <w:webHidden/>
          </w:rPr>
          <w:t>52</w:t>
        </w:r>
        <w:r>
          <w:rPr>
            <w:webHidden/>
          </w:rPr>
          <w:fldChar w:fldCharType="end"/>
        </w:r>
      </w:hyperlink>
    </w:p>
    <w:p w14:paraId="186E5945" w14:textId="3FC5C662"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79" w:history="1">
        <w:r w:rsidRPr="00745A63">
          <w:rPr>
            <w:rStyle w:val="Hyperlink"/>
          </w:rPr>
          <w:t xml:space="preserve">Figure 27. Relative population size for Bell Frogs following the introduction of </w:t>
        </w:r>
        <w:r w:rsidRPr="00745A63">
          <w:rPr>
            <w:rStyle w:val="Hyperlink"/>
            <w:i/>
            <w:iCs/>
          </w:rPr>
          <w:t>Bd</w:t>
        </w:r>
        <w:r w:rsidRPr="00745A63">
          <w:rPr>
            <w:rStyle w:val="Hyperlink"/>
          </w:rPr>
          <w:t xml:space="preserve"> for frogs inhabiting the ‘cold’ thermal environment. Following extirpation, 50 heat treated </w:t>
        </w:r>
        <w:r w:rsidRPr="00745A63">
          <w:rPr>
            <w:rStyle w:val="Hyperlink"/>
            <w:i/>
            <w:iCs/>
          </w:rPr>
          <w:t>Bd</w:t>
        </w:r>
        <w:r w:rsidRPr="00745A63">
          <w:rPr>
            <w:rStyle w:val="Hyperlink"/>
          </w:rPr>
          <w:t xml:space="preserve"> resistant frogs were re-introduced in year 20 (vertical dashed line). Plots show the percentage of the re-introduced population using shelters. Each shelter had a thermal delta of 4°C.</w:t>
        </w:r>
        <w:r>
          <w:rPr>
            <w:webHidden/>
          </w:rPr>
          <w:tab/>
        </w:r>
        <w:r>
          <w:rPr>
            <w:webHidden/>
          </w:rPr>
          <w:fldChar w:fldCharType="begin"/>
        </w:r>
        <w:r>
          <w:rPr>
            <w:webHidden/>
          </w:rPr>
          <w:instrText xml:space="preserve"> PAGEREF _Toc198634179 \h </w:instrText>
        </w:r>
        <w:r>
          <w:rPr>
            <w:webHidden/>
          </w:rPr>
        </w:r>
        <w:r>
          <w:rPr>
            <w:webHidden/>
          </w:rPr>
          <w:fldChar w:fldCharType="separate"/>
        </w:r>
        <w:r w:rsidR="00A03F72">
          <w:rPr>
            <w:webHidden/>
          </w:rPr>
          <w:t>53</w:t>
        </w:r>
        <w:r>
          <w:rPr>
            <w:webHidden/>
          </w:rPr>
          <w:fldChar w:fldCharType="end"/>
        </w:r>
      </w:hyperlink>
    </w:p>
    <w:p w14:paraId="5C6372F2" w14:textId="581390EE"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0" w:history="1">
        <w:r w:rsidRPr="00745A63">
          <w:rPr>
            <w:rStyle w:val="Hyperlink"/>
          </w:rPr>
          <w:t xml:space="preserve">Figure 28. Relative population size for Bell Frogs following the introduction of </w:t>
        </w:r>
        <w:r w:rsidRPr="00745A63">
          <w:rPr>
            <w:rStyle w:val="Hyperlink"/>
            <w:i/>
            <w:iCs/>
          </w:rPr>
          <w:t>Bd</w:t>
        </w:r>
        <w:r w:rsidRPr="00745A63">
          <w:rPr>
            <w:rStyle w:val="Hyperlink"/>
          </w:rPr>
          <w:t xml:space="preserve"> for frogs inhabiting the ‘cold’ thermal environment. Following extirpation, 50 heat treated </w:t>
        </w:r>
        <w:r w:rsidRPr="00745A63">
          <w:rPr>
            <w:rStyle w:val="Hyperlink"/>
            <w:i/>
            <w:iCs/>
          </w:rPr>
          <w:t>Bd</w:t>
        </w:r>
        <w:r w:rsidRPr="00745A63">
          <w:rPr>
            <w:rStyle w:val="Hyperlink"/>
          </w:rPr>
          <w:t xml:space="preserve"> resistant frogs were re-introduced in year 20 (vertical dashed line). Plots show the percentage of the re-introduced population using shelters. Each shelter had a thermal delta of 8°C.</w:t>
        </w:r>
        <w:r>
          <w:rPr>
            <w:webHidden/>
          </w:rPr>
          <w:tab/>
        </w:r>
        <w:r>
          <w:rPr>
            <w:webHidden/>
          </w:rPr>
          <w:fldChar w:fldCharType="begin"/>
        </w:r>
        <w:r>
          <w:rPr>
            <w:webHidden/>
          </w:rPr>
          <w:instrText xml:space="preserve"> PAGEREF _Toc198634180 \h </w:instrText>
        </w:r>
        <w:r>
          <w:rPr>
            <w:webHidden/>
          </w:rPr>
        </w:r>
        <w:r>
          <w:rPr>
            <w:webHidden/>
          </w:rPr>
          <w:fldChar w:fldCharType="separate"/>
        </w:r>
        <w:r w:rsidR="00A03F72">
          <w:rPr>
            <w:webHidden/>
          </w:rPr>
          <w:t>54</w:t>
        </w:r>
        <w:r>
          <w:rPr>
            <w:webHidden/>
          </w:rPr>
          <w:fldChar w:fldCharType="end"/>
        </w:r>
      </w:hyperlink>
    </w:p>
    <w:p w14:paraId="6E3DA7AC" w14:textId="3B77778E"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1" w:history="1">
        <w:r w:rsidRPr="00745A63">
          <w:rPr>
            <w:rStyle w:val="Hyperlink"/>
          </w:rPr>
          <w:t>Figure A1. Partial effects of the values of the model parameters on the logarithm of the time to disease eradication in an unmanaged outbreak of FMD. Note, the large effect of the value taken by the parameter β, which represents the density-dependent transmission rate of FMD between individual pigs.</w:t>
        </w:r>
        <w:r>
          <w:rPr>
            <w:webHidden/>
          </w:rPr>
          <w:tab/>
        </w:r>
        <w:r>
          <w:rPr>
            <w:webHidden/>
          </w:rPr>
          <w:fldChar w:fldCharType="begin"/>
        </w:r>
        <w:r>
          <w:rPr>
            <w:webHidden/>
          </w:rPr>
          <w:instrText xml:space="preserve"> PAGEREF _Toc198634181 \h </w:instrText>
        </w:r>
        <w:r>
          <w:rPr>
            <w:webHidden/>
          </w:rPr>
        </w:r>
        <w:r>
          <w:rPr>
            <w:webHidden/>
          </w:rPr>
          <w:fldChar w:fldCharType="separate"/>
        </w:r>
        <w:r w:rsidR="00A03F72">
          <w:rPr>
            <w:webHidden/>
          </w:rPr>
          <w:t>71</w:t>
        </w:r>
        <w:r>
          <w:rPr>
            <w:webHidden/>
          </w:rPr>
          <w:fldChar w:fldCharType="end"/>
        </w:r>
      </w:hyperlink>
    </w:p>
    <w:p w14:paraId="4E5651B1" w14:textId="3244BEF7"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2" w:history="1">
        <w:r w:rsidRPr="00745A63">
          <w:rPr>
            <w:rStyle w:val="Hyperlink"/>
          </w:rPr>
          <w:t>Figure A2. Trajectories of simulated FMD outbreaks where beta (transmission parameter) is set at the lower bound (top), likely value (middle) or upper bound (bottom). Each coloured line represents a separate run of the stochastic simulation, with heavy and light black lines giving the median and 95% confidence limits. The blue lines are the total number of pigs in the population and the red lines are number of pigs infected with FMD. 250 simulations were run for each of the three assumed values of beta. All other parameters were held at their likely values (Table A1).</w:t>
        </w:r>
        <w:r>
          <w:rPr>
            <w:webHidden/>
          </w:rPr>
          <w:tab/>
        </w:r>
        <w:r>
          <w:rPr>
            <w:webHidden/>
          </w:rPr>
          <w:fldChar w:fldCharType="begin"/>
        </w:r>
        <w:r>
          <w:rPr>
            <w:webHidden/>
          </w:rPr>
          <w:instrText xml:space="preserve"> PAGEREF _Toc198634182 \h </w:instrText>
        </w:r>
        <w:r>
          <w:rPr>
            <w:webHidden/>
          </w:rPr>
        </w:r>
        <w:r>
          <w:rPr>
            <w:webHidden/>
          </w:rPr>
          <w:fldChar w:fldCharType="separate"/>
        </w:r>
        <w:r w:rsidR="00A03F72">
          <w:rPr>
            <w:webHidden/>
          </w:rPr>
          <w:t>72</w:t>
        </w:r>
        <w:r>
          <w:rPr>
            <w:webHidden/>
          </w:rPr>
          <w:fldChar w:fldCharType="end"/>
        </w:r>
      </w:hyperlink>
    </w:p>
    <w:p w14:paraId="6088D5D4" w14:textId="5CF6ED97"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3" w:history="1">
        <w:r w:rsidRPr="00745A63">
          <w:rPr>
            <w:rStyle w:val="Hyperlink"/>
          </w:rPr>
          <w:t>Figure A3. Simulated FMD outbreaks where the transmission parameter beta is set at its upper bound. A one-off culling operations of varying intensity (C=20, 40, 60 or 80%) is conducted at 28 days after the origin of the outbreak. Blue lines are total population size (N), and red lines are the number of infected animals (exposed + infectious) over time. Light and heavy black lines give the median and 95% confidence intervals across all 250 runs of the simulation.</w:t>
        </w:r>
        <w:r>
          <w:rPr>
            <w:webHidden/>
          </w:rPr>
          <w:tab/>
        </w:r>
        <w:r>
          <w:rPr>
            <w:webHidden/>
          </w:rPr>
          <w:fldChar w:fldCharType="begin"/>
        </w:r>
        <w:r>
          <w:rPr>
            <w:webHidden/>
          </w:rPr>
          <w:instrText xml:space="preserve"> PAGEREF _Toc198634183 \h </w:instrText>
        </w:r>
        <w:r>
          <w:rPr>
            <w:webHidden/>
          </w:rPr>
        </w:r>
        <w:r>
          <w:rPr>
            <w:webHidden/>
          </w:rPr>
          <w:fldChar w:fldCharType="separate"/>
        </w:r>
        <w:r w:rsidR="00A03F72">
          <w:rPr>
            <w:webHidden/>
          </w:rPr>
          <w:t>73</w:t>
        </w:r>
        <w:r>
          <w:rPr>
            <w:webHidden/>
          </w:rPr>
          <w:fldChar w:fldCharType="end"/>
        </w:r>
      </w:hyperlink>
    </w:p>
    <w:p w14:paraId="7C8020BF" w14:textId="5A36575E"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4" w:history="1">
        <w:r w:rsidRPr="00745A63">
          <w:rPr>
            <w:rStyle w:val="Hyperlink"/>
          </w:rPr>
          <w:t>Figure A4. Sensitivity of the mortality rate (left) due to and peak prevalence (right) of HPAI in Little Penguins, with respect to variation in the key epidemiological parameters.</w:t>
        </w:r>
        <w:r>
          <w:rPr>
            <w:webHidden/>
          </w:rPr>
          <w:tab/>
        </w:r>
        <w:r>
          <w:rPr>
            <w:webHidden/>
          </w:rPr>
          <w:fldChar w:fldCharType="begin"/>
        </w:r>
        <w:r>
          <w:rPr>
            <w:webHidden/>
          </w:rPr>
          <w:instrText xml:space="preserve"> PAGEREF _Toc198634184 \h </w:instrText>
        </w:r>
        <w:r>
          <w:rPr>
            <w:webHidden/>
          </w:rPr>
        </w:r>
        <w:r>
          <w:rPr>
            <w:webHidden/>
          </w:rPr>
          <w:fldChar w:fldCharType="separate"/>
        </w:r>
        <w:r w:rsidR="00A03F72">
          <w:rPr>
            <w:webHidden/>
          </w:rPr>
          <w:t>75</w:t>
        </w:r>
        <w:r>
          <w:rPr>
            <w:webHidden/>
          </w:rPr>
          <w:fldChar w:fldCharType="end"/>
        </w:r>
      </w:hyperlink>
    </w:p>
    <w:p w14:paraId="5A752D75" w14:textId="519403FA"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5" w:history="1">
        <w:r w:rsidRPr="00745A63">
          <w:rPr>
            <w:rStyle w:val="Hyperlink"/>
          </w:rPr>
          <w:t>Figure A5. Trajectories for total population (N) and mortality rate (D) under vaccination programs achieving varying levels of population coverage. Vaccination was assumed to be applied just prior to the arrival of HPAI.</w:t>
        </w:r>
        <w:r>
          <w:rPr>
            <w:webHidden/>
          </w:rPr>
          <w:tab/>
        </w:r>
        <w:r>
          <w:rPr>
            <w:webHidden/>
          </w:rPr>
          <w:fldChar w:fldCharType="begin"/>
        </w:r>
        <w:r>
          <w:rPr>
            <w:webHidden/>
          </w:rPr>
          <w:instrText xml:space="preserve"> PAGEREF _Toc198634185 \h </w:instrText>
        </w:r>
        <w:r>
          <w:rPr>
            <w:webHidden/>
          </w:rPr>
        </w:r>
        <w:r>
          <w:rPr>
            <w:webHidden/>
          </w:rPr>
          <w:fldChar w:fldCharType="separate"/>
        </w:r>
        <w:r w:rsidR="00A03F72">
          <w:rPr>
            <w:webHidden/>
          </w:rPr>
          <w:t>76</w:t>
        </w:r>
        <w:r>
          <w:rPr>
            <w:webHidden/>
          </w:rPr>
          <w:fldChar w:fldCharType="end"/>
        </w:r>
      </w:hyperlink>
    </w:p>
    <w:p w14:paraId="5C5DB4E6" w14:textId="031CA2B1"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6" w:history="1">
        <w:r w:rsidRPr="00745A63">
          <w:rPr>
            <w:rStyle w:val="Hyperlink"/>
          </w:rPr>
          <w:t>Figure A6. Trajectories for total population (N) and mortality rate (D) under vaccination programs achieving varying levels of population coverage. Vaccination was assumed to be initiated 5 days following the arrival of HPAI, taking 30 days to achieve the desired level of population coverage.</w:t>
        </w:r>
        <w:r>
          <w:rPr>
            <w:webHidden/>
          </w:rPr>
          <w:tab/>
        </w:r>
        <w:r>
          <w:rPr>
            <w:webHidden/>
          </w:rPr>
          <w:fldChar w:fldCharType="begin"/>
        </w:r>
        <w:r>
          <w:rPr>
            <w:webHidden/>
          </w:rPr>
          <w:instrText xml:space="preserve"> PAGEREF _Toc198634186 \h </w:instrText>
        </w:r>
        <w:r>
          <w:rPr>
            <w:webHidden/>
          </w:rPr>
        </w:r>
        <w:r>
          <w:rPr>
            <w:webHidden/>
          </w:rPr>
          <w:fldChar w:fldCharType="separate"/>
        </w:r>
        <w:r w:rsidR="00A03F72">
          <w:rPr>
            <w:webHidden/>
          </w:rPr>
          <w:t>77</w:t>
        </w:r>
        <w:r>
          <w:rPr>
            <w:webHidden/>
          </w:rPr>
          <w:fldChar w:fldCharType="end"/>
        </w:r>
      </w:hyperlink>
    </w:p>
    <w:p w14:paraId="11F1BBC4" w14:textId="40962CB5"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7" w:history="1">
        <w:r w:rsidRPr="00745A63">
          <w:rPr>
            <w:rStyle w:val="Hyperlink"/>
          </w:rPr>
          <w:t>Figure A7. Counts of SBWBs (N) emerging from the Warrnambool cave and surrounding non-breeding caves during the breeding seasons 2018–2022 (Lumsden and Bush unpublished data). Counts were undertaken when pups were pre-volant (blue circles), and then around two months later as pups became volant (red circles). Error-bars denote the standard deviation of replicate counts.</w:t>
        </w:r>
        <w:r>
          <w:rPr>
            <w:webHidden/>
          </w:rPr>
          <w:tab/>
        </w:r>
        <w:r>
          <w:rPr>
            <w:webHidden/>
          </w:rPr>
          <w:fldChar w:fldCharType="begin"/>
        </w:r>
        <w:r>
          <w:rPr>
            <w:webHidden/>
          </w:rPr>
          <w:instrText xml:space="preserve"> PAGEREF _Toc198634187 \h </w:instrText>
        </w:r>
        <w:r>
          <w:rPr>
            <w:webHidden/>
          </w:rPr>
        </w:r>
        <w:r>
          <w:rPr>
            <w:webHidden/>
          </w:rPr>
          <w:fldChar w:fldCharType="separate"/>
        </w:r>
        <w:r w:rsidR="00A03F72">
          <w:rPr>
            <w:webHidden/>
          </w:rPr>
          <w:t>79</w:t>
        </w:r>
        <w:r>
          <w:rPr>
            <w:webHidden/>
          </w:rPr>
          <w:fldChar w:fldCharType="end"/>
        </w:r>
      </w:hyperlink>
    </w:p>
    <w:p w14:paraId="01BD0A60" w14:textId="4CDEBE1A"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8" w:history="1">
        <w:r w:rsidRPr="00745A63">
          <w:rPr>
            <w:rStyle w:val="Hyperlink"/>
          </w:rPr>
          <w:t>Figure A8. Sensitivity of the rate of population reduction (left) and peak prevalence (right) of WNS in SBWBs, with respect to variation in the key epidemiological parameters.</w:t>
        </w:r>
        <w:r>
          <w:rPr>
            <w:webHidden/>
          </w:rPr>
          <w:tab/>
        </w:r>
        <w:r>
          <w:rPr>
            <w:webHidden/>
          </w:rPr>
          <w:fldChar w:fldCharType="begin"/>
        </w:r>
        <w:r>
          <w:rPr>
            <w:webHidden/>
          </w:rPr>
          <w:instrText xml:space="preserve"> PAGEREF _Toc198634188 \h </w:instrText>
        </w:r>
        <w:r>
          <w:rPr>
            <w:webHidden/>
          </w:rPr>
        </w:r>
        <w:r>
          <w:rPr>
            <w:webHidden/>
          </w:rPr>
          <w:fldChar w:fldCharType="separate"/>
        </w:r>
        <w:r w:rsidR="00A03F72">
          <w:rPr>
            <w:webHidden/>
          </w:rPr>
          <w:t>80</w:t>
        </w:r>
        <w:r>
          <w:rPr>
            <w:webHidden/>
          </w:rPr>
          <w:fldChar w:fldCharType="end"/>
        </w:r>
      </w:hyperlink>
    </w:p>
    <w:p w14:paraId="4C43B2E1" w14:textId="7C120ECA" w:rsidR="00592EEF" w:rsidRDefault="00592EEF">
      <w:pPr>
        <w:pStyle w:val="TableofFigures"/>
        <w:rPr>
          <w:rFonts w:asciiTheme="minorHAnsi" w:eastAsiaTheme="minorEastAsia" w:hAnsiTheme="minorHAnsi" w:cstheme="minorBidi"/>
          <w:kern w:val="2"/>
          <w:sz w:val="24"/>
          <w:szCs w:val="24"/>
          <w14:ligatures w14:val="standardContextual"/>
        </w:rPr>
      </w:pPr>
      <w:hyperlink w:anchor="_Toc198634189" w:history="1">
        <w:r w:rsidRPr="00745A63">
          <w:rPr>
            <w:rStyle w:val="Hyperlink"/>
          </w:rPr>
          <w:t>Figure A9. Sensitivity of the rate of population reduction (left) and peak prevalence (right) due to  amphibian chytrid in Bell Frogs, with respect to variation in the key epidemiological parameters.</w:t>
        </w:r>
        <w:r>
          <w:rPr>
            <w:webHidden/>
          </w:rPr>
          <w:tab/>
        </w:r>
        <w:r>
          <w:rPr>
            <w:webHidden/>
          </w:rPr>
          <w:fldChar w:fldCharType="begin"/>
        </w:r>
        <w:r>
          <w:rPr>
            <w:webHidden/>
          </w:rPr>
          <w:instrText xml:space="preserve"> PAGEREF _Toc198634189 \h </w:instrText>
        </w:r>
        <w:r>
          <w:rPr>
            <w:webHidden/>
          </w:rPr>
        </w:r>
        <w:r>
          <w:rPr>
            <w:webHidden/>
          </w:rPr>
          <w:fldChar w:fldCharType="separate"/>
        </w:r>
        <w:r w:rsidR="00A03F72">
          <w:rPr>
            <w:webHidden/>
          </w:rPr>
          <w:t>82</w:t>
        </w:r>
        <w:r>
          <w:rPr>
            <w:webHidden/>
          </w:rPr>
          <w:fldChar w:fldCharType="end"/>
        </w:r>
      </w:hyperlink>
    </w:p>
    <w:p w14:paraId="20E38193" w14:textId="5C324FCF" w:rsidR="003004D9" w:rsidRDefault="00013B7B" w:rsidP="00E65A30">
      <w:pPr>
        <w:pStyle w:val="TableofFigures"/>
      </w:pPr>
      <w:r>
        <w:fldChar w:fldCharType="end"/>
      </w:r>
    </w:p>
    <w:p w14:paraId="52EEA2BE" w14:textId="77777777" w:rsidR="00E65A30" w:rsidRDefault="00E65A30" w:rsidP="00E65A30"/>
    <w:p w14:paraId="72C7964E" w14:textId="77777777" w:rsidR="00E65A30" w:rsidRDefault="00E65A30" w:rsidP="00E65A30"/>
    <w:p w14:paraId="27E631A9" w14:textId="35FF386F" w:rsidR="00504EDC" w:rsidRPr="00E65A30" w:rsidRDefault="00504EDC" w:rsidP="00E65A30">
      <w:pPr>
        <w:sectPr w:rsidR="00504EDC" w:rsidRPr="00E65A30" w:rsidSect="00C657F7">
          <w:footerReference w:type="default" r:id="rId35"/>
          <w:pgSz w:w="11907" w:h="16840" w:code="9"/>
          <w:pgMar w:top="1134" w:right="1134" w:bottom="1134" w:left="1134" w:header="709" w:footer="567" w:gutter="0"/>
          <w:pgNumType w:fmt="lowerRoman"/>
          <w:cols w:space="708"/>
          <w:formProt w:val="0"/>
          <w:docGrid w:linePitch="360"/>
        </w:sectPr>
      </w:pPr>
    </w:p>
    <w:p w14:paraId="450BE3AE" w14:textId="77777777" w:rsidR="00991C27" w:rsidRPr="001749B2" w:rsidRDefault="00980E26" w:rsidP="001749B2">
      <w:pPr>
        <w:pStyle w:val="Heading1"/>
      </w:pPr>
      <w:bookmarkStart w:id="3" w:name="_Toc409798396"/>
      <w:bookmarkStart w:id="4" w:name="_Toc286018759"/>
      <w:bookmarkStart w:id="5" w:name="_Toc198634093"/>
      <w:r w:rsidRPr="001749B2">
        <w:lastRenderedPageBreak/>
        <w:t>Summary</w:t>
      </w:r>
      <w:bookmarkEnd w:id="3"/>
      <w:bookmarkEnd w:id="4"/>
      <w:bookmarkEnd w:id="5"/>
    </w:p>
    <w:p w14:paraId="19F3D0E5" w14:textId="77777777" w:rsidR="00B705CE" w:rsidRPr="009148A4" w:rsidRDefault="00B705CE" w:rsidP="009148A4">
      <w:pPr>
        <w:rPr>
          <w:b/>
          <w:bCs/>
          <w:sz w:val="24"/>
        </w:rPr>
      </w:pPr>
      <w:bookmarkStart w:id="6" w:name="_Toc509242196"/>
      <w:bookmarkStart w:id="7" w:name="_Toc18664435"/>
      <w:r w:rsidRPr="009148A4">
        <w:rPr>
          <w:b/>
          <w:bCs/>
          <w:sz w:val="24"/>
        </w:rPr>
        <w:t>Context:</w:t>
      </w:r>
      <w:bookmarkEnd w:id="6"/>
      <w:bookmarkEnd w:id="7"/>
    </w:p>
    <w:p w14:paraId="39A1B1BD" w14:textId="177E7CB3" w:rsidR="00B705CE" w:rsidRDefault="008121A6" w:rsidP="00DC3852">
      <w:r>
        <w:t>With increasing globalisation of markets and transport networks, as well as other anthropogenic processes such as changing land-use patterns and climate change</w:t>
      </w:r>
      <w:r w:rsidR="00E61108">
        <w:t>,</w:t>
      </w:r>
      <w:r>
        <w:t xml:space="preserve"> comes the increasing risk of emerging (or re-emerging) diseases potentially impacting Australia’s native wildlife.</w:t>
      </w:r>
      <w:r w:rsidR="00BE3EC4">
        <w:t xml:space="preserve"> </w:t>
      </w:r>
      <w:r>
        <w:t xml:space="preserve">Developing a strategic approach to these risks is a very high priority </w:t>
      </w:r>
      <w:r w:rsidR="00227D95">
        <w:t xml:space="preserve">for the Victorian Government </w:t>
      </w:r>
      <w:r>
        <w:t xml:space="preserve">and aligns with the objectives under </w:t>
      </w:r>
      <w:r w:rsidRPr="00E25178">
        <w:rPr>
          <w:i/>
          <w:iCs/>
        </w:rPr>
        <w:t>Biodiversity 2037</w:t>
      </w:r>
      <w:r>
        <w:t xml:space="preserve"> and </w:t>
      </w:r>
      <w:r w:rsidRPr="00E25178">
        <w:rPr>
          <w:i/>
          <w:iCs/>
        </w:rPr>
        <w:t>Victoria’s Climate Change Adaptation and Action Plan for the Natural Environment</w:t>
      </w:r>
      <w:r>
        <w:t xml:space="preserve">. </w:t>
      </w:r>
      <w:r w:rsidR="00504EDC" w:rsidRPr="00504EDC">
        <w:t>To understand the susceptibility of Victoria’s native fauna to risks from endemic and exotic diseases and the ability to manage potential impacts, assessments should be undertaken of the likelihood of diseases causing an emergency, their expected impacts, as well as potential response options (and their effectiveness)</w:t>
      </w:r>
      <w:r>
        <w:t xml:space="preserve">. </w:t>
      </w:r>
    </w:p>
    <w:p w14:paraId="0B2C839E" w14:textId="19F8CADE" w:rsidR="00B705CE" w:rsidRPr="009148A4" w:rsidRDefault="00B705CE" w:rsidP="00DA5824">
      <w:pPr>
        <w:rPr>
          <w:b/>
          <w:bCs/>
          <w:sz w:val="24"/>
        </w:rPr>
      </w:pPr>
      <w:bookmarkStart w:id="8" w:name="_Toc509242197"/>
      <w:bookmarkStart w:id="9" w:name="_Toc18664436"/>
      <w:r w:rsidRPr="009148A4">
        <w:rPr>
          <w:b/>
          <w:bCs/>
          <w:sz w:val="24"/>
        </w:rPr>
        <w:t>Aims:</w:t>
      </w:r>
      <w:bookmarkEnd w:id="8"/>
      <w:bookmarkEnd w:id="9"/>
      <w:r w:rsidR="00BE3EC4">
        <w:rPr>
          <w:b/>
          <w:bCs/>
          <w:sz w:val="24"/>
        </w:rPr>
        <w:t xml:space="preserve"> </w:t>
      </w:r>
    </w:p>
    <w:p w14:paraId="45C203B6" w14:textId="34988413" w:rsidR="00B705CE" w:rsidRDefault="008D6295" w:rsidP="00DC3852">
      <w:r>
        <w:t>This project aimed to assess the likely risks of endemic and exotic disease</w:t>
      </w:r>
      <w:r w:rsidR="00272A52">
        <w:t>s</w:t>
      </w:r>
      <w:r>
        <w:t xml:space="preserve"> to </w:t>
      </w:r>
      <w:r w:rsidR="00227D95">
        <w:t>terrestrial</w:t>
      </w:r>
      <w:r>
        <w:t xml:space="preserve"> wildlife in Victoria by (i) undertaking qualitative disease risk assessments for </w:t>
      </w:r>
      <w:r w:rsidR="0019667A">
        <w:t xml:space="preserve">Victoria’s </w:t>
      </w:r>
      <w:r>
        <w:t xml:space="preserve">terrestrial </w:t>
      </w:r>
      <w:r w:rsidR="00C36501">
        <w:t>fauna</w:t>
      </w:r>
      <w:r>
        <w:t xml:space="preserve"> (especially threatened species)</w:t>
      </w:r>
      <w:r w:rsidR="006F5060">
        <w:t xml:space="preserve">, </w:t>
      </w:r>
      <w:r>
        <w:t>and (ii) modelling the likely impacts and efficacy of potential mitigation strategies for selected disease case studies.</w:t>
      </w:r>
      <w:r w:rsidR="00BE3EC4">
        <w:t xml:space="preserve"> </w:t>
      </w:r>
      <w:r>
        <w:t xml:space="preserve">Results from these investigations were then synthesised to identify gaps in current knowledge about potential wildlife disease impacts and how </w:t>
      </w:r>
      <w:r w:rsidR="004809C3">
        <w:t>these</w:t>
      </w:r>
      <w:r w:rsidR="00160303">
        <w:t xml:space="preserve"> gaps</w:t>
      </w:r>
      <w:r w:rsidR="004809C3">
        <w:t xml:space="preserve"> </w:t>
      </w:r>
      <w:r>
        <w:t xml:space="preserve">can be addressed to </w:t>
      </w:r>
      <w:r w:rsidR="00227D95">
        <w:t>improve</w:t>
      </w:r>
      <w:r>
        <w:t xml:space="preserve"> disease risk assessments and response planning.</w:t>
      </w:r>
    </w:p>
    <w:p w14:paraId="3F15499D" w14:textId="224CA2F2" w:rsidR="00B705CE" w:rsidRPr="009148A4" w:rsidRDefault="00B705CE" w:rsidP="00DA5824">
      <w:pPr>
        <w:rPr>
          <w:b/>
          <w:bCs/>
          <w:sz w:val="24"/>
        </w:rPr>
      </w:pPr>
      <w:bookmarkStart w:id="10" w:name="_Toc509242198"/>
      <w:bookmarkStart w:id="11" w:name="_Toc18664437"/>
      <w:r w:rsidRPr="009148A4">
        <w:rPr>
          <w:b/>
          <w:bCs/>
          <w:sz w:val="24"/>
        </w:rPr>
        <w:t>Methods:</w:t>
      </w:r>
      <w:bookmarkEnd w:id="10"/>
      <w:bookmarkEnd w:id="11"/>
      <w:r w:rsidR="00BE3EC4">
        <w:rPr>
          <w:b/>
          <w:bCs/>
          <w:sz w:val="24"/>
        </w:rPr>
        <w:t xml:space="preserve"> </w:t>
      </w:r>
    </w:p>
    <w:p w14:paraId="2EAB07C4" w14:textId="54ADBE30" w:rsidR="00C30036" w:rsidRDefault="00C30036" w:rsidP="00C30036">
      <w:r>
        <w:t xml:space="preserve">We </w:t>
      </w:r>
      <w:r w:rsidR="006F5060">
        <w:t xml:space="preserve">applied the </w:t>
      </w:r>
      <w:bookmarkStart w:id="12" w:name="_Hlk196213083"/>
      <w:r>
        <w:t>wildlife disease risk</w:t>
      </w:r>
      <w:r w:rsidR="003F35CC">
        <w:t xml:space="preserve"> analysis </w:t>
      </w:r>
      <w:r>
        <w:t>(WDRA</w:t>
      </w:r>
      <w:bookmarkEnd w:id="12"/>
      <w:r>
        <w:t xml:space="preserve">) </w:t>
      </w:r>
      <w:r w:rsidR="006F5060">
        <w:t xml:space="preserve">method </w:t>
      </w:r>
      <w:r>
        <w:t xml:space="preserve">to identify and prioritise disease hazards for </w:t>
      </w:r>
      <w:r w:rsidR="00223D66">
        <w:t xml:space="preserve">terrestrial </w:t>
      </w:r>
      <w:r>
        <w:t>wildlife in Victoria.</w:t>
      </w:r>
      <w:r w:rsidR="00BE3EC4">
        <w:t xml:space="preserve"> </w:t>
      </w:r>
      <w:r>
        <w:t>WDRA is a structured process that aims to manage disease risks to acceptable levels</w:t>
      </w:r>
      <w:r w:rsidR="003F35CC">
        <w:t xml:space="preserve">. The first step in this approach was a risk assessment of potential disease hazards to </w:t>
      </w:r>
      <w:r>
        <w:t>evaluat</w:t>
      </w:r>
      <w:r w:rsidR="003F35CC">
        <w:t>e</w:t>
      </w:r>
      <w:r>
        <w:t xml:space="preserve"> the likelihood and the biological and economic consequences of the entry, establishment and spread of a wildlife pathogen based on the principle of </w:t>
      </w:r>
      <w:r w:rsidR="0022442B">
        <w:t>‘</w:t>
      </w:r>
      <w:r>
        <w:t xml:space="preserve">Risk = Likelihood </w:t>
      </w:r>
      <m:oMath>
        <m:r>
          <w:rPr>
            <w:rFonts w:ascii="Cambria Math" w:hAnsi="Cambria Math"/>
          </w:rPr>
          <m:t>×</m:t>
        </m:r>
      </m:oMath>
      <w:r>
        <w:t xml:space="preserve"> Consequence</w:t>
      </w:r>
      <w:r w:rsidR="0022442B">
        <w:t>’</w:t>
      </w:r>
      <w:r>
        <w:t>. Our risk assessment followed a common qualitative framework, using expert elicitation to score the likelihood, impacts and uncertainty for each disease hazard using a descriptive set of categories.</w:t>
      </w:r>
      <w:r w:rsidR="00BE3EC4">
        <w:t xml:space="preserve"> </w:t>
      </w:r>
    </w:p>
    <w:p w14:paraId="7255BDAC" w14:textId="23AE0389" w:rsidR="00C30036" w:rsidRDefault="00C30036" w:rsidP="00C30036">
      <w:r>
        <w:t>An initial, comprehensive list of disease hazards were compiled from several sources, including expert elicitation, published and grey literature, includ</w:t>
      </w:r>
      <w:r w:rsidR="004B3422">
        <w:t>ing</w:t>
      </w:r>
      <w:r>
        <w:t xml:space="preserve"> existing lists of priority animal diseases compiled by the Victorian and Australian governments. For each disease hazard</w:t>
      </w:r>
      <w:r w:rsidR="006F5060">
        <w:t xml:space="preserve">, </w:t>
      </w:r>
      <w:r w:rsidR="00810DEF">
        <w:t>risk</w:t>
      </w:r>
      <w:r>
        <w:t xml:space="preserve"> assessments were then undertaken by assessors with expertise in veterinary epidemiology, wildlife health, disease ecology, and disease risk assessments. The </w:t>
      </w:r>
      <w:r w:rsidR="00810DEF">
        <w:t>risk assessments</w:t>
      </w:r>
      <w:r>
        <w:t xml:space="preserve"> </w:t>
      </w:r>
      <w:r w:rsidR="006F5060">
        <w:t xml:space="preserve">were </w:t>
      </w:r>
      <w:r>
        <w:t>undertaken for species and/or functional groups of terrestrial mammals, amphibians, birds and reptiles.</w:t>
      </w:r>
    </w:p>
    <w:p w14:paraId="2EB5E67A" w14:textId="790A866E" w:rsidR="00B705CE" w:rsidRDefault="00C30036" w:rsidP="00C30036">
      <w:r>
        <w:t xml:space="preserve">Based on the findings from the </w:t>
      </w:r>
      <w:r w:rsidR="00810DEF">
        <w:t>risk assessments</w:t>
      </w:r>
      <w:r>
        <w:t xml:space="preserve">, </w:t>
      </w:r>
      <w:r w:rsidR="00F5486F">
        <w:t>several</w:t>
      </w:r>
      <w:r>
        <w:t xml:space="preserve"> pathogens were selected as case studies for detailed investigation of the magnitude of their likely impacts as well as the efficacy of potential mitigation options. These were </w:t>
      </w:r>
      <w:r w:rsidR="00E07B96">
        <w:t>Foot and Mouth Disease</w:t>
      </w:r>
      <w:r>
        <w:t xml:space="preserve"> </w:t>
      </w:r>
      <w:r w:rsidR="00C32ACD">
        <w:t xml:space="preserve">(FMD) </w:t>
      </w:r>
      <w:r>
        <w:t xml:space="preserve">in </w:t>
      </w:r>
      <w:r w:rsidR="00E548AE">
        <w:t>Feral Pig</w:t>
      </w:r>
      <w:r>
        <w:t>s</w:t>
      </w:r>
      <w:r w:rsidR="00874144">
        <w:t xml:space="preserve"> </w:t>
      </w:r>
      <w:r w:rsidR="00874144" w:rsidRPr="00874144">
        <w:t>(</w:t>
      </w:r>
      <w:r w:rsidR="00874144" w:rsidRPr="00DA5824">
        <w:rPr>
          <w:i/>
          <w:iCs/>
        </w:rPr>
        <w:t>Sus scrofa</w:t>
      </w:r>
      <w:r w:rsidR="00874144" w:rsidRPr="00874144">
        <w:t>)</w:t>
      </w:r>
      <w:r>
        <w:t xml:space="preserve"> (Extreme economic impacts); </w:t>
      </w:r>
      <w:r w:rsidR="006F5060" w:rsidRPr="006F5060">
        <w:t xml:space="preserve">Highly Pathogenic Avian Influenza </w:t>
      </w:r>
      <w:r w:rsidR="006F5060">
        <w:t>(</w:t>
      </w:r>
      <w:r>
        <w:t>HPAI</w:t>
      </w:r>
      <w:r w:rsidR="006F5060">
        <w:t>)</w:t>
      </w:r>
      <w:r>
        <w:t xml:space="preserve"> in Little Penguins</w:t>
      </w:r>
      <w:r w:rsidR="00631005">
        <w:t xml:space="preserve"> (</w:t>
      </w:r>
      <w:proofErr w:type="spellStart"/>
      <w:r w:rsidR="00631005" w:rsidRPr="00DA5824">
        <w:rPr>
          <w:i/>
          <w:iCs/>
        </w:rPr>
        <w:t>Eudyptula</w:t>
      </w:r>
      <w:proofErr w:type="spellEnd"/>
      <w:r w:rsidR="00631005" w:rsidRPr="00DA5824">
        <w:rPr>
          <w:i/>
          <w:iCs/>
        </w:rPr>
        <w:t xml:space="preserve"> minor</w:t>
      </w:r>
      <w:r w:rsidR="00631005" w:rsidRPr="00631005">
        <w:t>)</w:t>
      </w:r>
      <w:r>
        <w:t xml:space="preserve"> (Extreme economic impacts); </w:t>
      </w:r>
      <w:bookmarkStart w:id="13" w:name="_Hlk196213127"/>
      <w:r w:rsidR="00E07B96">
        <w:t>White Nose Syndrome</w:t>
      </w:r>
      <w:r w:rsidR="006F5060" w:rsidRPr="006F5060">
        <w:t xml:space="preserve"> </w:t>
      </w:r>
      <w:r w:rsidR="006F5060">
        <w:t>(</w:t>
      </w:r>
      <w:r>
        <w:t>WNS</w:t>
      </w:r>
      <w:r w:rsidR="006F5060">
        <w:t>)</w:t>
      </w:r>
      <w:r>
        <w:t xml:space="preserve"> </w:t>
      </w:r>
      <w:bookmarkEnd w:id="13"/>
      <w:r>
        <w:t xml:space="preserve">in </w:t>
      </w:r>
      <w:r w:rsidR="00A67F12">
        <w:t>Southern Bent-wing Bats</w:t>
      </w:r>
      <w:r w:rsidR="00C32ACD">
        <w:t xml:space="preserve"> </w:t>
      </w:r>
      <w:r w:rsidR="00C32ACD" w:rsidRPr="00C32ACD">
        <w:t>(</w:t>
      </w:r>
      <w:r w:rsidR="000A0732">
        <w:t>SBWB</w:t>
      </w:r>
      <w:r w:rsidR="00EF7335">
        <w:t>s</w:t>
      </w:r>
      <w:r w:rsidR="000A0732">
        <w:t xml:space="preserve">; </w:t>
      </w:r>
      <w:proofErr w:type="spellStart"/>
      <w:r w:rsidR="00C32ACD" w:rsidRPr="00DA5824">
        <w:rPr>
          <w:i/>
          <w:iCs/>
        </w:rPr>
        <w:t>Miniopterus</w:t>
      </w:r>
      <w:proofErr w:type="spellEnd"/>
      <w:r w:rsidR="00C32ACD" w:rsidRPr="00DA5824">
        <w:rPr>
          <w:i/>
          <w:iCs/>
        </w:rPr>
        <w:t xml:space="preserve"> </w:t>
      </w:r>
      <w:proofErr w:type="spellStart"/>
      <w:r w:rsidR="00C32ACD" w:rsidRPr="00DA5824">
        <w:rPr>
          <w:i/>
          <w:iCs/>
        </w:rPr>
        <w:t>orianae</w:t>
      </w:r>
      <w:proofErr w:type="spellEnd"/>
      <w:r w:rsidR="00C32ACD" w:rsidRPr="00DA5824">
        <w:rPr>
          <w:i/>
          <w:iCs/>
        </w:rPr>
        <w:t xml:space="preserve"> </w:t>
      </w:r>
      <w:proofErr w:type="spellStart"/>
      <w:r w:rsidR="00C32ACD" w:rsidRPr="00DA5824">
        <w:rPr>
          <w:i/>
          <w:iCs/>
        </w:rPr>
        <w:t>bassanii</w:t>
      </w:r>
      <w:proofErr w:type="spellEnd"/>
      <w:r w:rsidR="00C32ACD" w:rsidRPr="00C32ACD">
        <w:t>)</w:t>
      </w:r>
      <w:r>
        <w:t xml:space="preserve"> (Extreme Conservation impact) and </w:t>
      </w:r>
      <w:r w:rsidR="0054133C">
        <w:t>amphibian chytrid fungus</w:t>
      </w:r>
      <w:r>
        <w:t xml:space="preserve"> in Green and Golden </w:t>
      </w:r>
      <w:r w:rsidR="00B84722">
        <w:t>Bell Frogs</w:t>
      </w:r>
      <w:r w:rsidR="00C32ACD">
        <w:t xml:space="preserve"> </w:t>
      </w:r>
      <w:r w:rsidR="00C32ACD" w:rsidRPr="00C32ACD">
        <w:t>(</w:t>
      </w:r>
      <w:proofErr w:type="spellStart"/>
      <w:r w:rsidR="00C32ACD" w:rsidRPr="00DA5824">
        <w:rPr>
          <w:i/>
          <w:iCs/>
        </w:rPr>
        <w:t>Litoria</w:t>
      </w:r>
      <w:proofErr w:type="spellEnd"/>
      <w:r w:rsidR="00C32ACD" w:rsidRPr="00DA5824">
        <w:rPr>
          <w:i/>
          <w:iCs/>
        </w:rPr>
        <w:t xml:space="preserve"> </w:t>
      </w:r>
      <w:proofErr w:type="spellStart"/>
      <w:r w:rsidR="00C32ACD" w:rsidRPr="00DA5824">
        <w:rPr>
          <w:i/>
          <w:iCs/>
        </w:rPr>
        <w:t>aurea</w:t>
      </w:r>
      <w:proofErr w:type="spellEnd"/>
      <w:r w:rsidR="00C32ACD" w:rsidRPr="00DA5824">
        <w:rPr>
          <w:i/>
          <w:iCs/>
        </w:rPr>
        <w:t>)</w:t>
      </w:r>
      <w:r w:rsidR="00C5337C">
        <w:t xml:space="preserve"> (</w:t>
      </w:r>
      <w:r w:rsidR="00F83C01">
        <w:t>M</w:t>
      </w:r>
      <w:r w:rsidR="00F54036">
        <w:t xml:space="preserve">oderate </w:t>
      </w:r>
      <w:r w:rsidR="00F83C01">
        <w:t>c</w:t>
      </w:r>
      <w:r w:rsidR="00C5337C">
        <w:t>onservation impact)</w:t>
      </w:r>
      <w:r>
        <w:t>.</w:t>
      </w:r>
      <w:r w:rsidR="00BE3EC4">
        <w:t xml:space="preserve"> </w:t>
      </w:r>
      <w:r>
        <w:t>For each case study, host-pathogen models were developed and used to investigate the likely impacts of an incursion of the pathogen, as well as the efficacy of mitigation actions.</w:t>
      </w:r>
      <w:r w:rsidR="00B705CE">
        <w:t xml:space="preserve"> </w:t>
      </w:r>
    </w:p>
    <w:p w14:paraId="13579304" w14:textId="7DEE61D3" w:rsidR="00B705CE" w:rsidRPr="009148A4" w:rsidRDefault="00B705CE" w:rsidP="00DA5824">
      <w:pPr>
        <w:rPr>
          <w:b/>
          <w:bCs/>
          <w:sz w:val="24"/>
        </w:rPr>
      </w:pPr>
      <w:bookmarkStart w:id="14" w:name="_Toc509242199"/>
      <w:bookmarkStart w:id="15" w:name="_Toc18664438"/>
      <w:r w:rsidRPr="009148A4">
        <w:rPr>
          <w:b/>
          <w:bCs/>
          <w:sz w:val="24"/>
        </w:rPr>
        <w:t>Results:</w:t>
      </w:r>
      <w:bookmarkEnd w:id="14"/>
      <w:bookmarkEnd w:id="15"/>
      <w:r w:rsidR="00BE3EC4">
        <w:rPr>
          <w:b/>
          <w:bCs/>
          <w:sz w:val="24"/>
        </w:rPr>
        <w:t xml:space="preserve"> </w:t>
      </w:r>
    </w:p>
    <w:p w14:paraId="2405BE3D" w14:textId="0B2D07A7" w:rsidR="005D5458" w:rsidRDefault="005D5458" w:rsidP="005D5458">
      <w:r>
        <w:t>Risk assessments were conducted for 2</w:t>
      </w:r>
      <w:r w:rsidR="00BA66AA">
        <w:t>22</w:t>
      </w:r>
      <w:r>
        <w:t xml:space="preserve"> pathogens involving 4</w:t>
      </w:r>
      <w:r w:rsidR="00BA66AA">
        <w:t>23</w:t>
      </w:r>
      <w:r>
        <w:t xml:space="preserve"> host/pathogen </w:t>
      </w:r>
      <w:r w:rsidR="00C36B20">
        <w:t>groups</w:t>
      </w:r>
      <w:r>
        <w:t>.</w:t>
      </w:r>
      <w:r w:rsidR="00BE3EC4">
        <w:t xml:space="preserve"> </w:t>
      </w:r>
      <w:r>
        <w:t xml:space="preserve">A total of 20 host/pathogen </w:t>
      </w:r>
      <w:r w:rsidR="00547ECB">
        <w:t>groups</w:t>
      </w:r>
      <w:r>
        <w:t xml:space="preserve"> were identified as either Extreme or High risk of potentially causing undesirable conservation impacts. These included HPAI, the amphibian chytrid fungus and WNS, an emerging fungal disease of cave-dwelling bats.</w:t>
      </w:r>
      <w:r w:rsidR="00BE3EC4">
        <w:t xml:space="preserve"> </w:t>
      </w:r>
      <w:r>
        <w:t>Two additional avian diseases (</w:t>
      </w:r>
      <w:r w:rsidR="00C17323">
        <w:t>Pacheco’s Disease</w:t>
      </w:r>
      <w:r>
        <w:t xml:space="preserve"> and </w:t>
      </w:r>
      <w:r w:rsidR="00C17323">
        <w:t>Beak and Feather Disease</w:t>
      </w:r>
      <w:r>
        <w:t xml:space="preserve">) were assessed as Extreme conservation risks to Victorian parrot species. </w:t>
      </w:r>
    </w:p>
    <w:p w14:paraId="0B5FEDF9" w14:textId="3175E2C8" w:rsidR="005D5458" w:rsidRDefault="005D5458" w:rsidP="005D5458">
      <w:r>
        <w:t xml:space="preserve">Seven host/pathogen </w:t>
      </w:r>
      <w:r w:rsidR="00F17BB6">
        <w:t>groups</w:t>
      </w:r>
      <w:r>
        <w:t xml:space="preserve"> were assessed as representing Extreme economic risks</w:t>
      </w:r>
      <w:r w:rsidR="006F5060">
        <w:t>,</w:t>
      </w:r>
      <w:r>
        <w:t xml:space="preserve"> with a further 12 being assessed as High risk. The risk of HPAI incursion in gulls, terns, waders, ducks, swans, geese, penguins and other birds was considered to represent an Extreme economic risk, due to likely spillover of disease to domestic poultry</w:t>
      </w:r>
      <w:r w:rsidR="000D18DF">
        <w:t xml:space="preserve">, and the </w:t>
      </w:r>
      <w:r w:rsidR="00A63C5B">
        <w:t>costs associated with enhanced biosecurity activities</w:t>
      </w:r>
      <w:r w:rsidR="00B236EE">
        <w:t xml:space="preserve"> in response to </w:t>
      </w:r>
      <w:r w:rsidR="00B80FC6">
        <w:t xml:space="preserve">likely </w:t>
      </w:r>
      <w:r w:rsidR="00B236EE">
        <w:t xml:space="preserve">mass mortality </w:t>
      </w:r>
      <w:r w:rsidR="000637C5">
        <w:t>o</w:t>
      </w:r>
      <w:r w:rsidR="00250550">
        <w:t>f</w:t>
      </w:r>
      <w:r w:rsidR="000637C5">
        <w:t xml:space="preserve"> wildlife</w:t>
      </w:r>
      <w:r>
        <w:t>. FMD, infecting wild populations of deer, goats</w:t>
      </w:r>
      <w:r w:rsidR="00874144">
        <w:t xml:space="preserve"> and</w:t>
      </w:r>
      <w:r>
        <w:t xml:space="preserve"> pigs, also represented an Extreme economic risk due to the likely high risk of infection spreading to domestic ungulates. </w:t>
      </w:r>
    </w:p>
    <w:p w14:paraId="21AFB8E0" w14:textId="348DEB2C" w:rsidR="00B705CE" w:rsidRDefault="005D5458" w:rsidP="005D5458">
      <w:r>
        <w:t>Results fr</w:t>
      </w:r>
      <w:r w:rsidR="007A5357">
        <w:t>o</w:t>
      </w:r>
      <w:r>
        <w:t xml:space="preserve">m the detailed case studies suggest that mitigation actions have the potential to significantly ameliorate predicted impacts from incursions </w:t>
      </w:r>
      <w:r w:rsidR="00D61F31">
        <w:t xml:space="preserve">of </w:t>
      </w:r>
      <w:r>
        <w:t xml:space="preserve">exotic disease (FMD in </w:t>
      </w:r>
      <w:r w:rsidR="00E548AE">
        <w:t>Feral Pig</w:t>
      </w:r>
      <w:r>
        <w:t>s</w:t>
      </w:r>
      <w:r w:rsidR="00E548AE">
        <w:t xml:space="preserve"> </w:t>
      </w:r>
      <w:r>
        <w:t xml:space="preserve">and HPAI in </w:t>
      </w:r>
      <w:r w:rsidR="00631005">
        <w:t>L</w:t>
      </w:r>
      <w:r>
        <w:t xml:space="preserve">ittle </w:t>
      </w:r>
      <w:r w:rsidR="00631005">
        <w:lastRenderedPageBreak/>
        <w:t>P</w:t>
      </w:r>
      <w:r>
        <w:t>enguins) or emerging endemic disease (</w:t>
      </w:r>
      <w:r w:rsidR="0054133C">
        <w:t>amphibian c</w:t>
      </w:r>
      <w:r w:rsidR="000E0BE1">
        <w:t>hytri</w:t>
      </w:r>
      <w:r w:rsidR="0054133C">
        <w:t>d fungus</w:t>
      </w:r>
      <w:r>
        <w:t xml:space="preserve"> in Green and Golden </w:t>
      </w:r>
      <w:r w:rsidR="00B84722">
        <w:t>Bell Frogs</w:t>
      </w:r>
      <w:r>
        <w:t>).</w:t>
      </w:r>
      <w:r w:rsidR="00BE3EC4">
        <w:t xml:space="preserve"> </w:t>
      </w:r>
      <w:r>
        <w:t xml:space="preserve">However, there is currently no effective management for an incursion of WNS into the cave environment of the </w:t>
      </w:r>
      <w:r w:rsidR="007803A6">
        <w:t xml:space="preserve">SBWB. </w:t>
      </w:r>
      <w:r>
        <w:t>Modelling did, however, provide insight into the magnitude of potential impacts, which were linked to the frequency and duration of winter torpor</w:t>
      </w:r>
      <w:r w:rsidR="009A0036">
        <w:t xml:space="preserve"> (</w:t>
      </w:r>
      <w:r w:rsidR="009A0036" w:rsidRPr="009A0036">
        <w:t>a state in which bats lower their metabolic rate and temperature and become inactive</w:t>
      </w:r>
      <w:r w:rsidR="009A0036">
        <w:t>)</w:t>
      </w:r>
      <w:r>
        <w:t xml:space="preserve"> in this species</w:t>
      </w:r>
      <w:r w:rsidR="00227D95">
        <w:t xml:space="preserve">. </w:t>
      </w:r>
      <w:r w:rsidR="00E10A56">
        <w:t>Unfortunately, t</w:t>
      </w:r>
      <w:r w:rsidR="00227D95">
        <w:t>orpor behaviour in this species</w:t>
      </w:r>
      <w:r w:rsidR="009F12EF">
        <w:t xml:space="preserve"> is currently poorly understood</w:t>
      </w:r>
      <w:r w:rsidR="00E10A56">
        <w:t xml:space="preserve"> and </w:t>
      </w:r>
      <w:r w:rsidR="00C32ACD">
        <w:t>therefore</w:t>
      </w:r>
      <w:r w:rsidR="00E10A56">
        <w:t>, the potential impacts of WNS are highly uncertain</w:t>
      </w:r>
      <w:r w:rsidR="009F12EF">
        <w:t>.</w:t>
      </w:r>
    </w:p>
    <w:p w14:paraId="6D543A98" w14:textId="4383D2EC" w:rsidR="00B705CE" w:rsidRPr="009148A4" w:rsidRDefault="00B705CE" w:rsidP="00DA5824">
      <w:pPr>
        <w:rPr>
          <w:b/>
          <w:bCs/>
          <w:sz w:val="24"/>
        </w:rPr>
      </w:pPr>
      <w:bookmarkStart w:id="16" w:name="_Toc509242200"/>
      <w:bookmarkStart w:id="17" w:name="_Toc18664439"/>
      <w:r w:rsidRPr="009148A4">
        <w:rPr>
          <w:b/>
          <w:bCs/>
          <w:sz w:val="24"/>
        </w:rPr>
        <w:t xml:space="preserve">Conclusions and </w:t>
      </w:r>
      <w:r w:rsidR="00CA6BA8">
        <w:rPr>
          <w:b/>
          <w:bCs/>
          <w:sz w:val="24"/>
        </w:rPr>
        <w:t>i</w:t>
      </w:r>
      <w:r w:rsidRPr="009148A4">
        <w:rPr>
          <w:b/>
          <w:bCs/>
          <w:sz w:val="24"/>
        </w:rPr>
        <w:t>mplications:</w:t>
      </w:r>
      <w:bookmarkEnd w:id="16"/>
      <w:bookmarkEnd w:id="17"/>
      <w:r w:rsidR="00BE3EC4">
        <w:rPr>
          <w:b/>
          <w:bCs/>
          <w:sz w:val="24"/>
        </w:rPr>
        <w:t xml:space="preserve"> </w:t>
      </w:r>
    </w:p>
    <w:p w14:paraId="4C366757" w14:textId="3972E596" w:rsidR="00870066" w:rsidRDefault="00870066" w:rsidP="00870066">
      <w:r>
        <w:t>Based on the results from the WDRA</w:t>
      </w:r>
      <w:r w:rsidR="000A0732">
        <w:t>,</w:t>
      </w:r>
      <w:r>
        <w:t xml:space="preserve"> we make the following recommendations for managing current and future disease risks to Victorian wildlife</w:t>
      </w:r>
      <w:r w:rsidR="005215DA">
        <w:t>:</w:t>
      </w:r>
    </w:p>
    <w:p w14:paraId="72100CF8" w14:textId="77777777" w:rsidR="00944513" w:rsidRDefault="00944513" w:rsidP="00944513">
      <w:pPr>
        <w:pStyle w:val="dotpointindented"/>
      </w:pPr>
      <w:r>
        <w:t xml:space="preserve">To enable detection of outbreaks of known and novel diseases, a passive surveillance system could be developed. Pathology of unusual and/or large mortality events is the most efficient way to detect emerging disease, including novel pathogens. In addition, providing training to members of the public that regularly interact with wildlife, such as hunters, to recognise signs of disease may provide useful passive surveillance for diseases such as FMD in feral pigs and deer. </w:t>
      </w:r>
    </w:p>
    <w:p w14:paraId="6CCE6B18" w14:textId="77777777" w:rsidR="00944513" w:rsidRDefault="00944513" w:rsidP="00944513">
      <w:pPr>
        <w:pStyle w:val="dotpointindented"/>
      </w:pPr>
      <w:r>
        <w:t xml:space="preserve">Reserve capacity for field outbreak investigations is essential for responding to wildlife emergencies. To enable this capacity, Victoria should consider supporting a state wildlife epidemiologist and/or wildlife pathologist. To facilitate this, consideration could be given to establishing more formal links with the Wildlife Health Surveillance Unit at the University of Melbourne. </w:t>
      </w:r>
    </w:p>
    <w:p w14:paraId="45EF723A" w14:textId="75EE99C9" w:rsidR="00944513" w:rsidRDefault="00944513" w:rsidP="00944513">
      <w:pPr>
        <w:pStyle w:val="dotpointindented"/>
      </w:pPr>
      <w:r>
        <w:t>In the event of an FMD outbreak in domestic livestock, consideration should be given to proactively culling high risk Feral Pig populations in the vicinity of livestock farms to prevent potential spillover and spillback of disease to domestic livestock. Culling should aim to achieve a 60 – 80% reduction of pig abundance to have a high probability of eradicating FMD. Research should be undertaken to determine the most cost-effective method for achieving this level of reduction.</w:t>
      </w:r>
    </w:p>
    <w:p w14:paraId="0DFDF450" w14:textId="77777777" w:rsidR="00944513" w:rsidRDefault="00944513" w:rsidP="00944513">
      <w:pPr>
        <w:pStyle w:val="dotpointindented"/>
      </w:pPr>
      <w:r>
        <w:t xml:space="preserve">Due to the high risk of incursion of avian influenza (H5N1), structured surveillance of wild birds (e.g. gulls, terns, ducks, geese, swans) is recommended to be undertaken in spring each year for the foreseeable future to provide management agencies with early warning of the likelihood of an HPAI epidemic. </w:t>
      </w:r>
    </w:p>
    <w:p w14:paraId="2B4F0951" w14:textId="41AC046F" w:rsidR="00CC33B3" w:rsidRDefault="0048076C" w:rsidP="00944513">
      <w:pPr>
        <w:pStyle w:val="dotpointindented"/>
      </w:pPr>
      <w:r>
        <w:t xml:space="preserve">Vaccination of </w:t>
      </w:r>
      <w:r w:rsidR="00CC33B3">
        <w:t xml:space="preserve">high value captive populations (i.e. threatened species), </w:t>
      </w:r>
      <w:r w:rsidR="00A8262F">
        <w:t xml:space="preserve">should be considered to protect </w:t>
      </w:r>
      <w:r w:rsidR="00E033E2">
        <w:t>these populations from an incursion of H5N1.  If vaccination is not possible</w:t>
      </w:r>
      <w:r w:rsidR="00312F40">
        <w:t xml:space="preserve"> the</w:t>
      </w:r>
      <w:r w:rsidR="00342CB1">
        <w:t>n</w:t>
      </w:r>
      <w:r w:rsidR="00312F40">
        <w:t xml:space="preserve"> priority should be given to boosting bios</w:t>
      </w:r>
      <w:r w:rsidR="000312A4">
        <w:t xml:space="preserve">ecurity measures to limit transmission from </w:t>
      </w:r>
      <w:r w:rsidR="00A9019D">
        <w:t xml:space="preserve">infected </w:t>
      </w:r>
      <w:r w:rsidR="000312A4">
        <w:t>wild birds</w:t>
      </w:r>
      <w:r w:rsidR="00342CB1">
        <w:t>.</w:t>
      </w:r>
    </w:p>
    <w:p w14:paraId="62926159" w14:textId="1EB3C083" w:rsidR="00944513" w:rsidRDefault="00944513" w:rsidP="00944513">
      <w:pPr>
        <w:pStyle w:val="dotpointindented"/>
      </w:pPr>
      <w:r>
        <w:t xml:space="preserve">Vaccination of high value wild populations (e.g. the Little Penguin Parade) could provide protection against an H5N1 </w:t>
      </w:r>
      <w:proofErr w:type="gramStart"/>
      <w:r>
        <w:t>outbreak, but</w:t>
      </w:r>
      <w:proofErr w:type="gramEnd"/>
      <w:r>
        <w:t xml:space="preserve"> would need to be undertaken prior to disease arrival. Vaccination would need to achieve at least 70–80% coverage to provide adequate protection.</w:t>
      </w:r>
    </w:p>
    <w:p w14:paraId="24AD8DB1" w14:textId="3AC28A84" w:rsidR="00944513" w:rsidRDefault="00944513" w:rsidP="00944513">
      <w:pPr>
        <w:pStyle w:val="dotpointindented"/>
      </w:pPr>
      <w:r>
        <w:t xml:space="preserve">For other wildlife </w:t>
      </w:r>
      <w:r w:rsidR="00C72A21">
        <w:t>populations</w:t>
      </w:r>
      <w:r>
        <w:t>, there are limited options available to mitigate the impacts of an outbreak of H5N1 and therefore, priority should be given to boosting biosecurity and containment measures to limit spillover of infection to humans and domestic animals.</w:t>
      </w:r>
      <w:r w:rsidR="008C7C4C">
        <w:t xml:space="preserve"> </w:t>
      </w:r>
    </w:p>
    <w:p w14:paraId="31218A88" w14:textId="77777777" w:rsidR="00944513" w:rsidRDefault="00944513" w:rsidP="00944513">
      <w:pPr>
        <w:pStyle w:val="dotpointindented"/>
      </w:pPr>
      <w:r>
        <w:t>Due to the high risk of incursion of WNS into Australia, surveillance for the disease is recommended for the Victorian maternity caves of the SBWB. Due to the high uncertainty around the potential impacts of WNS on the SBWB, research is needed to provide greater understanding of the</w:t>
      </w:r>
      <w:r w:rsidRPr="00193382">
        <w:t xml:space="preserve"> </w:t>
      </w:r>
      <w:r>
        <w:t>frequency and duration of winter torpor in this species.</w:t>
      </w:r>
    </w:p>
    <w:p w14:paraId="6ECC44F7" w14:textId="77777777" w:rsidR="00944513" w:rsidRDefault="00944513" w:rsidP="00944513">
      <w:pPr>
        <w:pStyle w:val="dotpointindented"/>
      </w:pPr>
      <w:r>
        <w:t>In the event of an incursion of WNS into a cave inhabited by SBWBs, options for mitigating disease impacts appear to be limited. However, consideration could be given to use of biocides for treating the sediments of infected caves, because recent evidence suggests this reduces fungal loads in some bat species.</w:t>
      </w:r>
    </w:p>
    <w:p w14:paraId="2D7EB576" w14:textId="74A3C0AA" w:rsidR="00944513" w:rsidRDefault="00944513" w:rsidP="00944513">
      <w:pPr>
        <w:pStyle w:val="dotpointindented"/>
      </w:pPr>
      <w:r>
        <w:t xml:space="preserve">Due to the ongoing impacts of the amphibian chytrid fungus in Bell Frogs, consideration should be given to deploying artificial thermal shelters for mitigation in locations at risk of high chytrid impacts. For other cold-adapted frog species at Extreme risk of impacts from Chytridiomycosis, research is urgently needed on developing novel strategies for mitigating the impacts of this disease. </w:t>
      </w:r>
    </w:p>
    <w:p w14:paraId="710441E9" w14:textId="77777777" w:rsidR="00944513" w:rsidRDefault="00944513" w:rsidP="00944513">
      <w:pPr>
        <w:pStyle w:val="dotpointindented"/>
      </w:pPr>
      <w:r>
        <w:t xml:space="preserve">Managers should consider where surveillance may already be providing information on high-priority pathogens (ranked as ‘Extreme’ or ‘High’), and if this is not in place, consider where and how surveillance systems should be implemented for these high-risk diseases. </w:t>
      </w:r>
    </w:p>
    <w:p w14:paraId="65F3FB7C" w14:textId="4B6183E0" w:rsidR="00704099" w:rsidRDefault="00944513" w:rsidP="00944513">
      <w:pPr>
        <w:pStyle w:val="dotpointindented"/>
      </w:pPr>
      <w:r>
        <w:t>Finally, the increasing threats to wildlife caused by anthropogenic environmental changes are likely to result in more frequent wildlife disease emergencies. Hence, an increased focus on assessing and managing wildlife health is likely to be required to mitigate the worst impacts of disease emergence</w:t>
      </w:r>
      <w:r w:rsidR="006C7A83">
        <w:t>.</w:t>
      </w:r>
      <w:bookmarkStart w:id="18" w:name="_Toc409798398"/>
    </w:p>
    <w:p w14:paraId="678A155A" w14:textId="34C0EE53" w:rsidR="00074331" w:rsidRPr="001749B2" w:rsidRDefault="007C1730" w:rsidP="00EB6C15">
      <w:pPr>
        <w:pStyle w:val="Heading1-Numbered"/>
      </w:pPr>
      <w:bookmarkStart w:id="19" w:name="_Toc18664440"/>
      <w:r>
        <w:br w:type="page"/>
      </w:r>
      <w:bookmarkStart w:id="20" w:name="_Toc286018760"/>
      <w:bookmarkStart w:id="21" w:name="_Toc409798397"/>
      <w:bookmarkStart w:id="22" w:name="_Toc198634094"/>
      <w:bookmarkEnd w:id="19"/>
      <w:r w:rsidR="00074331" w:rsidRPr="001749B2">
        <w:lastRenderedPageBreak/>
        <w:t>Introduction</w:t>
      </w:r>
      <w:bookmarkEnd w:id="20"/>
      <w:bookmarkEnd w:id="21"/>
      <w:bookmarkEnd w:id="22"/>
    </w:p>
    <w:p w14:paraId="1EDF257F" w14:textId="24160E8B" w:rsidR="00295C46" w:rsidRDefault="00295C46" w:rsidP="00295C46">
      <w:r>
        <w:t>Australia has unique flora and fauna species, with high rates of endemism. This rich biological diversity has declined since European coloni</w:t>
      </w:r>
      <w:r w:rsidR="00BC6E64">
        <w:t>s</w:t>
      </w:r>
      <w:r>
        <w:t>ation</w:t>
      </w:r>
      <w:r w:rsidR="00431AF7">
        <w:t>,</w:t>
      </w:r>
      <w:r>
        <w:t xml:space="preserve"> and extinction rates now far exceed the global average for mammals and are predicted to escalate across all taxa </w:t>
      </w:r>
      <w:r w:rsidR="003761FB">
        <w:fldChar w:fldCharType="begin"/>
      </w:r>
      <w:r w:rsidR="009F541F">
        <w:instrText xml:space="preserve"> ADDIN ZOTERO_ITEM CSL_CITATION {"citationID":"TkuuWbCi","properties":{"formattedCitation":"(Legge {\\i{}et al.} 2023)","plainCitation":"(Legge et al. 2023)","noteIndex":0},"citationItems":[{"id":9698,"uris":["http://zotero.org/users/634364/items/6AEZ2L4I"],"itemData":{"id":9698,"type":"article-journal","container-title":"Science","issue":"6658","note":"publisher: American Association for the Advancement of Science","page":"622–631","title":"Loss of terrestrial biodiversity in Australia: Magnitude, causation, and response","volume":"381","author":[{"family":"Legge","given":"Sarah"},{"family":"Rumpff","given":"Libby"},{"family":"Garnett","given":"Stephen T"},{"family":"Woinarski","given":"John CZ"}],"issued":{"date-parts":[["2023"]]}}}],"schema":"https://github.com/citation-style-language/schema/raw/master/csl-citation.json"} </w:instrText>
      </w:r>
      <w:r w:rsidR="003761FB">
        <w:fldChar w:fldCharType="separate"/>
      </w:r>
      <w:r w:rsidR="009F541F" w:rsidRPr="009F541F">
        <w:t xml:space="preserve">(Legge </w:t>
      </w:r>
      <w:r w:rsidR="009F541F" w:rsidRPr="00DA5824">
        <w:t>et al.</w:t>
      </w:r>
      <w:r w:rsidR="009F541F" w:rsidRPr="00431AF7">
        <w:t xml:space="preserve"> </w:t>
      </w:r>
      <w:r w:rsidR="009F541F" w:rsidRPr="009F541F">
        <w:t>2023)</w:t>
      </w:r>
      <w:r w:rsidR="003761FB">
        <w:fldChar w:fldCharType="end"/>
      </w:r>
      <w:r>
        <w:t>. Given the uniqueness of Australia’s environment and biodiversity, it is important to protect</w:t>
      </w:r>
      <w:r w:rsidR="00FD1FAE">
        <w:t xml:space="preserve"> it</w:t>
      </w:r>
      <w:r>
        <w:t xml:space="preserve"> against potential threats. A recent review of nationally listed threatened taxa in Australia has shown that invasive species and disease have become among the most prevalent threats </w:t>
      </w:r>
      <w:r w:rsidR="005F5C90">
        <w:fldChar w:fldCharType="begin"/>
      </w:r>
      <w:r w:rsidR="009F541F">
        <w:instrText xml:space="preserve"> ADDIN ZOTERO_ITEM CSL_CITATION {"citationID":"CVOLQlt8","properties":{"formattedCitation":"(Ward {\\i{}et al.} 2021)","plainCitation":"(Ward et al. 2021)","noteIndex":0},"citationItems":[{"id":9706,"uris":["http://zotero.org/users/634364/items/NYCRRRLC"],"itemData":{"id":9706,"type":"article-journal","container-title":"Ecology and Evolution","issue":"17","note":"publisher: Wiley Online Library","page":"11749–11761","title":"A national-scale dataset for threats impacting Australia’s imperiled flora and fauna","volume":"11","author":[{"family":"Ward","given":"Michelle"},{"family":"Carwardine","given":"Josie"},{"family":"Yong","given":"Chuan J"},{"family":"Watson","given":"James EM"},{"family":"Silcock","given":"Jennifer"},{"family":"Taylor","given":"Gary S"},{"family":"Lintermans","given":"Mark"},{"family":"Gillespie","given":"Graeme R"},{"family":"Garnett","given":"Stephen T"},{"family":"Woinarski","given":"John"},{"literal":"others"}],"issued":{"date-parts":[["2021"]]}}}],"schema":"https://github.com/citation-style-language/schema/raw/master/csl-citation.json"} </w:instrText>
      </w:r>
      <w:r w:rsidR="005F5C90">
        <w:fldChar w:fldCharType="separate"/>
      </w:r>
      <w:r w:rsidR="009F541F" w:rsidRPr="009F541F">
        <w:t xml:space="preserve">(Ward </w:t>
      </w:r>
      <w:r w:rsidR="009F541F" w:rsidRPr="00DA5824">
        <w:t>et al.</w:t>
      </w:r>
      <w:r w:rsidR="009F541F" w:rsidRPr="009F541F">
        <w:t xml:space="preserve"> 2021)</w:t>
      </w:r>
      <w:r w:rsidR="005F5C90">
        <w:fldChar w:fldCharType="end"/>
      </w:r>
      <w:r>
        <w:t>. With increasing globalisation of markets and transport networks, as well as other anthropogenic processes such as changing land-use patterns and climate change</w:t>
      </w:r>
      <w:r w:rsidR="005E1B36">
        <w:t>,</w:t>
      </w:r>
      <w:r>
        <w:t xml:space="preserve"> comes the increasing risk of emerging (or re-emerging) diseases potentially impacting Australia’s native wildlife. For example, Psittacine Circoviral (beak and feather) disease in threatened parrot species is considered a key concern and</w:t>
      </w:r>
      <w:r w:rsidR="008D3D83">
        <w:t>,</w:t>
      </w:r>
      <w:r>
        <w:t xml:space="preserve"> in 2001</w:t>
      </w:r>
      <w:r w:rsidR="008D3D83">
        <w:t>,</w:t>
      </w:r>
      <w:r>
        <w:t xml:space="preserve"> was listed as a national threat by the Australian Government under the </w:t>
      </w:r>
      <w:r w:rsidRPr="00E25178">
        <w:rPr>
          <w:i/>
          <w:iCs/>
        </w:rPr>
        <w:t>Environment Protection and Biosecurity Conservation Act 1999</w:t>
      </w:r>
      <w:r>
        <w:t xml:space="preserve"> </w:t>
      </w:r>
      <w:r w:rsidR="00B91D5F">
        <w:fldChar w:fldCharType="begin"/>
      </w:r>
      <w:r w:rsidR="00B91D5F">
        <w:instrText xml:space="preserve"> ADDIN ZOTERO_ITEM CSL_CITATION {"citationID":"s5cQaAh0","properties":{"formattedCitation":"(DCCEEW 2024)","plainCitation":"(DCCEEW 2024)","noteIndex":0},"citationItems":[{"id":9687,"uris":["http://zotero.org/users/634364/items/6ZU9E3H6"],"itemData":{"id":9687,"type":"report","publisher":"Australian Department of Climate Change, Energy, the Environment and Water report","title":"Key threatening processes under the EPBC Act.","URL":"http://www.environment.gov.au/cgi-bin/sprat/public/publicgetkeythreats.pl","author":[{"family":"DCCEEW","given":""}],"accessed":{"date-parts":[["2024",11,1]]},"issued":{"date-parts":[["2024"]]}}}],"schema":"https://github.com/citation-style-language/schema/raw/master/csl-citation.json"} </w:instrText>
      </w:r>
      <w:r w:rsidR="00B91D5F">
        <w:fldChar w:fldCharType="separate"/>
      </w:r>
      <w:r w:rsidR="009F541F" w:rsidRPr="009F541F">
        <w:t>(DCCEEW 2024)</w:t>
      </w:r>
      <w:r w:rsidR="00B91D5F">
        <w:fldChar w:fldCharType="end"/>
      </w:r>
      <w:r>
        <w:t xml:space="preserve">. The incursion and/or potential spread of these diseases may also pose a risk to Australia’s agriculture and livestock sector through transmission via native or introduced free-ranging species </w:t>
      </w:r>
      <w:r w:rsidR="00C756ED">
        <w:fldChar w:fldCharType="begin"/>
      </w:r>
      <w:r w:rsidR="009F541F">
        <w:instrText xml:space="preserve"> ADDIN ZOTERO_ITEM CSL_CITATION {"citationID":"RzbpsOKF","properties":{"formattedCitation":"(Cripps {\\i{}et al.} 2019; Scott {\\i{}et al.} 2020)","plainCitation":"(Cripps et al. 2019; Scott et al. 2020)","noteIndex":0},"citationItems":[{"id":5370,"uris":["http://zotero.org/users/634364/items/C55PH8H3"],"itemData":{"id":5370,"type":"article-journal","container-title":"Mammal Review","ISSN":"0305-1838","issue":"1","note":"Citation Key: RN2946","page":"60-77","title":"Introduced deer and their potential role in disease transmission to livestock in Australia","volume":"49","author":[{"family":"Cripps","given":"Jemma K"},{"family":"Pacioni","given":"Carlo"},{"family":"Scroggie","given":"Michael P"},{"family":"Woolnough","given":"Andrew P"},{"family":"Ramsey","given":"David S L"}],"issued":{"date-parts":[["2019"]]}}},{"id":9704,"uris":["http://zotero.org/users/634364/items/VK3T9FPF"],"itemData":{"id":9704,"type":"article-journal","container-title":"One Health","note":"publisher: Elsevier","page":"100139","title":"An overview of avian influenza in the context of the Australian commercial poultry industry","volume":"10","author":[{"family":"Scott","given":"Angela"},{"family":"Hernandez-Jover","given":"Marta"},{"family":"Groves","given":"Peter"},{"family":"Toribio","given":"Jenny-Ann"}],"issued":{"date-parts":[["2020"]]}}}],"schema":"https://github.com/citation-style-language/schema/raw/master/csl-citation.json"} </w:instrText>
      </w:r>
      <w:r w:rsidR="00C756ED">
        <w:fldChar w:fldCharType="separate"/>
      </w:r>
      <w:r w:rsidR="009F541F" w:rsidRPr="009F541F">
        <w:t xml:space="preserve">(Cripps </w:t>
      </w:r>
      <w:r w:rsidR="009F541F" w:rsidRPr="00DA5824">
        <w:t>et al.</w:t>
      </w:r>
      <w:r w:rsidR="009F541F" w:rsidRPr="009F541F">
        <w:t xml:space="preserve"> 2019; Scott </w:t>
      </w:r>
      <w:r w:rsidR="009F541F" w:rsidRPr="00DA5824">
        <w:t>et al.</w:t>
      </w:r>
      <w:r w:rsidR="009F541F" w:rsidRPr="008D3D83">
        <w:t xml:space="preserve"> </w:t>
      </w:r>
      <w:r w:rsidR="009F541F" w:rsidRPr="009F541F">
        <w:t>2020)</w:t>
      </w:r>
      <w:r w:rsidR="00C756ED">
        <w:fldChar w:fldCharType="end"/>
      </w:r>
      <w:r>
        <w:t xml:space="preserve">. </w:t>
      </w:r>
    </w:p>
    <w:p w14:paraId="71AE312E" w14:textId="6BBCAAE6" w:rsidR="00295C46" w:rsidRDefault="00295C46" w:rsidP="00295C46">
      <w:r>
        <w:t xml:space="preserve">Australia is fortunately free of many of the serious diseases that </w:t>
      </w:r>
      <w:r w:rsidR="00B63D9E">
        <w:t>infect</w:t>
      </w:r>
      <w:r>
        <w:t xml:space="preserve"> animals in other parts of the world. </w:t>
      </w:r>
      <w:r w:rsidR="00FD39A6">
        <w:t xml:space="preserve">The impact of </w:t>
      </w:r>
      <w:r w:rsidR="00EE1A91">
        <w:t>e</w:t>
      </w:r>
      <w:r>
        <w:t xml:space="preserve">mergency animal diseases (EADs) </w:t>
      </w:r>
      <w:r w:rsidR="005532AC">
        <w:t xml:space="preserve">on </w:t>
      </w:r>
      <w:r>
        <w:t xml:space="preserve">the economy, </w:t>
      </w:r>
      <w:r w:rsidR="002D53A1">
        <w:t xml:space="preserve">environment </w:t>
      </w:r>
      <w:r>
        <w:t>and community</w:t>
      </w:r>
      <w:r w:rsidR="00C77CB0">
        <w:t xml:space="preserve"> </w:t>
      </w:r>
      <w:r w:rsidR="00EA37F9">
        <w:t>may be severe</w:t>
      </w:r>
      <w:r>
        <w:t xml:space="preserve">. For example, estimates suggest that an outbreak of </w:t>
      </w:r>
      <w:bookmarkStart w:id="23" w:name="_Hlk196212101"/>
      <w:r w:rsidR="00C17323">
        <w:t>F</w:t>
      </w:r>
      <w:r>
        <w:t>oot</w:t>
      </w:r>
      <w:r w:rsidR="00E07B96">
        <w:t xml:space="preserve"> </w:t>
      </w:r>
      <w:r>
        <w:t>and</w:t>
      </w:r>
      <w:r w:rsidR="00E07B96">
        <w:t xml:space="preserve"> </w:t>
      </w:r>
      <w:r w:rsidR="00C17323">
        <w:t>M</w:t>
      </w:r>
      <w:r>
        <w:t xml:space="preserve">outh </w:t>
      </w:r>
      <w:r w:rsidR="00C17323">
        <w:t>D</w:t>
      </w:r>
      <w:r>
        <w:t xml:space="preserve">isease </w:t>
      </w:r>
      <w:r w:rsidR="009257CD">
        <w:t xml:space="preserve">(FMD) </w:t>
      </w:r>
      <w:bookmarkEnd w:id="23"/>
      <w:r>
        <w:t>could have a direct economic impact of around $80 billion in Australia</w:t>
      </w:r>
      <w:r w:rsidR="00C756ED">
        <w:t xml:space="preserve"> </w:t>
      </w:r>
      <w:r w:rsidR="00C756ED">
        <w:fldChar w:fldCharType="begin"/>
      </w:r>
      <w:r w:rsidR="00C756ED">
        <w:instrText xml:space="preserve"> ADDIN ZOTERO_ITEM CSL_CITATION {"citationID":"uHvglwEa","properties":{"formattedCitation":"(ABARES 2022)","plainCitation":"(ABARES 2022)","noteIndex":0},"citationItems":[{"id":9683,"uris":["http://zotero.org/users/634364/items/LNEU2CWN"],"itemData":{"id":9683,"type":"report","publisher":"Australian Bureau of Agricultural and Resource Economics and Sciences report","title":"Direct economic impacts of a foot-and-mouth (FMD) disease incursion in Australia, an update of ABARES 2013 estimate","URL":"https://www.agriculture.gov.au/abares/research-topics/biosecurity/biosecurity-economics/fmd-update-of-2013-estimate#daff-page-main","author":[{"family":"ABARES","given":""}],"accessed":{"date-parts":[["2024",10,1]]},"issued":{"date-parts":[["2022"]]}}}],"schema":"https://github.com/citation-style-language/schema/raw/master/csl-citation.json"} </w:instrText>
      </w:r>
      <w:r w:rsidR="00C756ED">
        <w:fldChar w:fldCharType="separate"/>
      </w:r>
      <w:r w:rsidR="009F541F" w:rsidRPr="009F541F">
        <w:t>(ABARES 2022)</w:t>
      </w:r>
      <w:r w:rsidR="00C756ED">
        <w:fldChar w:fldCharType="end"/>
      </w:r>
      <w:r>
        <w:t>. Australia’s biosecurity system aims to protect the country from the risk of entry, establishment and spread of harmful exotic invasive species, and operates at</w:t>
      </w:r>
      <w:r w:rsidR="00A403FF">
        <w:t xml:space="preserve"> both state and </w:t>
      </w:r>
      <w:r>
        <w:t xml:space="preserve">national levels. </w:t>
      </w:r>
      <w:r w:rsidR="000E3B79">
        <w:t>T</w:t>
      </w:r>
      <w:r>
        <w:t xml:space="preserve">he Victorian Government has developed </w:t>
      </w:r>
      <w:r w:rsidRPr="00E25178">
        <w:rPr>
          <w:i/>
          <w:iCs/>
        </w:rPr>
        <w:t>The Victorian Government State Emergency Animal Disease Response Plan</w:t>
      </w:r>
      <w:r w:rsidR="009257CD">
        <w:t>,</w:t>
      </w:r>
      <w:r>
        <w:t xml:space="preserve"> which provides an overview of the arrangements for the management of a major EAD emergency in Victoria and contains information on mitigation, preparedness, response and relief</w:t>
      </w:r>
      <w:r w:rsidR="00862887">
        <w:t xml:space="preserve"> </w:t>
      </w:r>
      <w:r w:rsidR="00862887">
        <w:fldChar w:fldCharType="begin"/>
      </w:r>
      <w:r w:rsidR="00CC09A6">
        <w:instrText xml:space="preserve"> ADDIN ZOTERO_ITEM CSL_CITATION {"citationID":"MWAr511W","properties":{"formattedCitation":"(DEECA 2023b)","plainCitation":"(DEECA 2023b)","noteIndex":0},"citationItems":[{"id":9694,"uris":["http://zotero.org/users/634364/items/8XULAGYR"],"itemData":{"id":9694,"type":"report","publisher":"Department of Energy, Environment and Climate Action, Victoria, Australia","title":"The Victorian Government State Emergency Animal Disease Response Plan - April 2023","URL":"https://agriculture.vic.gov.au/__data/assets/pdf_file/0017/1019222/2024_Victorian_EAD_response_plan.pdf","author":[{"family":"DEECA","given":""}],"issued":{"date-parts":[["2023"]]}}}],"schema":"https://github.com/citation-style-language/schema/raw/master/csl-citation.json"} </w:instrText>
      </w:r>
      <w:r w:rsidR="00862887">
        <w:fldChar w:fldCharType="separate"/>
      </w:r>
      <w:r w:rsidR="009F541F" w:rsidRPr="009F541F">
        <w:t>(DEECA 2023b)</w:t>
      </w:r>
      <w:r w:rsidR="00862887">
        <w:fldChar w:fldCharType="end"/>
      </w:r>
      <w:r>
        <w:t xml:space="preserve">. Animal Health Australia also publishes the nationally agreed approach for the response to EAD incidents in Australia, through </w:t>
      </w:r>
      <w:bookmarkStart w:id="24" w:name="_Hlk196212191"/>
      <w:r w:rsidRPr="00E25178">
        <w:rPr>
          <w:i/>
          <w:iCs/>
        </w:rPr>
        <w:t>The Australian Veterinary Emergency Plans</w:t>
      </w:r>
      <w:r>
        <w:t xml:space="preserve"> (otherwise known as AUSVETPLANs</w:t>
      </w:r>
      <w:bookmarkEnd w:id="24"/>
      <w:r>
        <w:t xml:space="preserve">). These focus mostly on </w:t>
      </w:r>
      <w:r w:rsidR="00C942D5">
        <w:t>livestock</w:t>
      </w:r>
      <w:r w:rsidR="009257CD">
        <w:t>,</w:t>
      </w:r>
      <w:r>
        <w:t xml:space="preserve"> but also cover responses for wild animals</w:t>
      </w:r>
      <w:r w:rsidR="006746FA">
        <w:t xml:space="preserve"> </w:t>
      </w:r>
      <w:r w:rsidR="00B63D9E">
        <w:t>that are</w:t>
      </w:r>
      <w:r w:rsidR="00C30009">
        <w:t xml:space="preserve"> a res</w:t>
      </w:r>
      <w:r w:rsidR="007B54B6">
        <w:t>ervoir for disease</w:t>
      </w:r>
      <w:r w:rsidR="003D7B4D">
        <w:t xml:space="preserve"> likely to </w:t>
      </w:r>
      <w:r w:rsidR="001160BD">
        <w:t>have</w:t>
      </w:r>
      <w:r w:rsidR="00813411">
        <w:t xml:space="preserve"> impacts on </w:t>
      </w:r>
      <w:r w:rsidR="00FA0854">
        <w:t>human health or the economy</w:t>
      </w:r>
      <w:r>
        <w:t xml:space="preserve"> </w:t>
      </w:r>
      <w:r w:rsidR="00862887">
        <w:fldChar w:fldCharType="begin"/>
      </w:r>
      <w:r w:rsidR="00862887">
        <w:instrText xml:space="preserve"> ADDIN ZOTERO_ITEM CSL_CITATION {"citationID":"6gyP2PlS","properties":{"formattedCitation":"(AHA 2023)","plainCitation":"(AHA 2023)","noteIndex":0},"citationItems":[{"id":9681,"uris":["http://zotero.org/users/634364/items/SMRUUID4"],"itemData":{"id":9681,"type":"report","publisher":"Animal Health Australia report","title":"Australian Veterinary Emergency Plan (AUSVETPLAN) publications","URL":"https://animalhealthaustralia.com.au/ausvetplan/","author":[{"family":"AHA","given":""}],"accessed":{"date-parts":[["2024",11,1]]},"issued":{"date-parts":[["2023"]]}}}],"schema":"https://github.com/citation-style-language/schema/raw/master/csl-citation.json"} </w:instrText>
      </w:r>
      <w:r w:rsidR="00862887">
        <w:fldChar w:fldCharType="separate"/>
      </w:r>
      <w:r w:rsidR="009F541F" w:rsidRPr="009F541F">
        <w:t>(AHA 2023)</w:t>
      </w:r>
      <w:r w:rsidR="00862887">
        <w:fldChar w:fldCharType="end"/>
      </w:r>
      <w:r>
        <w:t xml:space="preserve">. </w:t>
      </w:r>
    </w:p>
    <w:p w14:paraId="42A1ACD1" w14:textId="58798A52" w:rsidR="00295C46" w:rsidRDefault="00B63D9E" w:rsidP="00295C46">
      <w:r>
        <w:t>The ’</w:t>
      </w:r>
      <w:r w:rsidR="00295C46">
        <w:t>One Health</w:t>
      </w:r>
      <w:r>
        <w:t xml:space="preserve">’ initiative </w:t>
      </w:r>
      <w:r w:rsidR="00295C46">
        <w:t>is an approach that recogni</w:t>
      </w:r>
      <w:r w:rsidR="009257CD">
        <w:t>s</w:t>
      </w:r>
      <w:r w:rsidR="00295C46">
        <w:t xml:space="preserve">es </w:t>
      </w:r>
      <w:r w:rsidR="000C6AD2" w:rsidRPr="000C6AD2">
        <w:t>the significant interconnectivity of human health, animal health and environmental health</w:t>
      </w:r>
      <w:r w:rsidR="000C6AD2">
        <w:t xml:space="preserve">. </w:t>
      </w:r>
      <w:r w:rsidR="00295C46">
        <w:t xml:space="preserve">This concept is a focus of the </w:t>
      </w:r>
      <w:bookmarkStart w:id="25" w:name="_Hlk196212252"/>
      <w:r w:rsidR="00295C46">
        <w:t>World Organi</w:t>
      </w:r>
      <w:r w:rsidR="009257CD">
        <w:t>s</w:t>
      </w:r>
      <w:r w:rsidR="00295C46">
        <w:t xml:space="preserve">ation for Animal Health (OIE). </w:t>
      </w:r>
      <w:bookmarkEnd w:id="25"/>
      <w:r w:rsidR="00295C46">
        <w:t xml:space="preserve">By protecting wildlife health, diseases that affect domestic animals and humans can also be prevented. Emerging zoonotic diseases, such as COVID-19, are often associated with environmental and animal factors </w:t>
      </w:r>
      <w:r w:rsidR="002E6E27">
        <w:fldChar w:fldCharType="begin"/>
      </w:r>
      <w:r w:rsidR="009F541F">
        <w:instrText xml:space="preserve"> ADDIN ZOTERO_ITEM CSL_CITATION {"citationID":"vQaDxcJg","properties":{"formattedCitation":"(Bonilla-Aldana {\\i{}et al.} 2020)","plainCitation":"(Bonilla-Aldana et al. 2020)","noteIndex":0},"citationItems":[{"id":9689,"uris":["http://zotero.org/users/634364/items/BRNLV2HJ"],"itemData":{"id":9689,"type":"article-journal","container-title":"Advances in Animal and Veterinary Sciences","DOI":"10.17582/journal.aavs/2020/8.3.234.237","ISSN":"23078316","issue":"3","journalAbbreviation":"Adv. Anim. Vet. Sci.","language":"en","source":"DOI.org (Crossref)","title":"Revisiting the One Health Approach in the Context of COVID-19: A Look into the Ecology of this Emerging Disease","title-short":"Revisiting the One Health Approach in the Context of COVID-19","URL":"https://researcherslinks.com/table_contents_detail/Advances-in-Animal-and-Veterinary-Sciences/33/1359/html","volume":"8","author":[{"family":"Bonilla-Aldana","given":"D. Katterine"},{"family":"Dhama","given":"Kuldeep"},{"family":"Rodriguez-Morales","given":"Alfonso J."}],"accessed":{"date-parts":[["2025",2,17]]},"issued":{"date-parts":[["2020"]]}}}],"schema":"https://github.com/citation-style-language/schema/raw/master/csl-citation.json"} </w:instrText>
      </w:r>
      <w:r w:rsidR="002E6E27">
        <w:fldChar w:fldCharType="separate"/>
      </w:r>
      <w:r w:rsidR="009F541F" w:rsidRPr="009F541F">
        <w:t xml:space="preserve">(Bonilla-Aldana </w:t>
      </w:r>
      <w:r w:rsidR="009F541F" w:rsidRPr="00DA5824">
        <w:t>et al.</w:t>
      </w:r>
      <w:r w:rsidR="009F541F" w:rsidRPr="009257CD">
        <w:t xml:space="preserve"> </w:t>
      </w:r>
      <w:r w:rsidR="009F541F" w:rsidRPr="009F541F">
        <w:t>2020)</w:t>
      </w:r>
      <w:r w:rsidR="002E6E27">
        <w:fldChar w:fldCharType="end"/>
      </w:r>
      <w:r w:rsidR="00295C46">
        <w:t xml:space="preserve">. It is essential to understand the ecological factors affecting the transmission of infectious agents in wildlife, especially to </w:t>
      </w:r>
      <w:r w:rsidR="00565D9B">
        <w:t xml:space="preserve">consider </w:t>
      </w:r>
      <w:r w:rsidR="00295C46">
        <w:t xml:space="preserve">the mechanisms involved </w:t>
      </w:r>
      <w:r w:rsidR="002F6696">
        <w:t xml:space="preserve">in </w:t>
      </w:r>
      <w:r w:rsidR="00295C46">
        <w:t xml:space="preserve">host-jumping and/or host-shifting and to predict the risk that both endemic and exotic pathogens pose to wildlife species, animal health </w:t>
      </w:r>
      <w:r>
        <w:t>and</w:t>
      </w:r>
      <w:r w:rsidR="00295C46">
        <w:t xml:space="preserve"> human health. An example of an emerging wildlife disease is </w:t>
      </w:r>
      <w:r w:rsidR="00256D35">
        <w:t>H</w:t>
      </w:r>
      <w:r w:rsidR="00295C46">
        <w:t xml:space="preserve">ighly </w:t>
      </w:r>
      <w:r w:rsidR="00256D35">
        <w:t>P</w:t>
      </w:r>
      <w:r w:rsidR="00295C46">
        <w:t xml:space="preserve">athogenic </w:t>
      </w:r>
      <w:r w:rsidR="00256D35">
        <w:t>A</w:t>
      </w:r>
      <w:r w:rsidR="00295C46">
        <w:t xml:space="preserve">vian </w:t>
      </w:r>
      <w:r w:rsidR="00256D35">
        <w:t>I</w:t>
      </w:r>
      <w:r w:rsidR="00295C46">
        <w:t>nfluenza (HPAI). Since October 2021, an unprecedented number of outbreaks of HPAI have been reported in several regions of the world, reaching new geographical areas and causing devastating impacts on animal health and welfare</w:t>
      </w:r>
      <w:r w:rsidR="002E6E27">
        <w:t xml:space="preserve"> </w:t>
      </w:r>
      <w:r w:rsidR="002E6E27">
        <w:fldChar w:fldCharType="begin"/>
      </w:r>
      <w:r w:rsidR="002E6E27">
        <w:instrText xml:space="preserve"> ADDIN ZOTERO_ITEM CSL_CITATION {"citationID":"bNYVGzVl","properties":{"formattedCitation":"(OIE 2024)","plainCitation":"(OIE 2024)","noteIndex":0},"citationItems":[{"id":9700,"uris":["http://zotero.org/users/634364/items/2VK4XPYZ"],"itemData":{"id":9700,"type":"report","publisher":"World Organisation for Animal Health","title":"Statement on avian influenza and mammals","URL":"https://www.woah.org/en/statement-on-avian-influenza-and-mammals/","author":[{"literal":"OIE"}],"accessed":{"date-parts":[["2024",11,1]]},"issued":{"date-parts":[["2024"]]}}}],"schema":"https://github.com/citation-style-language/schema/raw/master/csl-citation.json"} </w:instrText>
      </w:r>
      <w:r w:rsidR="002E6E27">
        <w:fldChar w:fldCharType="separate"/>
      </w:r>
      <w:r w:rsidR="009F541F" w:rsidRPr="009F541F">
        <w:t>(OIE 2024)</w:t>
      </w:r>
      <w:r w:rsidR="002E6E27">
        <w:fldChar w:fldCharType="end"/>
      </w:r>
      <w:r w:rsidR="00295C46">
        <w:t xml:space="preserve">. The disease has led to an alarming rate of wild bird die-offs and has quickly shifted into other taxon groups, such as mammals. Mortality rates as high as 70% have been seen in </w:t>
      </w:r>
      <w:r w:rsidR="002D53A1">
        <w:t>S</w:t>
      </w:r>
      <w:r w:rsidR="00295C46">
        <w:t xml:space="preserve">outhern </w:t>
      </w:r>
      <w:r w:rsidR="002D53A1">
        <w:t>E</w:t>
      </w:r>
      <w:r w:rsidR="00295C46">
        <w:t xml:space="preserve">lephant </w:t>
      </w:r>
      <w:r w:rsidR="002D53A1">
        <w:t>S</w:t>
      </w:r>
      <w:r w:rsidR="00295C46">
        <w:t>eals (</w:t>
      </w:r>
      <w:r w:rsidR="00295C46" w:rsidRPr="002D53A1">
        <w:rPr>
          <w:i/>
          <w:iCs/>
        </w:rPr>
        <w:t>Mirounga leonine</w:t>
      </w:r>
      <w:r w:rsidR="00762BB3">
        <w:t>)</w:t>
      </w:r>
      <w:r w:rsidR="00295C46">
        <w:t xml:space="preserve"> </w:t>
      </w:r>
      <w:r w:rsidR="00762BB3">
        <w:fldChar w:fldCharType="begin"/>
      </w:r>
      <w:r w:rsidR="009F541F">
        <w:instrText xml:space="preserve"> ADDIN ZOTERO_ITEM CSL_CITATION {"citationID":"VbaRBNZ7","properties":{"formattedCitation":"(Campagna {\\i{}et al.} 2024)","plainCitation":"(Campagna et al. 2024)","noteIndex":0},"citationItems":[{"id":9690,"uris":["http://zotero.org/users/634364/items/TY4HXXGI"],"itemData":{"id":9690,"type":"article-journal","container-title":"Marine Mammal Science","issue":"1","title":"Catastrophic mortality of southern elephant seals caused by H5N1 avian influenza.","volume":"40","author":[{"family":"Campagna","given":"Claudio"},{"family":"Uhart","given":"Marcela"},{"family":"Falabella","given":"Valeria"},{"family":"Campagna","given":"Julieta"},{"family":"Zavattieri","given":"Victoria"},{"family":"Vanstreels","given":"Ralph ET"},{"family":"Lewis","given":"Mirtha N"}],"issued":{"date-parts":[["2024"]]}}}],"schema":"https://github.com/citation-style-language/schema/raw/master/csl-citation.json"} </w:instrText>
      </w:r>
      <w:r w:rsidR="00762BB3">
        <w:fldChar w:fldCharType="separate"/>
      </w:r>
      <w:r w:rsidR="009F541F" w:rsidRPr="009F541F">
        <w:t xml:space="preserve">(Campagna </w:t>
      </w:r>
      <w:r w:rsidR="009F541F" w:rsidRPr="00DA5824">
        <w:t>et al.</w:t>
      </w:r>
      <w:r w:rsidR="009F541F" w:rsidRPr="009D4A95">
        <w:t xml:space="preserve"> </w:t>
      </w:r>
      <w:r w:rsidR="009F541F" w:rsidRPr="009F541F">
        <w:t>2024)</w:t>
      </w:r>
      <w:r w:rsidR="00762BB3">
        <w:fldChar w:fldCharType="end"/>
      </w:r>
      <w:r w:rsidR="00295C46">
        <w:t>. Unprecedented wild bird mortality was also observed, with one report from Peru establishing at least 100,000 wild birds belonging to 24 species (some of them threatened), had died due to this virus</w:t>
      </w:r>
      <w:r w:rsidR="00762BB3">
        <w:t xml:space="preserve"> </w:t>
      </w:r>
      <w:r w:rsidR="00762BB3">
        <w:fldChar w:fldCharType="begin"/>
      </w:r>
      <w:r w:rsidR="009F541F">
        <w:instrText xml:space="preserve"> ADDIN ZOTERO_ITEM CSL_CITATION {"citationID":"MerXab6T","properties":{"formattedCitation":"(Gamarra-Toledo {\\i{}et al.} 2023)","plainCitation":"(Gamarra-Toledo et al. 2023)","noteIndex":0},"citationItems":[{"id":9549,"uris":["http://zotero.org/users/634364/items/WAY9DPTN"],"itemData":{"id":9549,"type":"article-journal","abstract":"The recent panzootic of Highly Pathogenic Avian Influenza (HPAI) A (H5N1) has affected hundreds of thousands of wild birds around the world. Here, we analyze the outcomes of the first H5N1 outbreak in wild birds of Peruvian protected areas. The first detection of H5N1 was confirmed in dead Peruvian pelicans (Pelecanus thagus) on 13 November 2022; the outbreak then rapidly spread to diverse areas along the Peruvian coast. By mid-March 2023, the species affected and number of dead individuals found was alarming: we found at least 100,485 wild birds belonging to 24 species (some of them threatened), which died due to this virus. The number of bird species and individuals affected by this disease in Peru is of conservation concern due to the severe effect of this virus on these populations and the ecosystem services they provide. This emerging pathogen killed, for instance, around 20 % of the pelican population inhabiting marine protected areas in Peru. We call on authorities and conser­ vation managers in South America to be alert and implement actions such as rapid removal of infected carcasses and epidemiological surveillance to limit the spread of this virus and its consequent impact on wildlife. We must prevent this pathogen spreading to other regions in South America and Antarctica, where many potentially susceptible species live and need to be preserved. Since this emerging pathogen has produced high bird mortality worldwide, it should be addressed as a new threat to the survival of several bird species around the world.","container-title":"Biological Conservation","DOI":"10.1016/j.biocon.2023.110272","ISSN":"00063207","journalAbbreviation":"Biological Conservation","language":"en","page":"110272","source":"DOI.org (Crossref)","title":"Highly Pathogenic Avian Influenza (HPAI) strongly impacts wild birds in Peru","volume":"286","author":[{"family":"Gamarra-Toledo","given":"Víctor"},{"family":"Plaza","given":"Pablo I."},{"family":"Angulo","given":"Fernando"},{"family":"Gutiérrez","given":"Roberto"},{"family":"García-Tello","given":"Oscar"},{"family":"Saravia-Guevara","given":"Patricia"},{"family":"Mejía-Vargas","given":"Fernando"},{"family":"Epiquién-Rivera","given":"Mirbel"},{"family":"Quiroz-Jiménez","given":"Gonzalo"},{"family":"Martinez","given":"Paola"},{"family":"Huamán-Mendoza","given":"Deyvis"},{"family":"Inga-Díaz","given":"Giancarlo"},{"family":"La Madrid","given":"Luis E."},{"family":"Luyo","given":"Paola"},{"family":"Ventura","given":"Sandra"},{"family":"Lambertucci","given":"Sergio A."}],"issued":{"date-parts":[["2023",10]]}}}],"schema":"https://github.com/citation-style-language/schema/raw/master/csl-citation.json"} </w:instrText>
      </w:r>
      <w:r w:rsidR="00762BB3">
        <w:fldChar w:fldCharType="separate"/>
      </w:r>
      <w:r w:rsidR="009F541F" w:rsidRPr="009F541F">
        <w:t xml:space="preserve">(Gamarra-Toledo </w:t>
      </w:r>
      <w:r w:rsidR="009F541F" w:rsidRPr="00DA5824">
        <w:t>et al</w:t>
      </w:r>
      <w:r w:rsidR="009F541F" w:rsidRPr="009F541F">
        <w:rPr>
          <w:i/>
          <w:iCs/>
        </w:rPr>
        <w:t>.</w:t>
      </w:r>
      <w:r w:rsidR="009F541F" w:rsidRPr="009F541F">
        <w:t xml:space="preserve"> 2023)</w:t>
      </w:r>
      <w:r w:rsidR="00762BB3">
        <w:fldChar w:fldCharType="end"/>
      </w:r>
      <w:r w:rsidR="00295C46">
        <w:t>. Th</w:t>
      </w:r>
      <w:r>
        <w:t>ese examples</w:t>
      </w:r>
      <w:r w:rsidR="00295C46">
        <w:t xml:space="preserve"> demonstrate how swiftly disease outbreaks can occur</w:t>
      </w:r>
      <w:r w:rsidR="009D4A95">
        <w:t>,</w:t>
      </w:r>
      <w:r w:rsidR="00295C46">
        <w:t xml:space="preserve"> and that the conservation impacts of emerging pathogens on wildlife can be high. </w:t>
      </w:r>
    </w:p>
    <w:p w14:paraId="4F6FB88C" w14:textId="7288E315" w:rsidR="00295C46" w:rsidRDefault="00295C46" w:rsidP="00295C46">
      <w:r>
        <w:t>DEECA has been engaging with key stakeholders over the past two to three years on a range of wildlife health risks and the increasing risk of diseases and their potential impacts on Victoria’s biodiversity and natural environment. Preventing disease-linked species extinctions will stabilise ecosystems, reduce zoonotic disease</w:t>
      </w:r>
      <w:r w:rsidR="001A5D23">
        <w:t xml:space="preserve"> </w:t>
      </w:r>
      <w:r w:rsidR="001A5D23">
        <w:fldChar w:fldCharType="begin"/>
      </w:r>
      <w:r w:rsidR="001A5D23">
        <w:instrText xml:space="preserve"> ADDIN ZOTERO_ITEM CSL_CITATION {"citationID":"CzwhGpTj","properties":{"formattedCitation":"(Ostfeld 2009)","plainCitation":"(Ostfeld 2009)","noteIndex":0},"citationItems":[{"id":9701,"uris":["http://zotero.org/users/634364/items/KT5HDFE4"],"itemData":{"id":9701,"type":"article-journal","container-title":"Clinical microbiology and infection","note":"publisher: Wiley Online Library","page":"40–43","title":"Biodiversity loss and the rise of zoonotic pathogens","volume":"15","author":[{"family":"Ostfeld","given":"Richard S"}],"issued":{"date-parts":[["2009"]]}}}],"schema":"https://github.com/citation-style-language/schema/raw/master/csl-citation.json"} </w:instrText>
      </w:r>
      <w:r w:rsidR="001A5D23">
        <w:fldChar w:fldCharType="separate"/>
      </w:r>
      <w:r w:rsidR="009F541F" w:rsidRPr="009F541F">
        <w:t>(Ostfeld 2009)</w:t>
      </w:r>
      <w:r w:rsidR="001A5D23">
        <w:fldChar w:fldCharType="end"/>
      </w:r>
      <w:r w:rsidR="00946DF6">
        <w:t>,</w:t>
      </w:r>
      <w:r>
        <w:t xml:space="preserve"> and protect biodiversity and ecosystem services. Developing a strategic approach to these risks is a very high priority for the sector and aligns with the objectives and priorities under </w:t>
      </w:r>
      <w:r w:rsidRPr="00E25178">
        <w:rPr>
          <w:i/>
          <w:iCs/>
        </w:rPr>
        <w:t>Biodiversity 2037</w:t>
      </w:r>
      <w:r>
        <w:t xml:space="preserve"> and </w:t>
      </w:r>
      <w:r w:rsidRPr="00E25178">
        <w:rPr>
          <w:i/>
          <w:iCs/>
        </w:rPr>
        <w:t>Victoria’s Climate Change Adaptation and Action Plan for the Natural Environment</w:t>
      </w:r>
      <w:r>
        <w:t xml:space="preserve">. </w:t>
      </w:r>
      <w:r w:rsidR="0054133C" w:rsidRPr="0054133C">
        <w:t>Understanding the susceptibility of Victoria’s fauna to risks from endemic and exotic diseases and the ability to manage potential impacts requires DEECA to assess the likelihood of diseases causing an emergency, their expected impacts, as well as potential response options (and their effectiveness)</w:t>
      </w:r>
      <w:r>
        <w:t xml:space="preserve">. </w:t>
      </w:r>
    </w:p>
    <w:p w14:paraId="2037AB87" w14:textId="77777777" w:rsidR="0054133C" w:rsidRDefault="0054133C" w:rsidP="00295C46"/>
    <w:p w14:paraId="3D46FE84" w14:textId="77777777" w:rsidR="00946DF6" w:rsidRDefault="00946DF6" w:rsidP="00295C46"/>
    <w:p w14:paraId="6512F8F6" w14:textId="1AB416C7" w:rsidR="00661D6B" w:rsidRDefault="00661D6B" w:rsidP="00D8780B">
      <w:pPr>
        <w:pStyle w:val="Heading2-Numbered"/>
      </w:pPr>
      <w:bookmarkStart w:id="26" w:name="_Toc198634095"/>
      <w:r>
        <w:lastRenderedPageBreak/>
        <w:t>Aims</w:t>
      </w:r>
      <w:bookmarkEnd w:id="26"/>
    </w:p>
    <w:p w14:paraId="7BC42608" w14:textId="51270026" w:rsidR="00801C4D" w:rsidRDefault="00295C46" w:rsidP="000D65E7">
      <w:r>
        <w:t xml:space="preserve">This project </w:t>
      </w:r>
      <w:r w:rsidR="008060ED">
        <w:t xml:space="preserve">aimed to </w:t>
      </w:r>
      <w:r>
        <w:t xml:space="preserve">assess the likely risks of </w:t>
      </w:r>
      <w:r w:rsidR="008060ED">
        <w:t xml:space="preserve">endemic and exotic </w:t>
      </w:r>
      <w:r>
        <w:t xml:space="preserve">disease </w:t>
      </w:r>
      <w:r w:rsidR="008060ED">
        <w:t>to</w:t>
      </w:r>
      <w:r>
        <w:t xml:space="preserve"> </w:t>
      </w:r>
      <w:r w:rsidR="00B63D9E">
        <w:t xml:space="preserve">terrestrial </w:t>
      </w:r>
      <w:r>
        <w:t xml:space="preserve">wildlife in Victoria by (i) undertaking qualitative disease risk assessments for </w:t>
      </w:r>
      <w:r w:rsidR="00610881">
        <w:t xml:space="preserve">terrestrial </w:t>
      </w:r>
      <w:r w:rsidR="00691F65">
        <w:t>fauna</w:t>
      </w:r>
      <w:r w:rsidR="00D0412C">
        <w:t xml:space="preserve"> and/or </w:t>
      </w:r>
      <w:r>
        <w:t>taxon groups (especially threatened species)</w:t>
      </w:r>
      <w:r w:rsidR="00946DF6">
        <w:t>,</w:t>
      </w:r>
      <w:r>
        <w:t xml:space="preserve"> and (ii) modelling </w:t>
      </w:r>
      <w:r w:rsidR="00D0412C">
        <w:t xml:space="preserve">the likely impacts and efficacy of </w:t>
      </w:r>
      <w:r>
        <w:t>potential mitigation strategies for</w:t>
      </w:r>
      <w:r w:rsidR="00B0677D">
        <w:t xml:space="preserve"> </w:t>
      </w:r>
      <w:r w:rsidR="00B30BDC">
        <w:t xml:space="preserve">selected </w:t>
      </w:r>
      <w:r>
        <w:t>disease</w:t>
      </w:r>
      <w:r w:rsidR="00B30BDC">
        <w:t xml:space="preserve"> case studies</w:t>
      </w:r>
      <w:r>
        <w:t>.</w:t>
      </w:r>
      <w:r w:rsidR="00BE3EC4">
        <w:t xml:space="preserve"> </w:t>
      </w:r>
      <w:r w:rsidR="00E80A4F">
        <w:t xml:space="preserve">Results </w:t>
      </w:r>
      <w:r w:rsidR="00F027D3">
        <w:t xml:space="preserve">from these investigations </w:t>
      </w:r>
      <w:r w:rsidR="00E80A4F">
        <w:t xml:space="preserve">were then </w:t>
      </w:r>
      <w:r w:rsidR="00F027D3">
        <w:t xml:space="preserve">synthesised </w:t>
      </w:r>
      <w:r w:rsidR="00E80A4F">
        <w:t>to identify gaps in current knowledge</w:t>
      </w:r>
      <w:r w:rsidR="00B30BDC">
        <w:t xml:space="preserve"> about </w:t>
      </w:r>
      <w:r w:rsidR="00095D2F">
        <w:t xml:space="preserve">potential </w:t>
      </w:r>
      <w:r w:rsidR="00B30BDC">
        <w:t>wild</w:t>
      </w:r>
      <w:r w:rsidR="00095D2F">
        <w:t>life disease</w:t>
      </w:r>
      <w:r w:rsidR="00E80A4F">
        <w:t xml:space="preserve"> </w:t>
      </w:r>
      <w:r w:rsidR="00095D2F">
        <w:t>impacts a</w:t>
      </w:r>
      <w:r w:rsidR="00E80A4F">
        <w:t xml:space="preserve">nd how can these be addressed to </w:t>
      </w:r>
      <w:r w:rsidR="00B63D9E">
        <w:t>improve</w:t>
      </w:r>
      <w:r w:rsidR="00E80A4F">
        <w:t xml:space="preserve"> disease risk assessments and response planning</w:t>
      </w:r>
      <w:r w:rsidR="00F027D3">
        <w:t>.</w:t>
      </w:r>
    </w:p>
    <w:p w14:paraId="4C164712" w14:textId="7C355FBC" w:rsidR="00980E26" w:rsidRPr="001749B2" w:rsidRDefault="00D06125" w:rsidP="000C5334">
      <w:pPr>
        <w:pStyle w:val="Heading1-Numbered"/>
      </w:pPr>
      <w:bookmarkStart w:id="27" w:name="_Toc196419780"/>
      <w:bookmarkStart w:id="28" w:name="_Toc196492715"/>
      <w:bookmarkStart w:id="29" w:name="_Toc198634096"/>
      <w:bookmarkEnd w:id="18"/>
      <w:bookmarkEnd w:id="27"/>
      <w:bookmarkEnd w:id="28"/>
      <w:r>
        <w:t>M</w:t>
      </w:r>
      <w:r w:rsidR="000C5334">
        <w:t>ethods</w:t>
      </w:r>
      <w:bookmarkEnd w:id="29"/>
    </w:p>
    <w:p w14:paraId="6EAD4FD7" w14:textId="18EA8A16" w:rsidR="00D47246" w:rsidRDefault="00D47246" w:rsidP="006433B2">
      <w:pPr>
        <w:pStyle w:val="Heading2-Numbered"/>
      </w:pPr>
      <w:bookmarkStart w:id="30" w:name="_Toc198634097"/>
      <w:r w:rsidRPr="00D47246">
        <w:t>Wildlife disease risk a</w:t>
      </w:r>
      <w:r w:rsidR="00D21F9B">
        <w:t>nalysis</w:t>
      </w:r>
      <w:r w:rsidRPr="00D47246">
        <w:t xml:space="preserve"> (WDRA)</w:t>
      </w:r>
      <w:bookmarkEnd w:id="30"/>
    </w:p>
    <w:p w14:paraId="6DB4C26E" w14:textId="6D841D2C" w:rsidR="00D47246" w:rsidRDefault="00D47246" w:rsidP="00D47246">
      <w:r w:rsidRPr="00D47246">
        <w:t>Disease risk analysis</w:t>
      </w:r>
      <w:r w:rsidR="007B6F00">
        <w:t xml:space="preserve"> (DRA)</w:t>
      </w:r>
      <w:r w:rsidRPr="00D47246">
        <w:t xml:space="preserve"> is a structured process that </w:t>
      </w:r>
      <w:r w:rsidR="006D25F7">
        <w:t xml:space="preserve">aims to manage </w:t>
      </w:r>
      <w:r w:rsidR="00266F82">
        <w:t>disease risk to an acceptable level</w:t>
      </w:r>
      <w:r w:rsidR="007B4D95">
        <w:t xml:space="preserve">. It </w:t>
      </w:r>
      <w:r w:rsidRPr="00D47246">
        <w:t>can help determine the potential impacts of diseases on wildlife populations and assist decision making in the face of uncertainty. It is a repeatable tool that has been used in a variety of situations including for a</w:t>
      </w:r>
      <w:r w:rsidR="00590A6D">
        <w:t>nalysing</w:t>
      </w:r>
      <w:r w:rsidRPr="00D47246">
        <w:t xml:space="preserve"> risk of notifiable exotic disease incursion </w:t>
      </w:r>
      <w:r w:rsidR="0017611E">
        <w:fldChar w:fldCharType="begin"/>
      </w:r>
      <w:r w:rsidR="009F541F">
        <w:instrText xml:space="preserve"> ADDIN ZOTERO_ITEM CSL_CITATION {"citationID":"eMdLtY07","properties":{"formattedCitation":"(Hartley {\\i{}et al.} 2013)","plainCitation":"(Hartley et al. 2013)","noteIndex":0},"citationItems":[{"id":3484,"uris":["http://zotero.org/users/634364/items/7YKMSW2S"],"itemData":{"id":3484,"type":"article-journal","container-title":"European Journal of Wildlife Research","DOI":"10.1007/s10344-012-0674-7","ISSN":"1439-0574","issue":"2","note":"Citation Key: RN2709","page":"257-270","title":"Qualitative veterinary risk assessment of the role of wild deer in the likelihood of incursion and the impact on effective disease control of selected exotic notifiable diseases in England","volume":"59","author":[{"family":"Hartley","given":"M"},{"family":"Voller","given":"F"},{"family":"Murray","given":"T"},{"family":"Roberts","given":"H"}],"issued":{"date-parts":[["2013"]]}}}],"schema":"https://github.com/citation-style-language/schema/raw/master/csl-citation.json"} </w:instrText>
      </w:r>
      <w:r w:rsidR="0017611E">
        <w:fldChar w:fldCharType="separate"/>
      </w:r>
      <w:r w:rsidR="009F541F" w:rsidRPr="009F541F">
        <w:t xml:space="preserve">(Hartley </w:t>
      </w:r>
      <w:r w:rsidR="009F541F" w:rsidRPr="00DA5824">
        <w:t>et al.</w:t>
      </w:r>
      <w:r w:rsidR="009F541F" w:rsidRPr="005B24DC">
        <w:t xml:space="preserve"> </w:t>
      </w:r>
      <w:r w:rsidR="009F541F" w:rsidRPr="009F541F">
        <w:t>2013)</w:t>
      </w:r>
      <w:r w:rsidR="0017611E">
        <w:fldChar w:fldCharType="end"/>
      </w:r>
      <w:r w:rsidRPr="00D47246">
        <w:t xml:space="preserve">, import risk analysis </w:t>
      </w:r>
      <w:r w:rsidR="0017611E">
        <w:fldChar w:fldCharType="begin"/>
      </w:r>
      <w:r w:rsidR="0017611E">
        <w:instrText xml:space="preserve"> ADDIN ZOTERO_ITEM CSL_CITATION {"citationID":"o4FJu3dM","properties":{"formattedCitation":"(DAWE 2020)","plainCitation":"(DAWE 2020)","noteIndex":0},"citationItems":[{"id":9685,"uris":["http://zotero.org/users/634364/items/QKJJY44E"],"itemData":{"id":9685,"type":"report","publisher":"Australian Department of Agriculture, Water and the Environment report","title":"Import risk review for psittacine birds from all countries – draft review","URL":"https://www.agriculture.gov.au/sites/default/files/documents/draft-psittacine-review-for-public-comment.pdf","author":[{"family":"DAWE","given":""}],"accessed":{"date-parts":[["2024",1,18]]},"issued":{"date-parts":[["2020"]]}}}],"schema":"https://github.com/citation-style-language/schema/raw/master/csl-citation.json"} </w:instrText>
      </w:r>
      <w:r w:rsidR="0017611E">
        <w:fldChar w:fldCharType="separate"/>
      </w:r>
      <w:r w:rsidR="009F541F" w:rsidRPr="009F541F">
        <w:t>(DAWE 2020)</w:t>
      </w:r>
      <w:r w:rsidR="0017611E">
        <w:fldChar w:fldCharType="end"/>
      </w:r>
      <w:r w:rsidRPr="00D47246">
        <w:t xml:space="preserve">, and </w:t>
      </w:r>
      <w:r w:rsidR="007B6F00">
        <w:t xml:space="preserve">disease risks </w:t>
      </w:r>
      <w:r w:rsidRPr="00D47246">
        <w:t>for individual species (</w:t>
      </w:r>
      <w:r w:rsidR="001D784F">
        <w:t xml:space="preserve">e.g. </w:t>
      </w:r>
      <w:r w:rsidRPr="00D47246">
        <w:t>the National Koala Disease Risk Analysis</w:t>
      </w:r>
      <w:r w:rsidR="001D784F">
        <w:t>)</w:t>
      </w:r>
      <w:r w:rsidRPr="00D47246">
        <w:t xml:space="preserve">, </w:t>
      </w:r>
      <w:r w:rsidR="001D784F">
        <w:fldChar w:fldCharType="begin"/>
      </w:r>
      <w:r w:rsidR="009F541F">
        <w:instrText xml:space="preserve"> ADDIN ZOTERO_ITEM CSL_CITATION {"citationID":"Fl5l7zOd","properties":{"formattedCitation":"(Vitali {\\i{}et al.} 2022)","plainCitation":"(Vitali et al. 2022)","noteIndex":0},"citationItems":[{"id":5289,"uris":["http://zotero.org/users/634364/items/JFIHWAH2"],"itemData":{"id":5289,"type":"report","event-place":"Sydney, Australia","publisher":"University of Sydney","publisher-place":"Sydney, Australia","title":"National Koala Disease Risk Analysis Report","author":[{"family":"Vitali","given":"S.D."},{"family":"Reiss","given":"A.E."},{"family":"Jacob-Hoff","given":"R.M."},{"family":"Stephenson","given":"T.L."},{"family":"Holz","given":"P.H."},{"family":"Higgins","given":"D.P."}],"issued":{"date-parts":[["2022"]]}}}],"schema":"https://github.com/citation-style-language/schema/raw/master/csl-citation.json"} </w:instrText>
      </w:r>
      <w:r w:rsidR="001D784F">
        <w:fldChar w:fldCharType="separate"/>
      </w:r>
      <w:r w:rsidR="009F541F" w:rsidRPr="009F541F">
        <w:t xml:space="preserve">(Vitali </w:t>
      </w:r>
      <w:r w:rsidR="009F541F" w:rsidRPr="00DA5824">
        <w:t>et al.</w:t>
      </w:r>
      <w:r w:rsidR="009F541F" w:rsidRPr="009F541F">
        <w:t xml:space="preserve"> 2022)</w:t>
      </w:r>
      <w:r w:rsidR="001D784F">
        <w:fldChar w:fldCharType="end"/>
      </w:r>
      <w:r w:rsidRPr="00D47246">
        <w:t xml:space="preserve">. In 2014, the </w:t>
      </w:r>
      <w:bookmarkStart w:id="31" w:name="_Hlk196213419"/>
      <w:r w:rsidRPr="00D47246">
        <w:t xml:space="preserve">International Union for the Conservation of Nature (IUCN) </w:t>
      </w:r>
      <w:bookmarkEnd w:id="31"/>
      <w:r w:rsidRPr="00D47246">
        <w:t>and the OIE jointly published the Manual of Procedures for Wildlife Disease Risk Analysis (WDRA</w:t>
      </w:r>
      <w:r w:rsidR="000F0B5B">
        <w:t xml:space="preserve">) </w:t>
      </w:r>
      <w:r w:rsidR="000F0B5B">
        <w:fldChar w:fldCharType="begin"/>
      </w:r>
      <w:r w:rsidR="009F541F">
        <w:instrText xml:space="preserve"> ADDIN ZOTERO_ITEM CSL_CITATION {"citationID":"fRko4LaN","properties":{"formattedCitation":"(Jakob-Hoff {\\i{}et al.} 2014)","plainCitation":"(Jakob-Hoff et al. 2014)","noteIndex":0},"citationItems":[{"id":3541,"uris":["http://zotero.org/users/634364/items/Z8M4NEYW"],"itemData":{"id":3541,"type":"book","event-place":"Paris","note":"Citation Key: RN1400","number-of-pages":"149","publisher":"OIE and IUCN","publisher-place":"Paris","title":"Manual of procedures for wildlife disease risk analysis","author":[{"family":"Jakob-Hoff","given":"Richard M"},{"family":"MacDiarmid","given":"Stuart C"},{"family":"Lees","given":"Caroline"},{"family":"Miller","given":"Philip S"},{"family":"Travis","given":"Dominic"},{"family":"Kock","given":"Richard"}],"issued":{"date-parts":[["2014"]]}}}],"schema":"https://github.com/citation-style-language/schema/raw/master/csl-citation.json"} </w:instrText>
      </w:r>
      <w:r w:rsidR="000F0B5B">
        <w:fldChar w:fldCharType="separate"/>
      </w:r>
      <w:r w:rsidR="009F541F" w:rsidRPr="009F541F">
        <w:t xml:space="preserve">(Jakob-Hoff </w:t>
      </w:r>
      <w:r w:rsidR="009F541F" w:rsidRPr="00DA5824">
        <w:t>et al.</w:t>
      </w:r>
      <w:r w:rsidR="009F541F" w:rsidRPr="005B24DC">
        <w:t xml:space="preserve"> </w:t>
      </w:r>
      <w:r w:rsidR="009F541F" w:rsidRPr="009F541F">
        <w:t>2014)</w:t>
      </w:r>
      <w:r w:rsidR="000F0B5B">
        <w:fldChar w:fldCharType="end"/>
      </w:r>
      <w:r w:rsidRPr="00D47246">
        <w:t>, which assembled current knowledge and provided a framework for developing, interpreting and utilising disease risk analysis in wildlife conservation. The WDRA framework and tools used in this analysis are described in this manual and include six interlinked steps as shown below (</w:t>
      </w:r>
      <w:r>
        <w:fldChar w:fldCharType="begin"/>
      </w:r>
      <w:r>
        <w:instrText xml:space="preserve"> REF _Ref169259183 </w:instrText>
      </w:r>
      <w:r>
        <w:fldChar w:fldCharType="separate"/>
      </w:r>
      <w:r w:rsidR="00A03F72">
        <w:t xml:space="preserve">Figure </w:t>
      </w:r>
      <w:r w:rsidR="00A03F72">
        <w:rPr>
          <w:noProof/>
        </w:rPr>
        <w:t>1</w:t>
      </w:r>
      <w:r>
        <w:fldChar w:fldCharType="end"/>
      </w:r>
      <w:r>
        <w:t xml:space="preserve">). </w:t>
      </w:r>
    </w:p>
    <w:p w14:paraId="27B6ADD5" w14:textId="26379B73" w:rsidR="00D47246" w:rsidRDefault="00D47246" w:rsidP="00C47BC4">
      <w:pPr>
        <w:jc w:val="center"/>
      </w:pPr>
      <w:r w:rsidRPr="000E4C8A">
        <w:rPr>
          <w:noProof/>
        </w:rPr>
        <w:drawing>
          <wp:inline distT="0" distB="0" distL="0" distR="0" wp14:anchorId="3E5340CD" wp14:editId="3ADA1425">
            <wp:extent cx="3721291" cy="3530781"/>
            <wp:effectExtent l="0" t="0" r="0" b="0"/>
            <wp:docPr id="1710853619" name="Picture 1710853619" descr="A diagram of a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53619" name="Picture 1710853619" descr="A diagram of a problem&#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721291" cy="3530781"/>
                    </a:xfrm>
                    <a:prstGeom prst="rect">
                      <a:avLst/>
                    </a:prstGeom>
                  </pic:spPr>
                </pic:pic>
              </a:graphicData>
            </a:graphic>
          </wp:inline>
        </w:drawing>
      </w:r>
    </w:p>
    <w:p w14:paraId="43417BAE" w14:textId="67F2B226" w:rsidR="00D47246" w:rsidRDefault="00D47246" w:rsidP="00D47246">
      <w:pPr>
        <w:pStyle w:val="Caption-Figure"/>
      </w:pPr>
      <w:bookmarkStart w:id="32" w:name="_Ref169259183"/>
      <w:bookmarkStart w:id="33" w:name="_Ref169259174"/>
      <w:bookmarkStart w:id="34" w:name="_Toc198634151"/>
      <w:r>
        <w:t xml:space="preserve">Figure </w:t>
      </w:r>
      <w:r>
        <w:fldChar w:fldCharType="begin"/>
      </w:r>
      <w:r>
        <w:instrText xml:space="preserve"> SEQ Figure \* ARABIC </w:instrText>
      </w:r>
      <w:r>
        <w:fldChar w:fldCharType="separate"/>
      </w:r>
      <w:r w:rsidR="00A03F72">
        <w:rPr>
          <w:noProof/>
        </w:rPr>
        <w:t>1</w:t>
      </w:r>
      <w:r>
        <w:rPr>
          <w:noProof/>
        </w:rPr>
        <w:fldChar w:fldCharType="end"/>
      </w:r>
      <w:bookmarkEnd w:id="32"/>
      <w:r>
        <w:t xml:space="preserve">. </w:t>
      </w:r>
      <w:r w:rsidRPr="00C0524D">
        <w:t>The IUCN wildlife disease risk analysis process steps (Jakob-Hoff et al. 2014)</w:t>
      </w:r>
      <w:bookmarkEnd w:id="33"/>
      <w:bookmarkEnd w:id="34"/>
    </w:p>
    <w:p w14:paraId="000BDC82" w14:textId="77777777" w:rsidR="00D47246" w:rsidRDefault="00D47246" w:rsidP="00D47246"/>
    <w:p w14:paraId="28FB5900" w14:textId="0BEA1E4E" w:rsidR="00D47246" w:rsidRDefault="00D47246" w:rsidP="00D47246">
      <w:r w:rsidRPr="00D47246">
        <w:t>WDRA is not a new concept, but much of the focus in wildlife in Australia to date has been on a</w:t>
      </w:r>
      <w:r w:rsidR="0082348D">
        <w:t>nalysing</w:t>
      </w:r>
      <w:r w:rsidRPr="00D47246">
        <w:t xml:space="preserve"> the risks associated with moving animals, such as during wildlife translocations </w:t>
      </w:r>
      <w:r w:rsidR="005B02C4">
        <w:fldChar w:fldCharType="begin"/>
      </w:r>
      <w:r w:rsidR="009F541F">
        <w:instrText xml:space="preserve"> ADDIN ZOTERO_ITEM CSL_CITATION {"citationID":"dYMCF9qo","properties":{"formattedCitation":"(e.g., Wicker {\\i{}et al.} 2017)","plainCitation":"(e.g., Wicker et al. 2017)","noteIndex":0},"citationItems":[{"id":9707,"uris":["http://zotero.org/users/634364/items/7P2SSGS4"],"itemData":{"id":9707,"type":"report","publisher":"Unpublished Technical Report. Zoos Victoria, Victoria, Australia","title":"Leadbeater’s possum translocation disease risk analysis","author":[{"family":"Wicker","given":"L"},{"family":"Portas","given":"T"},{"family":"Hartnett","given":"C"},{"family":"Harley","given":"D"}],"issued":{"date-parts":[["2017"]]}},"label":"page","prefix":"e.g., "}],"schema":"https://github.com/citation-style-language/schema/raw/master/csl-citation.json"} </w:instrText>
      </w:r>
      <w:r w:rsidR="005B02C4">
        <w:fldChar w:fldCharType="separate"/>
      </w:r>
      <w:r w:rsidR="009F541F" w:rsidRPr="009F541F">
        <w:t>(</w:t>
      </w:r>
      <w:r w:rsidR="005B24DC">
        <w:t xml:space="preserve">e.g. </w:t>
      </w:r>
      <w:r w:rsidR="009F541F" w:rsidRPr="009F541F">
        <w:t xml:space="preserve">Wicker </w:t>
      </w:r>
      <w:r w:rsidR="009F541F" w:rsidRPr="00DA5824">
        <w:t>et al.</w:t>
      </w:r>
      <w:r w:rsidR="009F541F" w:rsidRPr="009F541F">
        <w:t xml:space="preserve"> 2017)</w:t>
      </w:r>
      <w:r w:rsidR="005B02C4">
        <w:fldChar w:fldCharType="end"/>
      </w:r>
      <w:r w:rsidRPr="00D47246">
        <w:t xml:space="preserve"> or a</w:t>
      </w:r>
      <w:r w:rsidR="003279E9">
        <w:t>nalysing</w:t>
      </w:r>
      <w:r w:rsidRPr="00D47246">
        <w:t xml:space="preserve"> the risks of wildlife</w:t>
      </w:r>
      <w:r w:rsidR="001A1846">
        <w:t xml:space="preserve"> disease</w:t>
      </w:r>
      <w:r w:rsidRPr="00D47246">
        <w:t xml:space="preserve"> to domestic animals in a biosecurity context </w:t>
      </w:r>
      <w:r w:rsidR="005B02C4">
        <w:fldChar w:fldCharType="begin"/>
      </w:r>
      <w:r w:rsidR="009F541F">
        <w:instrText xml:space="preserve"> ADDIN ZOTERO_ITEM CSL_CITATION {"citationID":"elY3FPIT","properties":{"formattedCitation":"(e.g., Pearson {\\i{}et al.} 2016; Cripps {\\i{}et al.} 2019)","plainCitation":"(e.g., Pearson et al. 2016; Cripps et al. 2019)","noteIndex":0},"citationItems":[{"id":9702,"uris":["http://zotero.org/users/634364/items/797Q4S3G"],"itemData":{"id":9702,"type":"article-journal","container-title":"Preventive veterinary medicine","note":"publisher: Elsevier","page":"39–51","title":"Evaluating the risk of pathogen transmission from wild animals to domestic pigs in Australia","volume":"123","author":[{"family":"Pearson","given":"Hayley E"},{"family":"Toribio","given":"Jenny-Ann LML"},{"family":"Lapidge","given":"Steven J"},{"family":"Hernández-Jover","given":"Marta"}],"issued":{"date-parts":[["2016"]]}},"label":"page","prefix":"e.g., "},{"id":5370,"uris":["http://zotero.org/users/634364/items/C55PH8H3"],"itemData":{"id":5370,"type":"article-journal","container-title":"Mammal Review","ISSN":"0305-1838","issue":"1","note":"Citation Key: RN2946","page":"60-77","title":"Introduced deer and their potential role in disease transmission to livestock in Australia","volume":"49","author":[{"family":"Cripps","given":"Jemma K"},{"family":"Pacioni","given":"Carlo"},{"family":"Scroggie","given":"Michael P"},{"family":"Woolnough","given":"Andrew P"},{"family":"Ramsey","given":"David S L"}],"issued":{"date-parts":[["2019"]]}}}],"schema":"https://github.com/citation-style-language/schema/raw/master/csl-citation.json"} </w:instrText>
      </w:r>
      <w:r w:rsidR="005B02C4">
        <w:fldChar w:fldCharType="separate"/>
      </w:r>
      <w:r w:rsidR="009F541F" w:rsidRPr="009F541F">
        <w:t>(</w:t>
      </w:r>
      <w:r w:rsidR="005B24DC">
        <w:t xml:space="preserve">e.g. </w:t>
      </w:r>
      <w:r w:rsidR="009F541F" w:rsidRPr="009F541F">
        <w:t xml:space="preserve">Pearson </w:t>
      </w:r>
      <w:r w:rsidR="009F541F" w:rsidRPr="00DA5824">
        <w:t>et al.</w:t>
      </w:r>
      <w:r w:rsidR="009F541F" w:rsidRPr="00197A81">
        <w:t xml:space="preserve"> </w:t>
      </w:r>
      <w:r w:rsidR="009F541F" w:rsidRPr="009F541F">
        <w:t>2016; Cripps</w:t>
      </w:r>
      <w:r w:rsidR="009F541F" w:rsidRPr="00197A81">
        <w:t xml:space="preserve"> </w:t>
      </w:r>
      <w:r w:rsidR="009F541F" w:rsidRPr="00DA5824">
        <w:t>et al.</w:t>
      </w:r>
      <w:r w:rsidR="009F541F" w:rsidRPr="00197A81">
        <w:t xml:space="preserve"> </w:t>
      </w:r>
      <w:r w:rsidR="009F541F" w:rsidRPr="009F541F">
        <w:t>2019)</w:t>
      </w:r>
      <w:r w:rsidR="005B02C4">
        <w:fldChar w:fldCharType="end"/>
      </w:r>
      <w:r w:rsidRPr="00D47246">
        <w:t xml:space="preserve">. In this study, we </w:t>
      </w:r>
      <w:r w:rsidR="002370C6">
        <w:t xml:space="preserve">focused on the disease risk assessment </w:t>
      </w:r>
      <w:r w:rsidR="00271F73">
        <w:t xml:space="preserve">component </w:t>
      </w:r>
      <w:r w:rsidR="00DB4471">
        <w:t xml:space="preserve">and </w:t>
      </w:r>
      <w:r w:rsidRPr="00D47246">
        <w:t xml:space="preserve">developed a systematic qualitative approach to assess disease risk in wildlife, in the context of the potential for disease to cause population declines and </w:t>
      </w:r>
      <w:r w:rsidR="002E42B9">
        <w:t xml:space="preserve">threaten </w:t>
      </w:r>
      <w:r w:rsidRPr="00D47246">
        <w:t xml:space="preserve">the </w:t>
      </w:r>
      <w:r w:rsidR="002E42B9">
        <w:t xml:space="preserve">conservation </w:t>
      </w:r>
      <w:r w:rsidRPr="00D47246">
        <w:t xml:space="preserve">status of </w:t>
      </w:r>
      <w:r w:rsidR="001413A7">
        <w:t xml:space="preserve">native </w:t>
      </w:r>
      <w:r w:rsidR="00B51214">
        <w:t xml:space="preserve">wildlife </w:t>
      </w:r>
      <w:r w:rsidR="00C22CA5">
        <w:t>s</w:t>
      </w:r>
      <w:r w:rsidRPr="00D47246">
        <w:t>pecies in Victoria.</w:t>
      </w:r>
      <w:r w:rsidR="00BE3EC4">
        <w:t xml:space="preserve"> </w:t>
      </w:r>
      <w:r w:rsidR="00E60384">
        <w:t>In addition</w:t>
      </w:r>
      <w:r w:rsidR="001668B4">
        <w:t>,</w:t>
      </w:r>
      <w:r w:rsidR="00E60384">
        <w:t xml:space="preserve"> we also included </w:t>
      </w:r>
      <w:r w:rsidR="00882782">
        <w:t>risks of</w:t>
      </w:r>
      <w:r w:rsidR="00F30239">
        <w:t xml:space="preserve"> exotic animal disease</w:t>
      </w:r>
      <w:r w:rsidR="00F56515">
        <w:t xml:space="preserve"> in both native and introduced wildlife in the context of</w:t>
      </w:r>
      <w:r w:rsidR="002C32D2">
        <w:t xml:space="preserve"> potential </w:t>
      </w:r>
      <w:r w:rsidR="007B6F00">
        <w:t xml:space="preserve">economic </w:t>
      </w:r>
      <w:r w:rsidR="002C32D2">
        <w:t>impacts on Victoria’s agricultural sector</w:t>
      </w:r>
      <w:r w:rsidR="00343569">
        <w:t xml:space="preserve"> and health impacts on communities</w:t>
      </w:r>
      <w:r w:rsidR="002C32D2">
        <w:t>.</w:t>
      </w:r>
    </w:p>
    <w:p w14:paraId="1474D928" w14:textId="77777777" w:rsidR="00CF0B8D" w:rsidRDefault="00CF0B8D" w:rsidP="00D47246"/>
    <w:p w14:paraId="5D231D87" w14:textId="77777777" w:rsidR="00CF0B8D" w:rsidRDefault="00CF0B8D" w:rsidP="00CF0B8D">
      <w:pPr>
        <w:pStyle w:val="Heading3-Numbered"/>
      </w:pPr>
      <w:bookmarkStart w:id="35" w:name="_Toc198634098"/>
      <w:r>
        <w:lastRenderedPageBreak/>
        <w:t>WDRA purpose</w:t>
      </w:r>
      <w:bookmarkEnd w:id="35"/>
    </w:p>
    <w:p w14:paraId="2730A1DB" w14:textId="390D1E6F" w:rsidR="00CF0B8D" w:rsidRDefault="00CF0B8D" w:rsidP="00CF0B8D">
      <w:r>
        <w:t>The purpose of this WDRA was to identify and prioritise disease hazards for terrestrial wildlife in Victoria based on risk, to i</w:t>
      </w:r>
      <w:r w:rsidR="00C74ED0">
        <w:t>nvestigate</w:t>
      </w:r>
      <w:r>
        <w:t xml:space="preserve"> disease mitigation strategies for priority diseases and to inform future research and surveillance requirements of emerging wildlife diseases. </w:t>
      </w:r>
    </w:p>
    <w:p w14:paraId="562959D5" w14:textId="415D5C38" w:rsidR="00D47246" w:rsidRPr="00D47246" w:rsidRDefault="00CF0B8D" w:rsidP="00CF0B8D">
      <w:r>
        <w:t xml:space="preserve">Government agencies will benefit from this WDRA by having a priority list of high-risk diseases to help focus disease mitigation planning and management efforts. This list will identify diseases that have the potential to cause significant harm to free-ranging Victorian wildlife and help inform biosecurity investigations of emergency wildlife disease outbreaks and population decline. The priority list may also guide agricultural biosecurity practitioners through identifying diseases that may spread to domestic animals from </w:t>
      </w:r>
      <w:r w:rsidR="007B6F00">
        <w:t>wild populations</w:t>
      </w:r>
      <w:r>
        <w:t>, or decision makers in public health through awareness of the potential for outbreaks of zoonotic diseases. Priority lists assist with planning, especially preparedness and response plans, but also enable targeted surveillance of priority diseases to prevent entry, establishment and spread.</w:t>
      </w:r>
    </w:p>
    <w:p w14:paraId="1487D833" w14:textId="5BAF5BE9" w:rsidR="00C27B6E" w:rsidRPr="00243764" w:rsidRDefault="00860891" w:rsidP="00CF0B8D">
      <w:pPr>
        <w:pStyle w:val="Heading3-Numbered"/>
      </w:pPr>
      <w:bookmarkStart w:id="36" w:name="_Toc198634099"/>
      <w:r>
        <w:t>W</w:t>
      </w:r>
      <w:r w:rsidR="00D47246">
        <w:t>DRA aims</w:t>
      </w:r>
      <w:bookmarkEnd w:id="36"/>
    </w:p>
    <w:p w14:paraId="2008E361" w14:textId="6F46244D" w:rsidR="00D47246" w:rsidRDefault="00D47246" w:rsidP="00D47246">
      <w:r>
        <w:t xml:space="preserve">The aims of this WDRA </w:t>
      </w:r>
      <w:r w:rsidR="00232BC3">
        <w:t>were</w:t>
      </w:r>
      <w:r>
        <w:t xml:space="preserve"> to:</w:t>
      </w:r>
    </w:p>
    <w:p w14:paraId="1007C939" w14:textId="2E090072" w:rsidR="00D47246" w:rsidRDefault="0071133C" w:rsidP="00D47246">
      <w:pPr>
        <w:pStyle w:val="dotpointindented"/>
      </w:pPr>
      <w:r>
        <w:t>c</w:t>
      </w:r>
      <w:r w:rsidR="00D47246">
        <w:t xml:space="preserve">onsolidate available knowledge about endemic and exotic diseases in </w:t>
      </w:r>
      <w:r w:rsidR="00232BC3">
        <w:t xml:space="preserve">terrestrial </w:t>
      </w:r>
      <w:r w:rsidR="00D47246">
        <w:t>wildlife, especially in Victoria</w:t>
      </w:r>
    </w:p>
    <w:p w14:paraId="3A7DE369" w14:textId="2D766555" w:rsidR="00C27B6E" w:rsidRDefault="0071133C" w:rsidP="00D47246">
      <w:pPr>
        <w:pStyle w:val="dotpointindented"/>
      </w:pPr>
      <w:r>
        <w:t>a</w:t>
      </w:r>
      <w:r w:rsidR="00D47246">
        <w:t xml:space="preserve">pply a transparent and scientifically sound qualitative framework to prioritise the disease risks for free-ranging </w:t>
      </w:r>
      <w:r w:rsidR="00232BC3">
        <w:t xml:space="preserve">terrestrial </w:t>
      </w:r>
      <w:r w:rsidR="00D47246">
        <w:t>wildlife in Victoria</w:t>
      </w:r>
    </w:p>
    <w:p w14:paraId="5A069678" w14:textId="35D0C8EC" w:rsidR="00D47246" w:rsidRPr="00D47246" w:rsidRDefault="0071133C" w:rsidP="00D47246">
      <w:pPr>
        <w:pStyle w:val="dotpointindented"/>
      </w:pPr>
      <w:r>
        <w:t>a</w:t>
      </w:r>
      <w:r w:rsidR="00D47246" w:rsidRPr="00D47246">
        <w:t xml:space="preserve">ssess disease hazards that have the potential to cause significant </w:t>
      </w:r>
      <w:r w:rsidR="009B676A">
        <w:t>population decline</w:t>
      </w:r>
      <w:r>
        <w:t>s</w:t>
      </w:r>
      <w:r w:rsidR="009B676A">
        <w:t xml:space="preserve"> </w:t>
      </w:r>
      <w:r w:rsidR="00447974">
        <w:t>in</w:t>
      </w:r>
      <w:r w:rsidR="00D47246" w:rsidRPr="00D47246">
        <w:t xml:space="preserve"> Victorian wildlife, especially threatened species, but also those that may have </w:t>
      </w:r>
      <w:r w:rsidR="00CA0867">
        <w:t xml:space="preserve">significant </w:t>
      </w:r>
      <w:r w:rsidR="00D47246" w:rsidRPr="00D47246">
        <w:t xml:space="preserve">economic consequences through </w:t>
      </w:r>
      <w:r w:rsidR="003816EF">
        <w:t xml:space="preserve">effects on human health </w:t>
      </w:r>
      <w:r w:rsidR="00183935">
        <w:t xml:space="preserve">or </w:t>
      </w:r>
      <w:r w:rsidR="00DD691A">
        <w:t>transmission</w:t>
      </w:r>
      <w:r w:rsidR="00D47246" w:rsidRPr="00D47246">
        <w:t xml:space="preserve"> of disease via invasive species to the agricultural sector</w:t>
      </w:r>
    </w:p>
    <w:p w14:paraId="468B811D" w14:textId="49F5E673" w:rsidR="00504EDC" w:rsidRDefault="0071133C" w:rsidP="00573C7F">
      <w:pPr>
        <w:pStyle w:val="dotpointindented"/>
      </w:pPr>
      <w:r>
        <w:t>r</w:t>
      </w:r>
      <w:r w:rsidR="00D47246" w:rsidRPr="00D47246">
        <w:t>ecord gaps in knowledge and identify potential research priorities.</w:t>
      </w:r>
    </w:p>
    <w:p w14:paraId="74A73050" w14:textId="071984BA" w:rsidR="002F1F90" w:rsidRDefault="001A1846" w:rsidP="002F1F90">
      <w:pPr>
        <w:pStyle w:val="Heading3-Numbered"/>
      </w:pPr>
      <w:bookmarkStart w:id="37" w:name="_Toc198634100"/>
      <w:r>
        <w:t>WDRA components</w:t>
      </w:r>
      <w:bookmarkEnd w:id="37"/>
      <w:r w:rsidR="002F1F90">
        <w:t xml:space="preserve"> </w:t>
      </w:r>
    </w:p>
    <w:p w14:paraId="0A9EE1A4" w14:textId="2804A16A" w:rsidR="002F1F90" w:rsidRDefault="002F1F90" w:rsidP="002F1F90">
      <w:r>
        <w:t xml:space="preserve">The key components of </w:t>
      </w:r>
      <w:r w:rsidR="001A1846">
        <w:t>this</w:t>
      </w:r>
      <w:r>
        <w:t xml:space="preserve"> WDRA </w:t>
      </w:r>
      <w:r w:rsidR="001A1846">
        <w:t>were</w:t>
      </w:r>
      <w:r>
        <w:t>:</w:t>
      </w:r>
    </w:p>
    <w:p w14:paraId="0C42FAD7" w14:textId="7A1A45A5" w:rsidR="002F1F90" w:rsidRDefault="0071133C" w:rsidP="002F1F90">
      <w:pPr>
        <w:pStyle w:val="dotpointindented"/>
      </w:pPr>
      <w:r>
        <w:t>h</w:t>
      </w:r>
      <w:r w:rsidR="001A1846">
        <w:t xml:space="preserve">azard </w:t>
      </w:r>
      <w:r w:rsidR="002F1F90">
        <w:t xml:space="preserve">identification </w:t>
      </w:r>
    </w:p>
    <w:p w14:paraId="009DCEAB" w14:textId="50899576" w:rsidR="002F1F90" w:rsidRDefault="0071133C" w:rsidP="002F1F90">
      <w:pPr>
        <w:pStyle w:val="dotpointindented"/>
      </w:pPr>
      <w:r>
        <w:t>r</w:t>
      </w:r>
      <w:r w:rsidR="002F1F90">
        <w:t>isk assessment (</w:t>
      </w:r>
      <w:r w:rsidR="00342A21">
        <w:t xml:space="preserve">likelihood of pathogen </w:t>
      </w:r>
      <w:r w:rsidR="002F1F90">
        <w:t xml:space="preserve">entry </w:t>
      </w:r>
      <w:r w:rsidR="006E68FD">
        <w:t xml:space="preserve">and </w:t>
      </w:r>
      <w:r w:rsidR="002F1F90">
        <w:t xml:space="preserve">exposure and </w:t>
      </w:r>
      <w:r w:rsidR="006E68FD">
        <w:t xml:space="preserve">expected </w:t>
      </w:r>
      <w:r w:rsidR="002F1F90">
        <w:t>consequence)</w:t>
      </w:r>
    </w:p>
    <w:p w14:paraId="410E3151" w14:textId="7AD1CFC1" w:rsidR="002F1F90" w:rsidRDefault="0071133C" w:rsidP="002F1F90">
      <w:pPr>
        <w:pStyle w:val="dotpointindented"/>
      </w:pPr>
      <w:r>
        <w:t>r</w:t>
      </w:r>
      <w:r w:rsidR="002F1F90">
        <w:t xml:space="preserve">isk management (see </w:t>
      </w:r>
      <w:r w:rsidR="002F1F90" w:rsidRPr="00DA1E25">
        <w:t xml:space="preserve">Section </w:t>
      </w:r>
      <w:r w:rsidR="00DA1E25" w:rsidRPr="00DA1E25">
        <w:t>2.3</w:t>
      </w:r>
      <w:r w:rsidR="001B7EF8" w:rsidRPr="005213E5">
        <w:t xml:space="preserve"> – </w:t>
      </w:r>
      <w:r w:rsidR="001A1846">
        <w:t>assess</w:t>
      </w:r>
      <w:r w:rsidR="00456C07" w:rsidRPr="005213E5">
        <w:t xml:space="preserve"> the effectiveness of mitigation measures for several high-risk wildlife </w:t>
      </w:r>
      <w:r w:rsidR="00456C07" w:rsidRPr="00DA1E25">
        <w:t>diseases</w:t>
      </w:r>
      <w:r w:rsidR="002F1F90" w:rsidRPr="00DA1E25">
        <w:t>)</w:t>
      </w:r>
      <w:r w:rsidR="00277C13" w:rsidRPr="00DA1E25">
        <w:t>.</w:t>
      </w:r>
    </w:p>
    <w:p w14:paraId="2A7ED076" w14:textId="4A09EF08" w:rsidR="002F1F90" w:rsidRDefault="002F1F90" w:rsidP="002F1F90">
      <w:r>
        <w:t xml:space="preserve">Our risk assessment is best described as an evaluation of the likelihood and the biological and economic consequences of the entry, establishment and spread of a wildlife pathogen within the state of </w:t>
      </w:r>
      <w:proofErr w:type="gramStart"/>
      <w:r>
        <w:t>Victoria</w:t>
      </w:r>
      <w:r w:rsidR="0071133C">
        <w:t>,</w:t>
      </w:r>
      <w:r>
        <w:t xml:space="preserve"> and</w:t>
      </w:r>
      <w:proofErr w:type="gramEnd"/>
      <w:r>
        <w:t xml:space="preserve"> is based on the principle of </w:t>
      </w:r>
      <w:r w:rsidR="0071133C">
        <w:t>‘</w:t>
      </w:r>
      <w:r>
        <w:t xml:space="preserve">Risk = Likelihood </w:t>
      </w:r>
      <m:oMath>
        <m:r>
          <w:rPr>
            <w:rFonts w:ascii="Cambria Math" w:hAnsi="Cambria Math"/>
          </w:rPr>
          <m:t>×</m:t>
        </m:r>
      </m:oMath>
      <w:r>
        <w:t xml:space="preserve"> Consequence</w:t>
      </w:r>
      <w:r w:rsidR="0071133C">
        <w:t>’</w:t>
      </w:r>
      <w:r>
        <w:t xml:space="preserve">. Our </w:t>
      </w:r>
      <w:r w:rsidR="00A87DD7">
        <w:t xml:space="preserve">risk assessment </w:t>
      </w:r>
      <w:r>
        <w:t>followed a common qualitative framework, with three key assessment steps (</w:t>
      </w:r>
      <w:r w:rsidR="005E449C">
        <w:fldChar w:fldCharType="begin"/>
      </w:r>
      <w:r w:rsidR="005E449C">
        <w:instrText xml:space="preserve"> REF _Ref169260150 </w:instrText>
      </w:r>
      <w:r w:rsidR="005E449C">
        <w:fldChar w:fldCharType="separate"/>
      </w:r>
      <w:r w:rsidR="00A03F72">
        <w:t xml:space="preserve">Table </w:t>
      </w:r>
      <w:r w:rsidR="00A03F72">
        <w:rPr>
          <w:noProof/>
        </w:rPr>
        <w:t>1</w:t>
      </w:r>
      <w:r w:rsidR="005E449C">
        <w:fldChar w:fldCharType="end"/>
      </w:r>
      <w:r>
        <w:t xml:space="preserve">). In qualitative </w:t>
      </w:r>
      <w:r w:rsidR="007B6F00">
        <w:t>W</w:t>
      </w:r>
      <w:r>
        <w:t>DRAs, likelihood, impact, and uncertainty are expressed using descriptive sets of categories, with clear meanings defined for each</w:t>
      </w:r>
      <w:r w:rsidR="0071133C">
        <w:t xml:space="preserve"> (</w:t>
      </w:r>
      <w:r>
        <w:t>for example</w:t>
      </w:r>
      <w:r w:rsidR="0071133C">
        <w:t>,</w:t>
      </w:r>
      <w:r>
        <w:t xml:space="preserve"> the consequences are described using terms like ‘high’, ‘medium’ or ‘low’</w:t>
      </w:r>
      <w:r w:rsidR="0071133C">
        <w:t>)</w:t>
      </w:r>
      <w:r>
        <w:t xml:space="preserve"> </w:t>
      </w:r>
      <w:r w:rsidR="00BF09FF">
        <w:fldChar w:fldCharType="begin"/>
      </w:r>
      <w:r w:rsidR="009F541F">
        <w:instrText xml:space="preserve"> ADDIN ZOTERO_ITEM CSL_CITATION {"citationID":"0rIwcfFC","properties":{"formattedCitation":"(Jakob-Hoff {\\i{}et al.} 2014)","plainCitation":"(Jakob-Hoff et al. 2014)","noteIndex":0},"citationItems":[{"id":3541,"uris":["http://zotero.org/users/634364/items/Z8M4NEYW"],"itemData":{"id":3541,"type":"book","event-place":"Paris","note":"Citation Key: RN1400","number-of-pages":"149","publisher":"OIE and IUCN","publisher-place":"Paris","title":"Manual of procedures for wildlife disease risk analysis","author":[{"family":"Jakob-Hoff","given":"Richard M"},{"family":"MacDiarmid","given":"Stuart C"},{"family":"Lees","given":"Caroline"},{"family":"Miller","given":"Philip S"},{"family":"Travis","given":"Dominic"},{"family":"Kock","given":"Richard"}],"issued":{"date-parts":[["2014"]]}}}],"schema":"https://github.com/citation-style-language/schema/raw/master/csl-citation.json"} </w:instrText>
      </w:r>
      <w:r w:rsidR="00BF09FF">
        <w:fldChar w:fldCharType="separate"/>
      </w:r>
      <w:r w:rsidR="009F541F" w:rsidRPr="009F541F">
        <w:t xml:space="preserve">(Jakob-Hoff </w:t>
      </w:r>
      <w:r w:rsidR="009F541F" w:rsidRPr="00DA5824">
        <w:t>et al.</w:t>
      </w:r>
      <w:r w:rsidR="009F541F" w:rsidRPr="009F541F">
        <w:t xml:space="preserve"> 2014)</w:t>
      </w:r>
      <w:r w:rsidR="00BF09FF">
        <w:fldChar w:fldCharType="end"/>
      </w:r>
      <w:r>
        <w:t>. Qualitative risk assessments are rapid, require less extensive information, and use expert e</w:t>
      </w:r>
      <w:r w:rsidR="00277C13">
        <w:t>licitation and opinion</w:t>
      </w:r>
      <w:r>
        <w:t xml:space="preserve"> where scientific data are missing.</w:t>
      </w:r>
    </w:p>
    <w:p w14:paraId="52B50564" w14:textId="315DBEEB" w:rsidR="002F1F90" w:rsidRDefault="002F1F90" w:rsidP="002F1F90">
      <w:pPr>
        <w:pStyle w:val="Caption-Table"/>
      </w:pPr>
      <w:bookmarkStart w:id="38" w:name="_Ref169260150"/>
      <w:bookmarkStart w:id="39" w:name="_Toc198634133"/>
      <w:r>
        <w:t xml:space="preserve">Table </w:t>
      </w:r>
      <w:r>
        <w:fldChar w:fldCharType="begin"/>
      </w:r>
      <w:r>
        <w:instrText xml:space="preserve"> SEQ Table \* ARABIC </w:instrText>
      </w:r>
      <w:r>
        <w:fldChar w:fldCharType="separate"/>
      </w:r>
      <w:r w:rsidR="00A03F72">
        <w:rPr>
          <w:noProof/>
        </w:rPr>
        <w:t>1</w:t>
      </w:r>
      <w:r>
        <w:fldChar w:fldCharType="end"/>
      </w:r>
      <w:bookmarkEnd w:id="38"/>
      <w:r>
        <w:t>. The components of the wildlife disease risk assessment in Victoria</w:t>
      </w:r>
      <w:r w:rsidR="0071133C">
        <w:t>.</w:t>
      </w:r>
      <w:bookmarkEnd w:id="39"/>
    </w:p>
    <w:tbl>
      <w:tblPr>
        <w:tblStyle w:val="TableGrid10"/>
        <w:tblW w:w="5000" w:type="pct"/>
        <w:tblLayout w:type="fixed"/>
        <w:tblLook w:val="02A0" w:firstRow="1" w:lastRow="0" w:firstColumn="1" w:lastColumn="0" w:noHBand="1" w:noVBand="0"/>
      </w:tblPr>
      <w:tblGrid>
        <w:gridCol w:w="1133"/>
        <w:gridCol w:w="1276"/>
        <w:gridCol w:w="1527"/>
        <w:gridCol w:w="174"/>
        <w:gridCol w:w="1560"/>
        <w:gridCol w:w="1812"/>
        <w:gridCol w:w="2157"/>
      </w:tblGrid>
      <w:tr w:rsidR="002F1F90" w:rsidRPr="002A6AA5" w14:paraId="7CE7AF52" w14:textId="54053E90" w:rsidTr="00D878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gridSpan w:val="3"/>
          </w:tcPr>
          <w:p w14:paraId="576C791C" w14:textId="3E63DB78" w:rsidR="002F1F90" w:rsidRPr="00B21AE2" w:rsidRDefault="002F1F90" w:rsidP="00DA5824">
            <w:pPr>
              <w:pStyle w:val="Tableheadingtext"/>
              <w:jc w:val="center"/>
            </w:pPr>
            <w:r w:rsidRPr="00B21AE2">
              <w:t>Step 1</w:t>
            </w:r>
          </w:p>
        </w:tc>
        <w:tc>
          <w:tcPr>
            <w:cnfStyle w:val="000010000000" w:firstRow="0" w:lastRow="0" w:firstColumn="0" w:lastColumn="0" w:oddVBand="1" w:evenVBand="0" w:oddHBand="0" w:evenHBand="0" w:firstRowFirstColumn="0" w:firstRowLastColumn="0" w:lastRowFirstColumn="0" w:lastRowLastColumn="0"/>
            <w:tcW w:w="1839" w:type="pct"/>
            <w:gridSpan w:val="3"/>
          </w:tcPr>
          <w:p w14:paraId="2534CB51" w14:textId="5234B3FE" w:rsidR="002F1F90" w:rsidRPr="00B21AE2" w:rsidRDefault="002F1F90" w:rsidP="00DA5824">
            <w:pPr>
              <w:pStyle w:val="Tableheadingtext"/>
              <w:jc w:val="center"/>
            </w:pPr>
            <w:r w:rsidRPr="00B21AE2">
              <w:t>Step 2</w:t>
            </w:r>
          </w:p>
        </w:tc>
        <w:tc>
          <w:tcPr>
            <w:tcW w:w="1119" w:type="pct"/>
          </w:tcPr>
          <w:p w14:paraId="683E0276" w14:textId="751DD636" w:rsidR="002F1F90" w:rsidRPr="00B21AE2" w:rsidRDefault="002F1F90" w:rsidP="00DA5824">
            <w:pPr>
              <w:pStyle w:val="Tableheadingtext"/>
              <w:jc w:val="center"/>
              <w:cnfStyle w:val="100000000000" w:firstRow="1" w:lastRow="0" w:firstColumn="0" w:lastColumn="0" w:oddVBand="0" w:evenVBand="0" w:oddHBand="0" w:evenHBand="0" w:firstRowFirstColumn="0" w:firstRowLastColumn="0" w:lastRowFirstColumn="0" w:lastRowLastColumn="0"/>
            </w:pPr>
            <w:r w:rsidRPr="00B21AE2">
              <w:t>Step 3</w:t>
            </w:r>
          </w:p>
        </w:tc>
      </w:tr>
      <w:tr w:rsidR="002F1F90" w:rsidRPr="002A6AA5" w14:paraId="75F49DFA" w14:textId="2DF15524" w:rsidTr="00D8780B">
        <w:tc>
          <w:tcPr>
            <w:cnfStyle w:val="001000000000" w:firstRow="0" w:lastRow="0" w:firstColumn="1" w:lastColumn="0" w:oddVBand="0" w:evenVBand="0" w:oddHBand="0" w:evenHBand="0" w:firstRowFirstColumn="0" w:firstRowLastColumn="0" w:lastRowFirstColumn="0" w:lastRowLastColumn="0"/>
            <w:tcW w:w="2042" w:type="pct"/>
            <w:gridSpan w:val="3"/>
            <w:shd w:val="clear" w:color="auto" w:fill="auto"/>
          </w:tcPr>
          <w:p w14:paraId="4E4750ED" w14:textId="5082FD1E" w:rsidR="002F1F90" w:rsidRPr="002F1F90" w:rsidRDefault="002F1F90" w:rsidP="002F1F90">
            <w:pPr>
              <w:spacing w:after="70"/>
              <w:jc w:val="center"/>
              <w:rPr>
                <w:rFonts w:cs="Times New Roman"/>
                <w:b/>
                <w:bCs/>
                <w:szCs w:val="20"/>
              </w:rPr>
            </w:pPr>
            <w:r>
              <w:rPr>
                <w:rFonts w:cs="Times New Roman"/>
                <w:b/>
                <w:bCs/>
                <w:szCs w:val="20"/>
              </w:rPr>
              <w:t>Likelihood assessment</w:t>
            </w:r>
          </w:p>
        </w:tc>
        <w:tc>
          <w:tcPr>
            <w:cnfStyle w:val="000010000000" w:firstRow="0" w:lastRow="0" w:firstColumn="0" w:lastColumn="0" w:oddVBand="1" w:evenVBand="0" w:oddHBand="0" w:evenHBand="0" w:firstRowFirstColumn="0" w:firstRowLastColumn="0" w:lastRowFirstColumn="0" w:lastRowLastColumn="0"/>
            <w:tcW w:w="1839" w:type="pct"/>
            <w:gridSpan w:val="3"/>
            <w:shd w:val="clear" w:color="auto" w:fill="auto"/>
          </w:tcPr>
          <w:p w14:paraId="49C9DF64" w14:textId="3399DED0" w:rsidR="002F1F90" w:rsidRPr="002F1F90" w:rsidRDefault="002F1F90" w:rsidP="002F1F90">
            <w:pPr>
              <w:spacing w:after="70"/>
              <w:jc w:val="center"/>
              <w:rPr>
                <w:rFonts w:cs="Times New Roman"/>
                <w:b/>
                <w:bCs/>
                <w:szCs w:val="20"/>
              </w:rPr>
            </w:pPr>
            <w:r>
              <w:rPr>
                <w:rFonts w:cs="Times New Roman"/>
                <w:b/>
                <w:bCs/>
                <w:szCs w:val="20"/>
              </w:rPr>
              <w:t xml:space="preserve">Consequence </w:t>
            </w:r>
            <w:r w:rsidR="0071133C">
              <w:rPr>
                <w:rFonts w:cs="Times New Roman"/>
                <w:b/>
                <w:bCs/>
                <w:szCs w:val="20"/>
              </w:rPr>
              <w:t>a</w:t>
            </w:r>
            <w:r>
              <w:rPr>
                <w:rFonts w:cs="Times New Roman"/>
                <w:b/>
                <w:bCs/>
                <w:szCs w:val="20"/>
              </w:rPr>
              <w:t>ssessment</w:t>
            </w:r>
          </w:p>
        </w:tc>
        <w:tc>
          <w:tcPr>
            <w:tcW w:w="1119" w:type="pct"/>
            <w:shd w:val="clear" w:color="auto" w:fill="auto"/>
          </w:tcPr>
          <w:p w14:paraId="1E5C0B9D" w14:textId="5F2E43AA" w:rsidR="002F1F90" w:rsidRPr="002F1F90" w:rsidRDefault="002F1F90" w:rsidP="00D8780B">
            <w:pPr>
              <w:spacing w:after="70"/>
              <w:jc w:val="center"/>
              <w:cnfStyle w:val="000000000000" w:firstRow="0" w:lastRow="0" w:firstColumn="0" w:lastColumn="0" w:oddVBand="0" w:evenVBand="0" w:oddHBand="0" w:evenHBand="0" w:firstRowFirstColumn="0" w:firstRowLastColumn="0" w:lastRowFirstColumn="0" w:lastRowLastColumn="0"/>
              <w:rPr>
                <w:rFonts w:cs="Times New Roman"/>
                <w:b/>
                <w:bCs/>
                <w:szCs w:val="20"/>
              </w:rPr>
            </w:pPr>
            <w:r w:rsidRPr="002F1F90">
              <w:rPr>
                <w:rFonts w:cs="Times New Roman"/>
                <w:b/>
                <w:bCs/>
                <w:szCs w:val="20"/>
              </w:rPr>
              <w:t>Overall risk</w:t>
            </w:r>
          </w:p>
        </w:tc>
      </w:tr>
      <w:tr w:rsidR="00CE5753" w:rsidRPr="002A6AA5" w14:paraId="0AD39999" w14:textId="4C364F17" w:rsidTr="00CE5753">
        <w:tc>
          <w:tcPr>
            <w:cnfStyle w:val="001000000000" w:firstRow="0" w:lastRow="0" w:firstColumn="1" w:lastColumn="0" w:oddVBand="0" w:evenVBand="0" w:oddHBand="0" w:evenHBand="0" w:firstRowFirstColumn="0" w:firstRowLastColumn="0" w:lastRowFirstColumn="0" w:lastRowLastColumn="0"/>
            <w:tcW w:w="588" w:type="pct"/>
            <w:shd w:val="clear" w:color="auto" w:fill="auto"/>
          </w:tcPr>
          <w:p w14:paraId="445D7708" w14:textId="32437642" w:rsidR="00B95825" w:rsidRPr="002A6AA5" w:rsidRDefault="00B95825" w:rsidP="00D8780B">
            <w:pPr>
              <w:spacing w:after="70"/>
              <w:jc w:val="center"/>
              <w:rPr>
                <w:rFonts w:cs="Times New Roman"/>
                <w:szCs w:val="20"/>
              </w:rPr>
            </w:pPr>
            <w:r w:rsidRPr="000C5D87">
              <w:t>Entry</w:t>
            </w:r>
          </w:p>
        </w:tc>
        <w:tc>
          <w:tcPr>
            <w:cnfStyle w:val="000010000000" w:firstRow="0" w:lastRow="0" w:firstColumn="0" w:lastColumn="0" w:oddVBand="1" w:evenVBand="0" w:oddHBand="0" w:evenHBand="0" w:firstRowFirstColumn="0" w:firstRowLastColumn="0" w:lastRowFirstColumn="0" w:lastRowLastColumn="0"/>
            <w:tcW w:w="662" w:type="pct"/>
            <w:shd w:val="clear" w:color="auto" w:fill="auto"/>
          </w:tcPr>
          <w:p w14:paraId="50AC4772" w14:textId="63E47625" w:rsidR="00B95825" w:rsidRPr="002A6AA5" w:rsidRDefault="00B95825" w:rsidP="00D8780B">
            <w:pPr>
              <w:spacing w:after="70"/>
              <w:jc w:val="center"/>
              <w:rPr>
                <w:rFonts w:cs="Times New Roman"/>
                <w:szCs w:val="20"/>
              </w:rPr>
            </w:pPr>
            <w:r w:rsidRPr="000C5D87">
              <w:t>Exposure</w:t>
            </w:r>
          </w:p>
        </w:tc>
        <w:tc>
          <w:tcPr>
            <w:tcW w:w="882" w:type="pct"/>
            <w:gridSpan w:val="2"/>
            <w:shd w:val="clear" w:color="auto" w:fill="auto"/>
          </w:tcPr>
          <w:p w14:paraId="7C3DBC93" w14:textId="744270BA" w:rsidR="00B95825" w:rsidRPr="002A6AA5" w:rsidRDefault="00B95825" w:rsidP="00D8780B">
            <w:pPr>
              <w:spacing w:after="7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0C5D87">
              <w:t>Susceptibility</w:t>
            </w:r>
          </w:p>
        </w:tc>
        <w:tc>
          <w:tcPr>
            <w:cnfStyle w:val="000010000000" w:firstRow="0" w:lastRow="0" w:firstColumn="0" w:lastColumn="0" w:oddVBand="1" w:evenVBand="0" w:oddHBand="0" w:evenHBand="0" w:firstRowFirstColumn="0" w:firstRowLastColumn="0" w:lastRowFirstColumn="0" w:lastRowLastColumn="0"/>
            <w:tcW w:w="809" w:type="pct"/>
            <w:shd w:val="clear" w:color="auto" w:fill="auto"/>
          </w:tcPr>
          <w:p w14:paraId="67783D46" w14:textId="6BE0F42A" w:rsidR="00B95825" w:rsidRPr="002A6AA5" w:rsidRDefault="00B95825" w:rsidP="00D8780B">
            <w:pPr>
              <w:spacing w:after="70"/>
              <w:jc w:val="right"/>
              <w:rPr>
                <w:rFonts w:cs="Times New Roman"/>
                <w:szCs w:val="20"/>
              </w:rPr>
            </w:pPr>
            <w:r w:rsidRPr="000C5D87">
              <w:t>Conservation</w:t>
            </w:r>
          </w:p>
        </w:tc>
        <w:tc>
          <w:tcPr>
            <w:tcW w:w="940" w:type="pct"/>
            <w:shd w:val="clear" w:color="auto" w:fill="auto"/>
          </w:tcPr>
          <w:p w14:paraId="6E622BF3" w14:textId="12F2F69A" w:rsidR="00B95825" w:rsidRPr="000C5D87" w:rsidRDefault="00B95825" w:rsidP="00D8780B">
            <w:pPr>
              <w:spacing w:after="70"/>
              <w:jc w:val="center"/>
              <w:cnfStyle w:val="000000000000" w:firstRow="0" w:lastRow="0" w:firstColumn="0" w:lastColumn="0" w:oddVBand="0" w:evenVBand="0" w:oddHBand="0" w:evenHBand="0" w:firstRowFirstColumn="0" w:firstRowLastColumn="0" w:lastRowFirstColumn="0" w:lastRowLastColumn="0"/>
            </w:pPr>
            <w:r>
              <w:t>Economic</w:t>
            </w:r>
          </w:p>
        </w:tc>
        <w:tc>
          <w:tcPr>
            <w:cnfStyle w:val="000010000000" w:firstRow="0" w:lastRow="0" w:firstColumn="0" w:lastColumn="0" w:oddVBand="1" w:evenVBand="0" w:oddHBand="0" w:evenHBand="0" w:firstRowFirstColumn="0" w:firstRowLastColumn="0" w:lastRowFirstColumn="0" w:lastRowLastColumn="0"/>
            <w:tcW w:w="1119" w:type="pct"/>
            <w:shd w:val="clear" w:color="auto" w:fill="auto"/>
          </w:tcPr>
          <w:p w14:paraId="5A850304" w14:textId="20AC5257" w:rsidR="00B95825" w:rsidRPr="000C5D87" w:rsidRDefault="00B95825" w:rsidP="00D8780B">
            <w:pPr>
              <w:spacing w:after="70"/>
              <w:jc w:val="center"/>
            </w:pPr>
            <w:r>
              <w:t>Overall risk of hazard</w:t>
            </w:r>
          </w:p>
        </w:tc>
      </w:tr>
    </w:tbl>
    <w:p w14:paraId="552EBBB6" w14:textId="77777777" w:rsidR="002F1F90" w:rsidRDefault="002F1F90" w:rsidP="002F1F90"/>
    <w:p w14:paraId="46086343" w14:textId="2CFC151C" w:rsidR="005E449C" w:rsidRDefault="001A1846" w:rsidP="005E449C">
      <w:pPr>
        <w:pStyle w:val="Heading4"/>
      </w:pPr>
      <w:r>
        <w:t xml:space="preserve">Hazard </w:t>
      </w:r>
      <w:r w:rsidR="005E449C">
        <w:t>identification</w:t>
      </w:r>
    </w:p>
    <w:p w14:paraId="183798AE" w14:textId="464F6A17" w:rsidR="005E449C" w:rsidRDefault="005E449C" w:rsidP="005E449C">
      <w:r w:rsidRPr="005E449C">
        <w:t xml:space="preserve">The </w:t>
      </w:r>
      <w:r w:rsidR="001A1846">
        <w:t>hazard</w:t>
      </w:r>
      <w:r w:rsidRPr="005E449C">
        <w:t xml:space="preserve"> identification step </w:t>
      </w:r>
      <w:r w:rsidR="009D20E0">
        <w:t>was</w:t>
      </w:r>
      <w:r w:rsidRPr="005E449C">
        <w:t xml:space="preserve"> undertaken to identify </w:t>
      </w:r>
      <w:r w:rsidR="009D20E0">
        <w:t>pathogens</w:t>
      </w:r>
      <w:r w:rsidRPr="005E449C">
        <w:t xml:space="preserve"> that may </w:t>
      </w:r>
      <w:r w:rsidR="009D20E0">
        <w:t xml:space="preserve">potentially </w:t>
      </w:r>
      <w:r w:rsidRPr="005E449C">
        <w:t xml:space="preserve">contribute to disease risk. Our </w:t>
      </w:r>
      <w:r w:rsidR="009D20E0">
        <w:t>pathogen</w:t>
      </w:r>
      <w:r w:rsidRPr="005E449C">
        <w:t xml:space="preserve"> list was compiled using a combination of expert knowledge and </w:t>
      </w:r>
      <w:r w:rsidR="00343569">
        <w:t xml:space="preserve">searches of </w:t>
      </w:r>
      <w:r w:rsidRPr="005E449C">
        <w:t xml:space="preserve">several literature types, including scientific peer-reviewed literature (searched through Google Scholar), textbooks, and grey literature, such as government reports and factsheets. Our </w:t>
      </w:r>
      <w:r w:rsidR="009D20E0">
        <w:t>pathogen</w:t>
      </w:r>
      <w:r w:rsidRPr="005E449C">
        <w:t xml:space="preserve"> list also drew from existing lists for priority animal diseases, such as those compiled by the Victorian and Australian Governments. </w:t>
      </w:r>
      <w:r>
        <w:t>The</w:t>
      </w:r>
      <w:r w:rsidRPr="005E449C">
        <w:t xml:space="preserve"> </w:t>
      </w:r>
      <w:r>
        <w:t>key</w:t>
      </w:r>
      <w:r w:rsidRPr="005E449C">
        <w:t xml:space="preserve"> reports and factsheets that were examined</w:t>
      </w:r>
      <w:r>
        <w:t xml:space="preserve"> </w:t>
      </w:r>
      <w:r w:rsidR="006433B2">
        <w:t>were</w:t>
      </w:r>
      <w:r>
        <w:t>:</w:t>
      </w:r>
    </w:p>
    <w:p w14:paraId="69AE025B" w14:textId="3D63B900" w:rsidR="005E449C" w:rsidRDefault="005E449C" w:rsidP="005E449C">
      <w:pPr>
        <w:pStyle w:val="dotpointindented"/>
      </w:pPr>
      <w:r>
        <w:t>The National Priority List of Exotic Environmental Pests, Weeds and Diseases</w:t>
      </w:r>
      <w:r w:rsidR="008E1A50">
        <w:t xml:space="preserve"> </w:t>
      </w:r>
      <w:r w:rsidR="008E1A50">
        <w:fldChar w:fldCharType="begin"/>
      </w:r>
      <w:r w:rsidR="008E1A50">
        <w:instrText xml:space="preserve"> ADDIN ZOTERO_ITEM CSL_CITATION {"citationID":"navTP5Dm","properties":{"formattedCitation":"(ABARES 2021)","plainCitation":"(ABARES 2021)","noteIndex":0},"citationItems":[{"id":9684,"uris":["http://zotero.org/users/634364/items/KKF2VVC7"],"itemData":{"id":9684,"type":"report","publisher":"Australian Bureau of Agricultural and Resource Economics and Sciences report to the Chief Environmental Biosecurity Officer, Department of Agriculture, Water and the Environment. Canberra, Australia","title":"The national priority list of exotic environmental pests, weeds and diseases: information paper (Version 2.0)","URL":"https://www.agriculture.gov.au/biosecurity-trade/policy/environmental/priority-list","author":[{"family":"ABARES","given":""}],"accessed":{"date-parts":[["2024",10,1]]},"issued":{"date-parts":[["2021"]]}}}],"schema":"https://github.com/citation-style-language/schema/raw/master/csl-citation.json"} </w:instrText>
      </w:r>
      <w:r w:rsidR="008E1A50">
        <w:fldChar w:fldCharType="separate"/>
      </w:r>
      <w:r w:rsidR="009F541F" w:rsidRPr="009F541F">
        <w:t>(ABARES 2021)</w:t>
      </w:r>
      <w:r w:rsidR="008E1A50">
        <w:fldChar w:fldCharType="end"/>
      </w:r>
    </w:p>
    <w:p w14:paraId="559DC43A" w14:textId="348A4373" w:rsidR="005E449C" w:rsidRDefault="005E449C" w:rsidP="005E449C">
      <w:pPr>
        <w:pStyle w:val="dotpointindented"/>
      </w:pPr>
      <w:r>
        <w:lastRenderedPageBreak/>
        <w:t xml:space="preserve">The National List of Notifiable Animal Diseases </w:t>
      </w:r>
      <w:r w:rsidR="008E1A50">
        <w:fldChar w:fldCharType="begin"/>
      </w:r>
      <w:r w:rsidR="008E1A50">
        <w:instrText xml:space="preserve"> ADDIN ZOTERO_ITEM CSL_CITATION {"citationID":"KF783G71","properties":{"formattedCitation":"(DAFF 2019)","plainCitation":"(DAFF 2019)","noteIndex":0},"citationItems":[{"id":9682,"uris":["http://zotero.org/users/634364/items/H5NFJTL4"],"itemData":{"id":9682,"type":"report","publisher":"Australian Department of Agriculture, Fisheries and Forestry report","title":"The national list of notifiable animal diseases","URL":"https://www.agriculture.gov.au/sites/default/files/documents/notifiable.pdf","author":[{"family":"DAFF","given":""}],"accessed":{"date-parts":[["2024",10,1]]},"issued":{"date-parts":[["2019"]]}}}],"schema":"https://github.com/citation-style-language/schema/raw/master/csl-citation.json"} </w:instrText>
      </w:r>
      <w:r w:rsidR="008E1A50">
        <w:fldChar w:fldCharType="separate"/>
      </w:r>
      <w:r w:rsidR="009F541F" w:rsidRPr="009F541F">
        <w:t>(DAFF 2019)</w:t>
      </w:r>
      <w:r w:rsidR="008E1A50">
        <w:fldChar w:fldCharType="end"/>
      </w:r>
    </w:p>
    <w:p w14:paraId="21F0C308" w14:textId="011E8C2B" w:rsidR="005E449C" w:rsidRPr="005E449C" w:rsidRDefault="005E449C" w:rsidP="005E449C">
      <w:pPr>
        <w:pStyle w:val="dotpointindented"/>
      </w:pPr>
      <w:r w:rsidRPr="005E449C">
        <w:t xml:space="preserve">Wildlife Health Australia’s </w:t>
      </w:r>
      <w:r w:rsidR="00E372FA">
        <w:t xml:space="preserve">Disease </w:t>
      </w:r>
      <w:r w:rsidRPr="005E449C">
        <w:t xml:space="preserve">Fact Sheets </w:t>
      </w:r>
      <w:r w:rsidR="00917A83">
        <w:fldChar w:fldCharType="begin"/>
      </w:r>
      <w:r w:rsidR="004C2222">
        <w:instrText xml:space="preserve"> ADDIN ZOTERO_ITEM CSL_CITATION {"citationID":"r1ja4CcZ","properties":{"formattedCitation":"(WHA 2024)","plainCitation":"(WHA 2024)","noteIndex":0},"citationItems":[{"id":9708,"uris":["http://zotero.org/users/634364/items/DPW5LCTX"],"itemData":{"id":9708,"type":"report","publisher":"Wildlife Health Australia factsheets","title":"Disease Factsheets","URL":"https://wildlifehealthaustralia.com.au/Resource-Centre/Fact-Sheets","author":[{"family":"WHA","given":""}],"accessed":{"date-parts":[["2024",10,1]]},"issued":{"date-parts":[["2024"]]}}}],"schema":"https://github.com/citation-style-language/schema/raw/master/csl-citation.json"} </w:instrText>
      </w:r>
      <w:r w:rsidR="00917A83">
        <w:fldChar w:fldCharType="separate"/>
      </w:r>
      <w:r w:rsidR="009F541F" w:rsidRPr="009F541F">
        <w:t>(WHA 2024)</w:t>
      </w:r>
      <w:r w:rsidR="00917A83">
        <w:fldChar w:fldCharType="end"/>
      </w:r>
      <w:r w:rsidR="0071133C">
        <w:t>.</w:t>
      </w:r>
    </w:p>
    <w:p w14:paraId="081895D0" w14:textId="3105AF86" w:rsidR="00E25178" w:rsidRDefault="00E25178" w:rsidP="00E25178">
      <w:r>
        <w:t>An initial comprehensive pathogen list should include all known or suspected pathogens to which the assessed species may be susceptible. Where knowledge is limited, information can be extrapolated from taxonomically related species. However, wildlife species carry many pathogens and are often asymptomatic, acting as carriers or reservoirs of potential pathogens. To be included in our list, the pathogen had to be capable of producing adverse consequences in a host species (or similar species) and caus</w:t>
      </w:r>
      <w:r w:rsidR="009D20E0">
        <w:t>e</w:t>
      </w:r>
      <w:r>
        <w:t xml:space="preserve"> clinical disease. For the purposes of this WDRA, a disease was defined as any impairment of the normal structural or physiological state of an organism </w:t>
      </w:r>
      <w:r w:rsidR="004C2222">
        <w:fldChar w:fldCharType="begin"/>
      </w:r>
      <w:r w:rsidR="009F541F">
        <w:instrText xml:space="preserve"> ADDIN ZOTERO_ITEM CSL_CITATION {"citationID":"TbUm2QPr","properties":{"formattedCitation":"(Jakob-Hoff {\\i{}et al.} 2014)","plainCitation":"(Jakob-Hoff et al. 2014)","noteIndex":0},"citationItems":[{"id":3541,"uris":["http://zotero.org/users/634364/items/Z8M4NEYW"],"itemData":{"id":3541,"type":"book","event-place":"Paris","note":"Citation Key: RN1400","number-of-pages":"149","publisher":"OIE and IUCN","publisher-place":"Paris","title":"Manual of procedures for wildlife disease risk analysis","author":[{"family":"Jakob-Hoff","given":"Richard M"},{"family":"MacDiarmid","given":"Stuart C"},{"family":"Lees","given":"Caroline"},{"family":"Miller","given":"Philip S"},{"family":"Travis","given":"Dominic"},{"family":"Kock","given":"Richard"}],"issued":{"date-parts":[["2014"]]}}}],"schema":"https://github.com/citation-style-language/schema/raw/master/csl-citation.json"} </w:instrText>
      </w:r>
      <w:r w:rsidR="004C2222">
        <w:fldChar w:fldCharType="separate"/>
      </w:r>
      <w:r w:rsidR="009F541F" w:rsidRPr="009F541F">
        <w:t xml:space="preserve">(Jakob-Hoff </w:t>
      </w:r>
      <w:r w:rsidR="009F541F" w:rsidRPr="00DA5824">
        <w:t>et al.</w:t>
      </w:r>
      <w:r w:rsidR="009F541F" w:rsidRPr="0071133C">
        <w:t xml:space="preserve"> </w:t>
      </w:r>
      <w:r w:rsidR="009F541F" w:rsidRPr="009F541F">
        <w:t>2014)</w:t>
      </w:r>
      <w:r w:rsidR="004C2222">
        <w:fldChar w:fldCharType="end"/>
      </w:r>
      <w:r>
        <w:t xml:space="preserve">. Our </w:t>
      </w:r>
      <w:r w:rsidR="00846327">
        <w:t>risk assessment</w:t>
      </w:r>
      <w:r>
        <w:t xml:space="preserve"> didn’t include diseases only known to be associated with animals in captivity or originating through experimental research (i.e.</w:t>
      </w:r>
      <w:r w:rsidR="0071133C">
        <w:t> </w:t>
      </w:r>
      <w:r>
        <w:t xml:space="preserve">laboratory-induced infections). Parasitic diseases were only included if there were reports of clinically significant infections. Therefore, this is not an exhaustive list of all pathogens infecting wildlife. </w:t>
      </w:r>
    </w:p>
    <w:p w14:paraId="22C22876" w14:textId="14860917" w:rsidR="005E449C" w:rsidRDefault="00E25178" w:rsidP="00E25178">
      <w:r>
        <w:t>Pathogens of wildlife known to occur in Victoria (endemic pathogens) were included in the prioritisation process as well as exotic pathogens (either not yet present in Victoria or in Australia or already established</w:t>
      </w:r>
      <w:r w:rsidR="00343569">
        <w:t xml:space="preserve"> but still regarded as exotic</w:t>
      </w:r>
      <w:r>
        <w:t xml:space="preserve">). The endemic pathogens of interest were those believed to have the potential to impact on wildlife hosts should they spread, or which may impact on other populations such as livestock. </w:t>
      </w:r>
      <w:r w:rsidR="00343569">
        <w:t>The risks of e</w:t>
      </w:r>
      <w:r>
        <w:t>merging diseases were also considered by reviewing international emerging diseases of wildlife.</w:t>
      </w:r>
    </w:p>
    <w:p w14:paraId="7B10C850" w14:textId="4165CF59" w:rsidR="00E25178" w:rsidRDefault="001A1846" w:rsidP="00E25178">
      <w:r>
        <w:t>For</w:t>
      </w:r>
      <w:r w:rsidR="00E25178">
        <w:t xml:space="preserve"> this </w:t>
      </w:r>
      <w:r w:rsidR="008113DA">
        <w:t>risk assessment</w:t>
      </w:r>
      <w:r w:rsidR="00E25178">
        <w:t>, all potential</w:t>
      </w:r>
      <w:r w:rsidR="00984FDA">
        <w:t xml:space="preserve"> </w:t>
      </w:r>
      <w:r w:rsidR="00E25178">
        <w:t xml:space="preserve">host species </w:t>
      </w:r>
      <w:r w:rsidR="00984FDA">
        <w:t xml:space="preserve">known to be susceptible </w:t>
      </w:r>
      <w:r w:rsidR="00E25178">
        <w:t xml:space="preserve">were identified. We focused on free-ranging wildlife and invasive mammalian species that were covered under the </w:t>
      </w:r>
      <w:r w:rsidR="00E25178" w:rsidRPr="00E25178">
        <w:rPr>
          <w:i/>
          <w:iCs/>
        </w:rPr>
        <w:t>Wildlife Act 1975</w:t>
      </w:r>
      <w:r w:rsidR="00E25178">
        <w:t xml:space="preserve"> (Victoria). The host taxa that were assessed fell into four key taxon groups – mammals, birds, reptiles and </w:t>
      </w:r>
      <w:r w:rsidR="00455785">
        <w:t>amphibians</w:t>
      </w:r>
      <w:r w:rsidR="00E25178">
        <w:t xml:space="preserve">. This classification thereby excluded taxon groups such as fish and invertebrates. </w:t>
      </w:r>
    </w:p>
    <w:p w14:paraId="6947C838" w14:textId="59A0DFE8" w:rsidR="00E25178" w:rsidRDefault="00E25178" w:rsidP="00E25178">
      <w:r>
        <w:t xml:space="preserve">Threatened species were defined as those listed under Part 3 of </w:t>
      </w:r>
      <w:r w:rsidRPr="00E25178">
        <w:rPr>
          <w:i/>
          <w:iCs/>
        </w:rPr>
        <w:t>the Flora and Fauna Guarantee Act 1988</w:t>
      </w:r>
      <w:r>
        <w:t xml:space="preserve"> (Victoria</w:t>
      </w:r>
      <w:r w:rsidR="00ED7891">
        <w:t>, FFG</w:t>
      </w:r>
      <w:r>
        <w:t xml:space="preserve">), according to the </w:t>
      </w:r>
      <w:r w:rsidR="0002056D">
        <w:t>Act’s</w:t>
      </w:r>
      <w:r w:rsidRPr="00E25178">
        <w:rPr>
          <w:i/>
          <w:iCs/>
        </w:rPr>
        <w:t xml:space="preserve"> Threatened List, June 2023</w:t>
      </w:r>
      <w:r>
        <w:t xml:space="preserve"> </w:t>
      </w:r>
      <w:r w:rsidR="00CC09A6">
        <w:fldChar w:fldCharType="begin"/>
      </w:r>
      <w:r w:rsidR="00CC09A6">
        <w:instrText xml:space="preserve"> ADDIN ZOTERO_ITEM CSL_CITATION {"citationID":"Dg67NpWq","properties":{"formattedCitation":"(DEECA 2023a)","plainCitation":"(DEECA 2023a)","noteIndex":0},"citationItems":[{"id":9695,"uris":["http://zotero.org/users/634364/items/4CUM5ZIJ"],"itemData":{"id":9695,"type":"report","publisher":"Department of Energy, Environment and Climate Action, Victoria, Australia.","title":"Flora and Fauna Guarantee Act 1988 Threatened List, June 2023","author":[{"family":"DEECA","given":""}],"issued":{"date-parts":[["2023"]]}}}],"schema":"https://github.com/citation-style-language/schema/raw/master/csl-citation.json"} </w:instrText>
      </w:r>
      <w:r w:rsidR="00CC09A6">
        <w:fldChar w:fldCharType="separate"/>
      </w:r>
      <w:r w:rsidR="009F541F" w:rsidRPr="009F541F">
        <w:t>(DEECA 2023a)</w:t>
      </w:r>
      <w:r w:rsidR="00CC09A6">
        <w:fldChar w:fldCharType="end"/>
      </w:r>
      <w:r>
        <w:t>.</w:t>
      </w:r>
      <w:r w:rsidR="00473978">
        <w:t xml:space="preserve"> Given that the conservation consequences of wildlife disease were a </w:t>
      </w:r>
      <w:r w:rsidR="00A91CA5">
        <w:t>strong focus of the study</w:t>
      </w:r>
      <w:r w:rsidR="005E6845">
        <w:t>,</w:t>
      </w:r>
      <w:r w:rsidR="00A91CA5">
        <w:t xml:space="preserve"> </w:t>
      </w:r>
      <w:r w:rsidR="00EC2515">
        <w:t>we made a special effort to identify diseases of likely conservation significan</w:t>
      </w:r>
      <w:r w:rsidR="00370616">
        <w:t>c</w:t>
      </w:r>
      <w:r w:rsidR="00EC2515">
        <w:t xml:space="preserve">e to </w:t>
      </w:r>
      <w:r w:rsidR="00A91CA5">
        <w:t>species listed under the FFG act</w:t>
      </w:r>
      <w:r w:rsidR="00EC2515">
        <w:t>.</w:t>
      </w:r>
      <w:r w:rsidR="00BE3EC4">
        <w:t xml:space="preserve"> </w:t>
      </w:r>
    </w:p>
    <w:p w14:paraId="0374F061" w14:textId="1ABB5289" w:rsidR="00E25178" w:rsidRDefault="00E25178" w:rsidP="002F1F90">
      <w:r w:rsidRPr="00E25178">
        <w:t xml:space="preserve">Disease is often interconnected to other hazards/threats affecting wildlife, </w:t>
      </w:r>
      <w:r w:rsidR="002C4D0A">
        <w:t>including</w:t>
      </w:r>
      <w:r w:rsidRPr="00E25178">
        <w:t xml:space="preserve"> climate change, habitat removal</w:t>
      </w:r>
      <w:r w:rsidR="00343569">
        <w:t>, pollution</w:t>
      </w:r>
      <w:r w:rsidRPr="00E25178">
        <w:t xml:space="preserve"> and other disturbances, such as bushfires, droughts and floods. To successfully manage disease, it is also necessary to understand the consequences of these threats and how these simultaneously interact. However</w:t>
      </w:r>
      <w:r w:rsidR="00EC2515">
        <w:t>,</w:t>
      </w:r>
      <w:r w:rsidRPr="00E25178">
        <w:t xml:space="preserve"> due to the already large scope of this project we were unable to include assessments of non-</w:t>
      </w:r>
      <w:r w:rsidR="00343569">
        <w:t xml:space="preserve">infectious </w:t>
      </w:r>
      <w:r w:rsidRPr="00E25178">
        <w:t xml:space="preserve">disease threats. Environmental risk assessments for some threats have been undertaken for a subset of Victorian species, under the </w:t>
      </w:r>
      <w:r w:rsidRPr="00E25178">
        <w:rPr>
          <w:i/>
          <w:iCs/>
        </w:rPr>
        <w:t>Threatened Species and Communities Risk Assessment for Victoria's Regional Forest Agreements</w:t>
      </w:r>
      <w:r w:rsidRPr="00E25178">
        <w:t xml:space="preserve"> </w:t>
      </w:r>
      <w:r w:rsidR="00CC09A6">
        <w:fldChar w:fldCharType="begin"/>
      </w:r>
      <w:r w:rsidR="00CC09A6">
        <w:instrText xml:space="preserve"> ADDIN ZOTERO_ITEM CSL_CITATION {"citationID":"MlW6imtl","properties":{"formattedCitation":"(DELWP 2020)","plainCitation":"(DELWP 2020)","noteIndex":0},"citationItems":[{"id":9696,"uris":["http://zotero.org/users/634364/items/XU9JNNM9"],"itemData":{"id":9696,"type":"report","publisher":"Department of Environment, Land, Water and Planning, Victoria, Australia.","title":"Threatened species and communities risk assessment. Victoria's regional forest agreements.","author":[{"family":"DELWP","given":""}],"issued":{"date-parts":[["2020"]]}}}],"schema":"https://github.com/citation-style-language/schema/raw/master/csl-citation.json"} </w:instrText>
      </w:r>
      <w:r w:rsidR="00CC09A6">
        <w:fldChar w:fldCharType="separate"/>
      </w:r>
      <w:r w:rsidR="009F541F" w:rsidRPr="009F541F">
        <w:t>(DELWP 2020)</w:t>
      </w:r>
      <w:r w:rsidR="00CC09A6">
        <w:fldChar w:fldCharType="end"/>
      </w:r>
      <w:r w:rsidRPr="00E25178">
        <w:t>.</w:t>
      </w:r>
    </w:p>
    <w:p w14:paraId="0CD43E09" w14:textId="77777777" w:rsidR="00E25178" w:rsidRDefault="00E25178" w:rsidP="00E25178">
      <w:pPr>
        <w:pStyle w:val="Heading4"/>
      </w:pPr>
      <w:r>
        <w:t>Uncertainty</w:t>
      </w:r>
    </w:p>
    <w:p w14:paraId="455C97C4" w14:textId="769F9481" w:rsidR="00E25178" w:rsidRDefault="00E25178" w:rsidP="00E25178">
      <w:r w:rsidRPr="00E25178">
        <w:t>Including measures of uncertainty is an important element of a prioritisation process</w:t>
      </w:r>
      <w:r w:rsidR="002373A9">
        <w:t xml:space="preserve"> that depends on </w:t>
      </w:r>
      <w:r w:rsidR="00E76012">
        <w:t xml:space="preserve">assigning a degree of </w:t>
      </w:r>
      <w:r w:rsidR="002373A9">
        <w:t>risk</w:t>
      </w:r>
      <w:r w:rsidRPr="00E25178">
        <w:t xml:space="preserve">. </w:t>
      </w:r>
      <w:r w:rsidR="009D20E0">
        <w:t>W</w:t>
      </w:r>
      <w:r w:rsidRPr="005E449C">
        <w:t>DRAs are based on currently available knowledge, which for wildlife disease is usually incomplete</w:t>
      </w:r>
      <w:r w:rsidR="00D10E9E">
        <w:t>, uncertain</w:t>
      </w:r>
      <w:r w:rsidRPr="005E449C">
        <w:t xml:space="preserve"> or difficult to validate. Uncertainty will depend on the quality and detail of information available at the time of assessment. </w:t>
      </w:r>
      <w:r w:rsidRPr="00E25178">
        <w:t>The process involves experts self-assigning levels of confidence (‘low’, ‘medium’, ‘high’) based on the quality of evidence available. It also includes uncertainty due to limited data as well as due to an individual’s experience</w:t>
      </w:r>
      <w:r w:rsidR="00D10E9E">
        <w:t xml:space="preserve"> and knowledge</w:t>
      </w:r>
      <w:r w:rsidRPr="00E25178">
        <w:t xml:space="preserve">. Experts assessing risks in our WDRA </w:t>
      </w:r>
      <w:r w:rsidR="009D20E0">
        <w:t>for w</w:t>
      </w:r>
      <w:r w:rsidRPr="00E25178">
        <w:t xml:space="preserve">ildlife in Victoria </w:t>
      </w:r>
      <w:r w:rsidR="00B012A7">
        <w:t xml:space="preserve">were </w:t>
      </w:r>
      <w:r w:rsidRPr="00E25178">
        <w:t>asked to provide a level of confidence in their assessment (</w:t>
      </w:r>
      <w:r w:rsidR="00534095">
        <w:t>Table 2</w:t>
      </w:r>
      <w:r w:rsidRPr="00E25178">
        <w:t xml:space="preserve">). High uncertainty scores indicate </w:t>
      </w:r>
      <w:r w:rsidR="00B012A7">
        <w:t xml:space="preserve">knowledge gaps </w:t>
      </w:r>
      <w:r w:rsidRPr="00E25178">
        <w:t xml:space="preserve">and areas where caution </w:t>
      </w:r>
      <w:r w:rsidR="00B012A7">
        <w:t>in interpreting and using</w:t>
      </w:r>
      <w:r w:rsidRPr="00E25178">
        <w:t xml:space="preserve"> the results </w:t>
      </w:r>
      <w:r w:rsidR="00B012A7">
        <w:t xml:space="preserve">for planning and decision-making </w:t>
      </w:r>
      <w:r w:rsidR="005E6845">
        <w:t>are</w:t>
      </w:r>
      <w:r w:rsidRPr="00E25178">
        <w:t xml:space="preserve"> required.</w:t>
      </w:r>
      <w:r w:rsidRPr="005E449C">
        <w:t xml:space="preserve"> </w:t>
      </w:r>
      <w:r w:rsidR="003242AE">
        <w:t>Future</w:t>
      </w:r>
      <w:r w:rsidRPr="005E449C">
        <w:t xml:space="preserve"> </w:t>
      </w:r>
      <w:r w:rsidR="003242AE">
        <w:t>updates</w:t>
      </w:r>
      <w:r w:rsidRPr="005E449C">
        <w:t xml:space="preserve"> of th</w:t>
      </w:r>
      <w:r w:rsidR="00A1123E">
        <w:t>is</w:t>
      </w:r>
      <w:r w:rsidRPr="005E449C">
        <w:t xml:space="preserve"> risk assessment </w:t>
      </w:r>
      <w:r w:rsidR="003242AE">
        <w:t xml:space="preserve">may utilise new </w:t>
      </w:r>
      <w:r w:rsidRPr="005E449C">
        <w:t xml:space="preserve">information to </w:t>
      </w:r>
      <w:r w:rsidR="003242AE">
        <w:t>improve the</w:t>
      </w:r>
      <w:r w:rsidRPr="005E449C">
        <w:t xml:space="preserve"> results, and </w:t>
      </w:r>
      <w:r w:rsidR="005E6845" w:rsidRPr="005E449C">
        <w:t>t</w:t>
      </w:r>
      <w:r w:rsidR="005E6845">
        <w:t>herefore</w:t>
      </w:r>
      <w:r w:rsidR="005E6845" w:rsidRPr="005E449C">
        <w:t xml:space="preserve"> </w:t>
      </w:r>
      <w:r w:rsidRPr="005E449C">
        <w:t xml:space="preserve">the level of uncertainty </w:t>
      </w:r>
      <w:r w:rsidR="003242AE">
        <w:t xml:space="preserve">may </w:t>
      </w:r>
      <w:r w:rsidRPr="005E449C">
        <w:t>decrease.</w:t>
      </w:r>
      <w:r w:rsidR="00A1123E">
        <w:t xml:space="preserve"> Identification of critical uncertainties </w:t>
      </w:r>
      <w:r w:rsidR="00903348">
        <w:t xml:space="preserve">(for example where risks are high, but also uncertain) </w:t>
      </w:r>
      <w:r w:rsidR="00A1123E">
        <w:t xml:space="preserve">provides a basis for prioritising future data collection, analysis and </w:t>
      </w:r>
      <w:r w:rsidR="00903348">
        <w:t xml:space="preserve">for conducting </w:t>
      </w:r>
      <w:r w:rsidR="00B15936">
        <w:t>targeted research.</w:t>
      </w:r>
    </w:p>
    <w:p w14:paraId="53453A12" w14:textId="77777777" w:rsidR="009D20E0" w:rsidRDefault="009D20E0" w:rsidP="00E25178"/>
    <w:p w14:paraId="39693E97" w14:textId="77777777" w:rsidR="009D20E0" w:rsidRDefault="009D20E0" w:rsidP="00E25178"/>
    <w:p w14:paraId="6CC3B0E7" w14:textId="77777777" w:rsidR="009D20E0" w:rsidRDefault="009D20E0" w:rsidP="00E25178"/>
    <w:p w14:paraId="0E128757" w14:textId="77777777" w:rsidR="009D20E0" w:rsidRDefault="009D20E0" w:rsidP="00E25178"/>
    <w:p w14:paraId="45115D55" w14:textId="77777777" w:rsidR="007475BD" w:rsidRDefault="007475BD" w:rsidP="00E25178"/>
    <w:p w14:paraId="0C7CC9E1" w14:textId="77777777" w:rsidR="00CA6BA8" w:rsidRDefault="00CA6BA8" w:rsidP="00B20F1A">
      <w:pPr>
        <w:pStyle w:val="Caption-Table"/>
      </w:pPr>
      <w:bookmarkStart w:id="40" w:name="_Ref169260816"/>
    </w:p>
    <w:p w14:paraId="6E07975A" w14:textId="77777777" w:rsidR="00B21AE2" w:rsidRDefault="00B21AE2">
      <w:pPr>
        <w:spacing w:after="0"/>
        <w:rPr>
          <w:b/>
          <w:bCs/>
          <w:color w:val="201547" w:themeColor="accent3"/>
          <w:szCs w:val="22"/>
        </w:rPr>
      </w:pPr>
      <w:r>
        <w:br w:type="page"/>
      </w:r>
    </w:p>
    <w:p w14:paraId="4BC2901B" w14:textId="4F3200AF" w:rsidR="00B20F1A" w:rsidRDefault="00B20F1A" w:rsidP="00B20F1A">
      <w:pPr>
        <w:pStyle w:val="Caption-Table"/>
      </w:pPr>
      <w:bookmarkStart w:id="41" w:name="_Toc198634134"/>
      <w:r>
        <w:lastRenderedPageBreak/>
        <w:t xml:space="preserve">Table </w:t>
      </w:r>
      <w:r>
        <w:fldChar w:fldCharType="begin"/>
      </w:r>
      <w:r>
        <w:instrText xml:space="preserve"> SEQ Table \* ARABIC </w:instrText>
      </w:r>
      <w:r>
        <w:fldChar w:fldCharType="separate"/>
      </w:r>
      <w:r w:rsidR="00A03F72">
        <w:rPr>
          <w:noProof/>
        </w:rPr>
        <w:t>2</w:t>
      </w:r>
      <w:r>
        <w:fldChar w:fldCharType="end"/>
      </w:r>
      <w:bookmarkEnd w:id="40"/>
      <w:r>
        <w:t xml:space="preserve">. </w:t>
      </w:r>
      <w:r w:rsidRPr="001C57C7">
        <w:t>Level of uncertainty of predictions.</w:t>
      </w:r>
      <w:bookmarkEnd w:id="41"/>
    </w:p>
    <w:p w14:paraId="670877F9" w14:textId="7222B1EC" w:rsidR="00B20F1A" w:rsidRPr="00B20F1A" w:rsidRDefault="00B20F1A" w:rsidP="00B20F1A">
      <w:pPr>
        <w:pStyle w:val="Legend-Table"/>
      </w:pPr>
      <w:r w:rsidRPr="00B20F1A">
        <w:t>Adapted from</w:t>
      </w:r>
      <w:r w:rsidR="00FB5C9F">
        <w:t xml:space="preserve"> </w:t>
      </w:r>
      <w:r w:rsidR="00FB5C9F" w:rsidRPr="00B20F1A">
        <w:t xml:space="preserve">Cox-Witton </w:t>
      </w:r>
      <w:r w:rsidR="00FB5C9F" w:rsidRPr="00DA5824">
        <w:rPr>
          <w:iCs/>
        </w:rPr>
        <w:t>et al.</w:t>
      </w:r>
      <w:r w:rsidRPr="005E6845">
        <w:rPr>
          <w:iCs/>
        </w:rPr>
        <w:t xml:space="preserve"> </w:t>
      </w:r>
      <w:r w:rsidR="00AC43BE">
        <w:fldChar w:fldCharType="begin"/>
      </w:r>
      <w:r w:rsidR="00AC43BE">
        <w:instrText xml:space="preserve"> ADDIN ZOTERO_ITEM CSL_CITATION {"citationID":"6zkNn2LZ","properties":{"formattedCitation":"(2021)","plainCitation":"(2021)","noteIndex":0},"citationItems":[{"id":9691,"uris":["http://zotero.org/users/634364/items/Y4I9PCDY"],"itemData":{"id":9691,"type":"article-journal","container-title":"One Health","note":"publisher: Elsevier","page":"100247","title":"Risk of SARS-CoV-2 transmission from humans to bats–An Australian assessment","volume":"13","author":[{"family":"Cox-Witton","given":"Keren"},{"family":"Baker","given":"Michelle L"},{"family":"Edson","given":"Dan"},{"family":"Peel","given":"Alison J"},{"family":"Welbergen","given":"Justin A"},{"family":"Field","given":"Hume"}],"issued":{"date-parts":[["2021"]]}},"label":"page","suppress-author":true}],"schema":"https://github.com/citation-style-language/schema/raw/master/csl-citation.json"} </w:instrText>
      </w:r>
      <w:r w:rsidR="00AC43BE">
        <w:fldChar w:fldCharType="separate"/>
      </w:r>
      <w:r w:rsidR="009F541F" w:rsidRPr="009F541F">
        <w:t>(2021)</w:t>
      </w:r>
      <w:r w:rsidR="00AC43BE">
        <w:fldChar w:fldCharType="end"/>
      </w:r>
      <w:r w:rsidRPr="00B20F1A">
        <w:t>.</w:t>
      </w:r>
    </w:p>
    <w:tbl>
      <w:tblPr>
        <w:tblStyle w:val="TableGrid10"/>
        <w:tblW w:w="4727" w:type="pct"/>
        <w:tblLook w:val="02A0" w:firstRow="1" w:lastRow="0" w:firstColumn="1" w:lastColumn="0" w:noHBand="1" w:noVBand="0"/>
      </w:tblPr>
      <w:tblGrid>
        <w:gridCol w:w="4546"/>
        <w:gridCol w:w="4567"/>
      </w:tblGrid>
      <w:tr w:rsidR="00B20F1A" w:rsidRPr="002A6AA5" w14:paraId="581035BA" w14:textId="77777777" w:rsidTr="00DD3B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53DFD1B2" w14:textId="4FB55E83" w:rsidR="00B20F1A" w:rsidRPr="00B21AE2" w:rsidRDefault="00B20F1A" w:rsidP="00DA5824">
            <w:pPr>
              <w:pStyle w:val="Tableheadingtext"/>
            </w:pPr>
            <w:r w:rsidRPr="00B21AE2">
              <w:t>Description</w:t>
            </w:r>
          </w:p>
        </w:tc>
        <w:tc>
          <w:tcPr>
            <w:cnfStyle w:val="000010000000" w:firstRow="0" w:lastRow="0" w:firstColumn="0" w:lastColumn="0" w:oddVBand="1" w:evenVBand="0" w:oddHBand="0" w:evenHBand="0" w:firstRowFirstColumn="0" w:firstRowLastColumn="0" w:lastRowFirstColumn="0" w:lastRowLastColumn="0"/>
            <w:tcW w:w="0" w:type="pct"/>
          </w:tcPr>
          <w:p w14:paraId="4C7C73BA" w14:textId="695CE393" w:rsidR="00B20F1A" w:rsidRPr="00B21AE2" w:rsidRDefault="00B20F1A" w:rsidP="00DA5824">
            <w:pPr>
              <w:pStyle w:val="Tableheadingtext"/>
            </w:pPr>
            <w:r w:rsidRPr="00B21AE2">
              <w:t>Definition</w:t>
            </w:r>
          </w:p>
        </w:tc>
      </w:tr>
      <w:tr w:rsidR="00B20F1A" w:rsidRPr="002A6AA5" w14:paraId="1B6D2E19"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00EA0820" w14:textId="11FB0080" w:rsidR="00B20F1A" w:rsidRPr="002A6AA5" w:rsidRDefault="00B20F1A" w:rsidP="00B20F1A">
            <w:pPr>
              <w:spacing w:after="70"/>
              <w:rPr>
                <w:rFonts w:cs="Times New Roman"/>
                <w:szCs w:val="20"/>
              </w:rPr>
            </w:pPr>
            <w:r w:rsidRPr="003F556E">
              <w:t>Low (1)</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2D466827" w14:textId="1C02DEE2" w:rsidR="00B20F1A" w:rsidRPr="002A6AA5" w:rsidRDefault="00B20F1A" w:rsidP="00B20F1A">
            <w:pPr>
              <w:spacing w:after="70"/>
              <w:rPr>
                <w:rFonts w:cs="Times New Roman"/>
                <w:szCs w:val="20"/>
              </w:rPr>
            </w:pPr>
            <w:r w:rsidRPr="00271A6A">
              <w:t>Strong level of confidence in the assessment. Scientific evidence and/or previous experience of similar situations is available.</w:t>
            </w:r>
          </w:p>
        </w:tc>
      </w:tr>
      <w:tr w:rsidR="00B20F1A" w:rsidRPr="002A6AA5" w14:paraId="67D077CB"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468E41CF" w14:textId="21F77AB0" w:rsidR="00B20F1A" w:rsidRPr="002A6AA5" w:rsidRDefault="00B20F1A" w:rsidP="00B20F1A">
            <w:pPr>
              <w:spacing w:after="70"/>
              <w:rPr>
                <w:rFonts w:cs="Times New Roman"/>
                <w:szCs w:val="20"/>
              </w:rPr>
            </w:pPr>
            <w:r w:rsidRPr="003F556E">
              <w:t>Medium (2)</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5A7F7C09" w14:textId="27126864" w:rsidR="00B20F1A" w:rsidRPr="002A6AA5" w:rsidRDefault="00B20F1A" w:rsidP="00B20F1A">
            <w:pPr>
              <w:spacing w:after="70"/>
              <w:rPr>
                <w:rFonts w:cs="Times New Roman"/>
                <w:szCs w:val="20"/>
              </w:rPr>
            </w:pPr>
            <w:r w:rsidRPr="00271A6A">
              <w:t>Moderate level of confidence in the assessment. Some scientific evidence and/or previous experience of somewhat similar situations is available.</w:t>
            </w:r>
          </w:p>
        </w:tc>
      </w:tr>
      <w:tr w:rsidR="00B20F1A" w:rsidRPr="002A6AA5" w14:paraId="3E5A36B7"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439098DD" w14:textId="2DFCA89A" w:rsidR="00B20F1A" w:rsidRPr="002A6AA5" w:rsidRDefault="00B20F1A" w:rsidP="00B20F1A">
            <w:pPr>
              <w:spacing w:after="70"/>
              <w:rPr>
                <w:rFonts w:cs="Times New Roman"/>
                <w:szCs w:val="20"/>
              </w:rPr>
            </w:pPr>
            <w:r w:rsidRPr="003F556E">
              <w:t>High (3)</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1D452244" w14:textId="0BDD9868" w:rsidR="00B20F1A" w:rsidRPr="002A6AA5" w:rsidRDefault="00B20F1A" w:rsidP="00B20F1A">
            <w:pPr>
              <w:spacing w:after="70"/>
              <w:rPr>
                <w:rFonts w:cs="Times New Roman"/>
                <w:szCs w:val="20"/>
              </w:rPr>
            </w:pPr>
            <w:r w:rsidRPr="00271A6A">
              <w:t xml:space="preserve">Limited level of confidence in the assessment. Scientific evidence and previous experience </w:t>
            </w:r>
            <w:r w:rsidR="00A61AFC" w:rsidRPr="00271A6A">
              <w:t>are</w:t>
            </w:r>
            <w:r w:rsidRPr="00271A6A">
              <w:t xml:space="preserve"> lacking; high degree of variation across the scenarios considered; high potential for variability in the outcomes.</w:t>
            </w:r>
          </w:p>
        </w:tc>
      </w:tr>
    </w:tbl>
    <w:p w14:paraId="2437D432" w14:textId="77777777" w:rsidR="00E25178" w:rsidRDefault="00E25178" w:rsidP="006433B2"/>
    <w:p w14:paraId="3F8A7889" w14:textId="72904870" w:rsidR="005E449C" w:rsidRDefault="005E449C" w:rsidP="005E449C">
      <w:pPr>
        <w:pStyle w:val="Heading4"/>
      </w:pPr>
      <w:r>
        <w:t>Likelihood assessment</w:t>
      </w:r>
    </w:p>
    <w:p w14:paraId="313C9D88" w14:textId="04126387" w:rsidR="00B20F1A" w:rsidRDefault="00B20F1A" w:rsidP="00B20F1A">
      <w:r>
        <w:t>The likelihood assessment comprised three components</w:t>
      </w:r>
      <w:r w:rsidR="008D4408">
        <w:t>: entry, exposure, susceptibility</w:t>
      </w:r>
      <w:r>
        <w:t>. With the first category (‘entry’)</w:t>
      </w:r>
      <w:r w:rsidR="005F4527">
        <w:t>,</w:t>
      </w:r>
      <w:r>
        <w:t xml:space="preserve"> we evaluated whether the pathogen is present in Victoria or alternatively, the likely risk of it being introduced and becoming established. With ‘exposure’</w:t>
      </w:r>
      <w:r w:rsidR="005F4527">
        <w:t xml:space="preserve">, </w:t>
      </w:r>
      <w:r>
        <w:t xml:space="preserve">we considered the geographical distribution (based on detected cases) of pathogens already present in Victoria, or, alternatively, the likelihood of them becoming widespread should they arrive in the state. </w:t>
      </w:r>
      <w:r w:rsidR="009D20E0">
        <w:t xml:space="preserve">This included consideration of </w:t>
      </w:r>
      <w:r w:rsidR="00C944D8">
        <w:t xml:space="preserve">whether </w:t>
      </w:r>
      <w:r>
        <w:t>the known (or potential) distribution of the pathogen would match the distribution of the wildlife host. With ‘susceptibility’</w:t>
      </w:r>
      <w:r w:rsidR="005F4527">
        <w:t xml:space="preserve">, </w:t>
      </w:r>
      <w:r>
        <w:t xml:space="preserve">we evaluated the degree to which there is certainty that the wildlife host species we considered are susceptible to the pathogen to facilitate establishment. </w:t>
      </w:r>
    </w:p>
    <w:p w14:paraId="6289446A" w14:textId="5080DBDA" w:rsidR="00DC2CF5" w:rsidRDefault="00B20F1A" w:rsidP="00B20F1A">
      <w:r>
        <w:t>The</w:t>
      </w:r>
      <w:r w:rsidR="00B05781">
        <w:t xml:space="preserve"> following </w:t>
      </w:r>
      <w:r w:rsidR="00B74F42">
        <w:t xml:space="preserve">descriptions and </w:t>
      </w:r>
      <w:r>
        <w:t>definitions</w:t>
      </w:r>
      <w:r w:rsidR="00B05781">
        <w:t xml:space="preserve"> </w:t>
      </w:r>
      <w:r>
        <w:t>were used to assign the likelihood scores</w:t>
      </w:r>
      <w:r w:rsidR="00B05781">
        <w:t xml:space="preserve"> (Table 3)</w:t>
      </w:r>
      <w:r w:rsidR="00BB6A2D">
        <w:t xml:space="preserve"> for each of the </w:t>
      </w:r>
      <w:r w:rsidR="00F837EC">
        <w:t xml:space="preserve">components </w:t>
      </w:r>
      <w:r w:rsidR="00243B75">
        <w:t>defined above (i.e. Entry, Exposure, Susceptibility – Table 1)</w:t>
      </w:r>
      <w:r>
        <w:t>. The final likelihood score was</w:t>
      </w:r>
      <w:r w:rsidR="00CE00BF">
        <w:t xml:space="preserve"> the</w:t>
      </w:r>
      <w:r w:rsidR="00BE3EC4">
        <w:t xml:space="preserve"> </w:t>
      </w:r>
      <w:r>
        <w:t>average</w:t>
      </w:r>
      <w:r w:rsidR="00CE00BF">
        <w:t xml:space="preserve"> of</w:t>
      </w:r>
      <w:r>
        <w:t xml:space="preserve"> the</w:t>
      </w:r>
      <w:r w:rsidR="00C93FAA">
        <w:t>se</w:t>
      </w:r>
      <w:r>
        <w:t xml:space="preserve"> three </w:t>
      </w:r>
      <w:r w:rsidR="005A001F">
        <w:t xml:space="preserve">likelihood </w:t>
      </w:r>
      <w:r w:rsidR="00D17A00">
        <w:t xml:space="preserve">scores </w:t>
      </w:r>
      <w:r>
        <w:t>and then rounded up or down as relevant.</w:t>
      </w:r>
    </w:p>
    <w:p w14:paraId="4B7EF0A1" w14:textId="03A60FA2" w:rsidR="005E449C" w:rsidRDefault="00B20F1A" w:rsidP="00B20F1A">
      <w:pPr>
        <w:pStyle w:val="Caption-Table"/>
      </w:pPr>
      <w:bookmarkStart w:id="42" w:name="_Ref169260987"/>
      <w:bookmarkStart w:id="43" w:name="_Toc198634135"/>
      <w:r>
        <w:t xml:space="preserve">Table </w:t>
      </w:r>
      <w:r>
        <w:fldChar w:fldCharType="begin"/>
      </w:r>
      <w:r>
        <w:instrText xml:space="preserve"> SEQ Table \* ARABIC </w:instrText>
      </w:r>
      <w:r>
        <w:fldChar w:fldCharType="separate"/>
      </w:r>
      <w:r w:rsidR="00A03F72">
        <w:rPr>
          <w:noProof/>
        </w:rPr>
        <w:t>3</w:t>
      </w:r>
      <w:r>
        <w:fldChar w:fldCharType="end"/>
      </w:r>
      <w:bookmarkEnd w:id="42"/>
      <w:r>
        <w:t xml:space="preserve">. </w:t>
      </w:r>
      <w:r w:rsidR="00E82185">
        <w:t>Descri</w:t>
      </w:r>
      <w:r w:rsidR="0043644E">
        <w:t xml:space="preserve">ptions and </w:t>
      </w:r>
      <w:r w:rsidRPr="002E78C6">
        <w:t xml:space="preserve">definitions of </w:t>
      </w:r>
      <w:r w:rsidR="00C4646C">
        <w:t xml:space="preserve">the </w:t>
      </w:r>
      <w:r w:rsidRPr="002E78C6">
        <w:t>likelihood</w:t>
      </w:r>
      <w:r w:rsidR="00C4646C">
        <w:t xml:space="preserve"> scores</w:t>
      </w:r>
      <w:r w:rsidRPr="002E78C6">
        <w:t>.</w:t>
      </w:r>
      <w:bookmarkEnd w:id="43"/>
    </w:p>
    <w:p w14:paraId="3A100DA4" w14:textId="77777777" w:rsidR="00B20F1A" w:rsidRPr="00B20F1A" w:rsidRDefault="00B20F1A" w:rsidP="00B20F1A">
      <w:pPr>
        <w:pStyle w:val="Legend-Table"/>
      </w:pPr>
      <w:r w:rsidRPr="00B20F1A">
        <w:t>Adapted from Cox-Witton</w:t>
      </w:r>
      <w:r w:rsidRPr="45490449">
        <w:rPr>
          <w:i/>
        </w:rPr>
        <w:t xml:space="preserve"> </w:t>
      </w:r>
      <w:r w:rsidRPr="00DA5824">
        <w:rPr>
          <w:iCs/>
        </w:rPr>
        <w:t>et al</w:t>
      </w:r>
      <w:r w:rsidRPr="45490449">
        <w:rPr>
          <w:i/>
        </w:rPr>
        <w:t>.</w:t>
      </w:r>
      <w:r w:rsidRPr="00B20F1A">
        <w:t xml:space="preserve"> (2021).</w:t>
      </w:r>
    </w:p>
    <w:tbl>
      <w:tblPr>
        <w:tblStyle w:val="TableGrid10"/>
        <w:tblW w:w="4727" w:type="pct"/>
        <w:tblLook w:val="02A0" w:firstRow="1" w:lastRow="0" w:firstColumn="1" w:lastColumn="0" w:noHBand="1" w:noVBand="0"/>
      </w:tblPr>
      <w:tblGrid>
        <w:gridCol w:w="4646"/>
        <w:gridCol w:w="4467"/>
      </w:tblGrid>
      <w:tr w:rsidR="00B20F1A" w:rsidRPr="002A6AA5" w14:paraId="2ACDA955" w14:textId="77777777" w:rsidTr="00DD3B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74C05EC8" w14:textId="77777777" w:rsidR="00B20F1A" w:rsidRPr="00B21AE2" w:rsidRDefault="00B20F1A" w:rsidP="00DA5824">
            <w:pPr>
              <w:pStyle w:val="Tableheadingtext"/>
            </w:pPr>
            <w:r w:rsidRPr="00B21AE2">
              <w:t>Description</w:t>
            </w:r>
          </w:p>
        </w:tc>
        <w:tc>
          <w:tcPr>
            <w:cnfStyle w:val="000010000000" w:firstRow="0" w:lastRow="0" w:firstColumn="0" w:lastColumn="0" w:oddVBand="1" w:evenVBand="0" w:oddHBand="0" w:evenHBand="0" w:firstRowFirstColumn="0" w:firstRowLastColumn="0" w:lastRowFirstColumn="0" w:lastRowLastColumn="0"/>
            <w:tcW w:w="0" w:type="pct"/>
          </w:tcPr>
          <w:p w14:paraId="13010FF3" w14:textId="77777777" w:rsidR="00B20F1A" w:rsidRPr="00B21AE2" w:rsidRDefault="00B20F1A" w:rsidP="00DA5824">
            <w:pPr>
              <w:pStyle w:val="Tableheadingtext"/>
            </w:pPr>
            <w:r w:rsidRPr="00B21AE2">
              <w:t>Definition</w:t>
            </w:r>
          </w:p>
        </w:tc>
      </w:tr>
      <w:tr w:rsidR="00B20F1A" w:rsidRPr="002A6AA5" w14:paraId="5A2199E0"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2EE5E35E" w14:textId="53B5F072" w:rsidR="00B20F1A" w:rsidRPr="002A6AA5" w:rsidRDefault="00B20F1A" w:rsidP="00B20F1A">
            <w:pPr>
              <w:spacing w:after="70"/>
              <w:rPr>
                <w:rFonts w:cs="Times New Roman"/>
                <w:szCs w:val="20"/>
              </w:rPr>
            </w:pPr>
            <w:r w:rsidRPr="00103A3B">
              <w:t>Negligible (1)</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44505D8C" w14:textId="4DA33D58" w:rsidR="00B20F1A" w:rsidRPr="002A6AA5" w:rsidRDefault="00B20F1A" w:rsidP="00B20F1A">
            <w:pPr>
              <w:spacing w:after="70"/>
              <w:rPr>
                <w:rFonts w:cs="Times New Roman"/>
                <w:szCs w:val="20"/>
              </w:rPr>
            </w:pPr>
            <w:r w:rsidRPr="00F8030A">
              <w:t>The event will almost certainly not occur</w:t>
            </w:r>
            <w:r w:rsidR="00CF11B7">
              <w:t>.</w:t>
            </w:r>
          </w:p>
        </w:tc>
      </w:tr>
      <w:tr w:rsidR="00B20F1A" w:rsidRPr="002A6AA5" w14:paraId="125E2DC2"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5619144B" w14:textId="05D62DB8" w:rsidR="00B20F1A" w:rsidRPr="002A6AA5" w:rsidRDefault="00B20F1A" w:rsidP="00B20F1A">
            <w:pPr>
              <w:spacing w:after="70"/>
              <w:rPr>
                <w:rFonts w:cs="Times New Roman"/>
                <w:szCs w:val="20"/>
              </w:rPr>
            </w:pPr>
            <w:r w:rsidRPr="00103A3B">
              <w:t>Extremely low (2)</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1B2C6CFF" w14:textId="2133FE47" w:rsidR="00B20F1A" w:rsidRPr="002A6AA5" w:rsidRDefault="00B20F1A" w:rsidP="00B20F1A">
            <w:pPr>
              <w:spacing w:after="70"/>
              <w:rPr>
                <w:rFonts w:cs="Times New Roman"/>
                <w:szCs w:val="20"/>
              </w:rPr>
            </w:pPr>
            <w:r w:rsidRPr="00F8030A">
              <w:t>The event would be extremely unlikely to occur</w:t>
            </w:r>
            <w:r w:rsidR="00CF11B7">
              <w:t>.</w:t>
            </w:r>
          </w:p>
        </w:tc>
      </w:tr>
      <w:tr w:rsidR="00B20F1A" w:rsidRPr="002A6AA5" w14:paraId="561996D9"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420E2B04" w14:textId="04A49954" w:rsidR="00B20F1A" w:rsidRPr="002A6AA5" w:rsidRDefault="00B20F1A" w:rsidP="00B20F1A">
            <w:pPr>
              <w:spacing w:after="70"/>
              <w:rPr>
                <w:rFonts w:cs="Times New Roman"/>
                <w:szCs w:val="20"/>
              </w:rPr>
            </w:pPr>
            <w:r w:rsidRPr="00103A3B">
              <w:t>Very low (3)</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3495137E" w14:textId="57A3067E" w:rsidR="00B20F1A" w:rsidRPr="002A6AA5" w:rsidRDefault="00B20F1A" w:rsidP="00B20F1A">
            <w:pPr>
              <w:spacing w:after="70"/>
              <w:rPr>
                <w:rFonts w:cs="Times New Roman"/>
                <w:szCs w:val="20"/>
              </w:rPr>
            </w:pPr>
            <w:r w:rsidRPr="00F8030A">
              <w:t>The event would be very unlikely to occur</w:t>
            </w:r>
            <w:r w:rsidR="00CF11B7">
              <w:t>.</w:t>
            </w:r>
          </w:p>
        </w:tc>
      </w:tr>
      <w:tr w:rsidR="00B20F1A" w:rsidRPr="002A6AA5" w14:paraId="4901CA9D"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06701FF5" w14:textId="399AE8CF" w:rsidR="00B20F1A" w:rsidRPr="003F556E" w:rsidRDefault="00B20F1A" w:rsidP="00B20F1A">
            <w:pPr>
              <w:spacing w:after="70"/>
            </w:pPr>
            <w:r w:rsidRPr="00103A3B">
              <w:t>Low (4)</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1686B606" w14:textId="4001B778" w:rsidR="00B20F1A" w:rsidRPr="00271A6A" w:rsidRDefault="00B20F1A" w:rsidP="00B20F1A">
            <w:pPr>
              <w:spacing w:after="70"/>
            </w:pPr>
            <w:r w:rsidRPr="00F8030A">
              <w:t>The event would be unlikely to occur</w:t>
            </w:r>
            <w:r w:rsidR="00CF11B7">
              <w:t>.</w:t>
            </w:r>
          </w:p>
        </w:tc>
      </w:tr>
      <w:tr w:rsidR="00B20F1A" w:rsidRPr="002A6AA5" w14:paraId="403C6E44"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4FFA92E7" w14:textId="06E21702" w:rsidR="00B20F1A" w:rsidRPr="003F556E" w:rsidRDefault="00B20F1A" w:rsidP="00B20F1A">
            <w:pPr>
              <w:spacing w:after="70"/>
            </w:pPr>
            <w:r w:rsidRPr="00103A3B">
              <w:t>Medium (5)</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5AE28CB2" w14:textId="4CE55C68" w:rsidR="00B20F1A" w:rsidRPr="00271A6A" w:rsidRDefault="00B20F1A" w:rsidP="00B20F1A">
            <w:pPr>
              <w:spacing w:after="70"/>
            </w:pPr>
            <w:r w:rsidRPr="00F8030A">
              <w:t>The event would be likely to occur</w:t>
            </w:r>
            <w:r w:rsidR="00CF11B7">
              <w:t>.</w:t>
            </w:r>
          </w:p>
        </w:tc>
      </w:tr>
      <w:tr w:rsidR="00B20F1A" w:rsidRPr="002A6AA5" w14:paraId="6381C40A"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6951E0D4" w14:textId="2A9957FB" w:rsidR="00B20F1A" w:rsidRPr="003F556E" w:rsidRDefault="00B20F1A" w:rsidP="00B20F1A">
            <w:pPr>
              <w:spacing w:after="70"/>
            </w:pPr>
            <w:r w:rsidRPr="00103A3B">
              <w:t>High (6)</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052B26F2" w14:textId="59C80B13" w:rsidR="00B20F1A" w:rsidRPr="00271A6A" w:rsidRDefault="00B20F1A" w:rsidP="00B20F1A">
            <w:pPr>
              <w:spacing w:after="70"/>
            </w:pPr>
            <w:r w:rsidRPr="00F8030A">
              <w:t>The event would be very likely to occur</w:t>
            </w:r>
            <w:r w:rsidR="00CF11B7">
              <w:t>.</w:t>
            </w:r>
          </w:p>
        </w:tc>
      </w:tr>
    </w:tbl>
    <w:p w14:paraId="0EDFC833" w14:textId="77777777" w:rsidR="00B20F1A" w:rsidRPr="00B20F1A" w:rsidRDefault="00B20F1A" w:rsidP="00B20F1A"/>
    <w:p w14:paraId="260C1EB5" w14:textId="69C9C59E" w:rsidR="005D37AD" w:rsidRDefault="005D37AD" w:rsidP="005D37AD">
      <w:pPr>
        <w:pStyle w:val="Heading4"/>
      </w:pPr>
      <w:r>
        <w:t>Consequence assessment</w:t>
      </w:r>
    </w:p>
    <w:p w14:paraId="6FD6CF70" w14:textId="7E163BA6" w:rsidR="00897341" w:rsidRDefault="00897341" w:rsidP="002F1F90">
      <w:r w:rsidRPr="00897341">
        <w:t>The consequence assessment describes the likely magnitude of</w:t>
      </w:r>
      <w:r w:rsidR="00EA0C10">
        <w:t xml:space="preserve"> potential consequences for</w:t>
      </w:r>
      <w:r w:rsidR="00C944D8">
        <w:t xml:space="preserve"> </w:t>
      </w:r>
      <w:r w:rsidRPr="00897341">
        <w:t xml:space="preserve">a given exposure. The key consequence </w:t>
      </w:r>
      <w:r w:rsidR="0031187A">
        <w:t xml:space="preserve">categories </w:t>
      </w:r>
      <w:r w:rsidRPr="00897341">
        <w:t xml:space="preserve">examined were conservation and economic. The </w:t>
      </w:r>
      <w:r w:rsidR="001B34FD">
        <w:t>d</w:t>
      </w:r>
      <w:r w:rsidR="004215E7">
        <w:t xml:space="preserve">escriptions and </w:t>
      </w:r>
      <w:r w:rsidRPr="00897341">
        <w:t xml:space="preserve">definitions in </w:t>
      </w:r>
      <w:r>
        <w:fldChar w:fldCharType="begin"/>
      </w:r>
      <w:r>
        <w:instrText xml:space="preserve"> REF _Ref169264580 </w:instrText>
      </w:r>
      <w:r>
        <w:fldChar w:fldCharType="separate"/>
      </w:r>
      <w:r w:rsidR="00A03F72">
        <w:t xml:space="preserve">Table </w:t>
      </w:r>
      <w:r w:rsidR="00A03F72">
        <w:rPr>
          <w:noProof/>
        </w:rPr>
        <w:t>4</w:t>
      </w:r>
      <w:r>
        <w:fldChar w:fldCharType="end"/>
      </w:r>
      <w:r w:rsidRPr="00897341">
        <w:t xml:space="preserve"> were used to assign the </w:t>
      </w:r>
      <w:r w:rsidR="001B34FD">
        <w:t xml:space="preserve">consequence </w:t>
      </w:r>
      <w:r w:rsidRPr="00897341">
        <w:t>scores. Economic considerations included control and eradication, surveillance and monitoring</w:t>
      </w:r>
      <w:r w:rsidR="00C944D8">
        <w:t xml:space="preserve"> or other</w:t>
      </w:r>
      <w:r w:rsidR="00C944D8" w:rsidRPr="00897341">
        <w:t xml:space="preserve"> biosecurity activities</w:t>
      </w:r>
      <w:r w:rsidRPr="00897341">
        <w:t xml:space="preserve">, </w:t>
      </w:r>
      <w:r w:rsidR="00C944D8">
        <w:t xml:space="preserve">as well as </w:t>
      </w:r>
      <w:r w:rsidRPr="00897341">
        <w:t>trade</w:t>
      </w:r>
      <w:r>
        <w:t xml:space="preserve"> or tourism</w:t>
      </w:r>
      <w:r w:rsidRPr="00897341">
        <w:t xml:space="preserve"> losses.</w:t>
      </w:r>
      <w:r w:rsidR="00AA5C5C">
        <w:t xml:space="preserve"> In each case, </w:t>
      </w:r>
      <w:r w:rsidR="00303D3F">
        <w:t xml:space="preserve">conservation and economic consequences were assessed separately for each pathogen/host combination, along with </w:t>
      </w:r>
      <w:r w:rsidR="00B57423">
        <w:t>the associated level of uncertainty.</w:t>
      </w:r>
    </w:p>
    <w:p w14:paraId="095EA482" w14:textId="77777777" w:rsidR="00C944D8" w:rsidRDefault="00C944D8" w:rsidP="002F1F90"/>
    <w:p w14:paraId="388C7176" w14:textId="77777777" w:rsidR="00CF11B7" w:rsidRDefault="00CF11B7" w:rsidP="002F1F90"/>
    <w:p w14:paraId="4400305A" w14:textId="5AA9070C" w:rsidR="00897341" w:rsidRDefault="00897341" w:rsidP="006433B2">
      <w:pPr>
        <w:pStyle w:val="Caption-Table"/>
      </w:pPr>
      <w:bookmarkStart w:id="44" w:name="_Ref169264580"/>
      <w:bookmarkStart w:id="45" w:name="_Toc198634136"/>
      <w:r>
        <w:lastRenderedPageBreak/>
        <w:t xml:space="preserve">Table </w:t>
      </w:r>
      <w:r>
        <w:fldChar w:fldCharType="begin"/>
      </w:r>
      <w:r>
        <w:instrText xml:space="preserve"> SEQ Table \* ARABIC </w:instrText>
      </w:r>
      <w:r>
        <w:fldChar w:fldCharType="separate"/>
      </w:r>
      <w:r w:rsidR="00A03F72">
        <w:rPr>
          <w:noProof/>
        </w:rPr>
        <w:t>4</w:t>
      </w:r>
      <w:r>
        <w:fldChar w:fldCharType="end"/>
      </w:r>
      <w:bookmarkEnd w:id="44"/>
      <w:r>
        <w:t xml:space="preserve">. </w:t>
      </w:r>
      <w:r w:rsidR="004215E7">
        <w:t>Descriptions</w:t>
      </w:r>
      <w:r w:rsidRPr="00946DF8">
        <w:t xml:space="preserve"> and definitions of consequence</w:t>
      </w:r>
      <w:r w:rsidR="004215E7">
        <w:t xml:space="preserve"> scores.</w:t>
      </w:r>
      <w:bookmarkEnd w:id="45"/>
    </w:p>
    <w:p w14:paraId="564BB69C" w14:textId="670643CD" w:rsidR="00897341" w:rsidRPr="00B20F1A" w:rsidRDefault="00897341" w:rsidP="00897341">
      <w:pPr>
        <w:pStyle w:val="Legend-Table"/>
      </w:pPr>
      <w:r w:rsidRPr="00B20F1A">
        <w:t xml:space="preserve">Adapted from Cox-Witton </w:t>
      </w:r>
      <w:r w:rsidRPr="00DA5824">
        <w:rPr>
          <w:iCs/>
        </w:rPr>
        <w:t>et al.</w:t>
      </w:r>
      <w:r w:rsidRPr="00B20F1A">
        <w:t xml:space="preserve"> (2021)</w:t>
      </w:r>
      <w:r>
        <w:t xml:space="preserve"> </w:t>
      </w:r>
      <w:r w:rsidRPr="00897341">
        <w:t>and the</w:t>
      </w:r>
      <w:r w:rsidR="00935B3C">
        <w:t xml:space="preserve"> D</w:t>
      </w:r>
      <w:r w:rsidR="00672F2F">
        <w:t>A</w:t>
      </w:r>
      <w:r w:rsidR="00935B3C">
        <w:t>W</w:t>
      </w:r>
      <w:r w:rsidRPr="00897341">
        <w:t xml:space="preserve"> </w:t>
      </w:r>
      <w:r w:rsidR="00A443DD">
        <w:fldChar w:fldCharType="begin"/>
      </w:r>
      <w:r w:rsidR="00676AD4">
        <w:instrText xml:space="preserve"> ADDIN ZOTERO_ITEM CSL_CITATION {"citationID":"LwzouZn9","properties":{"formattedCitation":"(2016)","plainCitation":"(2016)","noteIndex":0},"citationItems":[{"id":9686,"uris":["http://zotero.org/users/634364/items/M9JAKCI9"],"itemData":{"id":9686,"type":"report","publisher":"Australian Department of Agriculture and Water Resources report","title":"Biosecurity import risk analysis guidelines 2016: managing biosecurity risks for imports into Australia","URL":"https://www.agriculture.gov.au/biosecurity-trade/policy/risk-analysis/guidelines","author":[{"family":"DAW","given":""}],"accessed":{"date-parts":[["2024",1,20]]},"issued":{"date-parts":[["2016"]]}},"label":"page","suppress-author":true}],"schema":"https://github.com/citation-style-language/schema/raw/master/csl-citation.json"} </w:instrText>
      </w:r>
      <w:r w:rsidR="00A443DD">
        <w:fldChar w:fldCharType="separate"/>
      </w:r>
      <w:r w:rsidR="009F541F" w:rsidRPr="009F541F">
        <w:t>(2016)</w:t>
      </w:r>
      <w:r w:rsidR="00A443DD">
        <w:fldChar w:fldCharType="end"/>
      </w:r>
      <w:r w:rsidRPr="00897341">
        <w:t>.</w:t>
      </w:r>
    </w:p>
    <w:tbl>
      <w:tblPr>
        <w:tblStyle w:val="TableGrid10"/>
        <w:tblW w:w="4727" w:type="pct"/>
        <w:tblLook w:val="02A0" w:firstRow="1" w:lastRow="0" w:firstColumn="1" w:lastColumn="0" w:noHBand="1" w:noVBand="0"/>
      </w:tblPr>
      <w:tblGrid>
        <w:gridCol w:w="4551"/>
        <w:gridCol w:w="4562"/>
      </w:tblGrid>
      <w:tr w:rsidR="00897341" w:rsidRPr="002A6AA5" w14:paraId="01F8C623" w14:textId="77777777" w:rsidTr="00DD3B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31A972F6" w14:textId="77777777" w:rsidR="00897341" w:rsidRPr="002A6AA5" w:rsidRDefault="00897341" w:rsidP="00DA5824">
            <w:pPr>
              <w:pStyle w:val="Tableheadingtext"/>
            </w:pPr>
            <w:r w:rsidRPr="00B21AE2">
              <w:t>Description</w:t>
            </w:r>
          </w:p>
        </w:tc>
        <w:tc>
          <w:tcPr>
            <w:cnfStyle w:val="000010000000" w:firstRow="0" w:lastRow="0" w:firstColumn="0" w:lastColumn="0" w:oddVBand="1" w:evenVBand="0" w:oddHBand="0" w:evenHBand="0" w:firstRowFirstColumn="0" w:firstRowLastColumn="0" w:lastRowFirstColumn="0" w:lastRowLastColumn="0"/>
            <w:tcW w:w="0" w:type="pct"/>
          </w:tcPr>
          <w:p w14:paraId="4CAC1D9C" w14:textId="77777777" w:rsidR="00897341" w:rsidRPr="002A6AA5" w:rsidRDefault="00897341" w:rsidP="00DA5824">
            <w:pPr>
              <w:pStyle w:val="Tableheadingtext"/>
            </w:pPr>
            <w:r w:rsidRPr="00B21AE2">
              <w:t>Definition</w:t>
            </w:r>
          </w:p>
        </w:tc>
      </w:tr>
      <w:tr w:rsidR="00897341" w:rsidRPr="002A6AA5" w14:paraId="752F7341"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3FD5E5BC" w14:textId="24DFCF40" w:rsidR="00897341" w:rsidRPr="002A6AA5" w:rsidRDefault="00897341" w:rsidP="00897341">
            <w:pPr>
              <w:spacing w:after="70"/>
              <w:rPr>
                <w:rFonts w:cs="Times New Roman"/>
                <w:szCs w:val="20"/>
              </w:rPr>
            </w:pPr>
            <w:r w:rsidRPr="00861EC9">
              <w:t>Negligible (1)</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0BDB3FE9" w14:textId="2833C6B6" w:rsidR="00897341" w:rsidRPr="002A6AA5" w:rsidRDefault="00897341" w:rsidP="00897341">
            <w:pPr>
              <w:spacing w:after="70"/>
              <w:rPr>
                <w:rFonts w:cs="Times New Roman"/>
                <w:szCs w:val="20"/>
              </w:rPr>
            </w:pPr>
            <w:r w:rsidRPr="00252762">
              <w:t xml:space="preserve">No detectable conservation </w:t>
            </w:r>
            <w:r w:rsidR="0019353F">
              <w:t>or</w:t>
            </w:r>
            <w:r w:rsidRPr="00252762">
              <w:t xml:space="preserve"> economic impacts.</w:t>
            </w:r>
          </w:p>
        </w:tc>
      </w:tr>
      <w:tr w:rsidR="00897341" w:rsidRPr="002A6AA5" w14:paraId="3B64E391"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38658BDC" w14:textId="64483D88" w:rsidR="00897341" w:rsidRPr="002A6AA5" w:rsidRDefault="00897341" w:rsidP="00897341">
            <w:pPr>
              <w:spacing w:after="70"/>
              <w:rPr>
                <w:rFonts w:cs="Times New Roman"/>
                <w:szCs w:val="20"/>
              </w:rPr>
            </w:pPr>
            <w:r w:rsidRPr="00861EC9">
              <w:t>Very minor (2)</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2AB34B84" w14:textId="655AF1A2" w:rsidR="00897341" w:rsidRPr="002A6AA5" w:rsidRDefault="0096056A" w:rsidP="0096056A">
            <w:pPr>
              <w:spacing w:after="70"/>
              <w:rPr>
                <w:rFonts w:cs="Times New Roman"/>
                <w:szCs w:val="20"/>
              </w:rPr>
            </w:pPr>
            <w:r w:rsidRPr="0096056A">
              <w:rPr>
                <w:rFonts w:cs="Times New Roman"/>
                <w:szCs w:val="20"/>
              </w:rPr>
              <w:t>Local short-term population loss, no significant ecosystem effect.</w:t>
            </w:r>
            <w:r>
              <w:rPr>
                <w:rFonts w:cs="Times New Roman"/>
                <w:szCs w:val="20"/>
              </w:rPr>
              <w:t xml:space="preserve"> </w:t>
            </w:r>
            <w:r w:rsidRPr="0096056A">
              <w:rPr>
                <w:rFonts w:cs="Times New Roman"/>
                <w:szCs w:val="20"/>
              </w:rPr>
              <w:t>Minor economic impact.</w:t>
            </w:r>
          </w:p>
        </w:tc>
      </w:tr>
      <w:tr w:rsidR="00897341" w:rsidRPr="002A6AA5" w14:paraId="141CCF12"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287AF8A2" w14:textId="7A7A8D3E" w:rsidR="00897341" w:rsidRPr="002A6AA5" w:rsidRDefault="00897341" w:rsidP="00897341">
            <w:pPr>
              <w:spacing w:after="70"/>
              <w:rPr>
                <w:rFonts w:cs="Times New Roman"/>
                <w:szCs w:val="20"/>
              </w:rPr>
            </w:pPr>
            <w:r w:rsidRPr="00861EC9">
              <w:t>Low (3)</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10A13938" w14:textId="02730892" w:rsidR="00897341" w:rsidRPr="002A6AA5" w:rsidRDefault="00143CD0" w:rsidP="00143CD0">
            <w:pPr>
              <w:spacing w:after="70"/>
              <w:rPr>
                <w:rFonts w:cs="Times New Roman"/>
                <w:szCs w:val="20"/>
              </w:rPr>
            </w:pPr>
            <w:r w:rsidRPr="00143CD0">
              <w:rPr>
                <w:rFonts w:cs="Times New Roman"/>
                <w:szCs w:val="20"/>
              </w:rPr>
              <w:t>Some localised, reversible ecosystem impact.</w:t>
            </w:r>
            <w:r>
              <w:rPr>
                <w:rFonts w:cs="Times New Roman"/>
                <w:szCs w:val="20"/>
              </w:rPr>
              <w:t xml:space="preserve"> </w:t>
            </w:r>
            <w:r w:rsidRPr="00143CD0">
              <w:rPr>
                <w:rFonts w:cs="Times New Roman"/>
                <w:szCs w:val="20"/>
              </w:rPr>
              <w:t>Low economic impact.</w:t>
            </w:r>
          </w:p>
        </w:tc>
      </w:tr>
      <w:tr w:rsidR="00897341" w:rsidRPr="002A6AA5" w14:paraId="46C8B1C9"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3040A215" w14:textId="1A04F782" w:rsidR="00897341" w:rsidRPr="003F556E" w:rsidRDefault="00897341" w:rsidP="00897341">
            <w:pPr>
              <w:spacing w:after="70"/>
            </w:pPr>
            <w:r w:rsidRPr="00861EC9">
              <w:t>Moderate (4)</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3A96D07A" w14:textId="121C7CD1" w:rsidR="00897341" w:rsidRPr="00271A6A" w:rsidRDefault="00143CD0" w:rsidP="00143CD0">
            <w:pPr>
              <w:spacing w:after="70"/>
            </w:pPr>
            <w:r>
              <w:t>Measurable long-term damage to populations and/or ecosystem, but little spread, no extinction. Moderate economic impact.</w:t>
            </w:r>
          </w:p>
        </w:tc>
      </w:tr>
      <w:tr w:rsidR="00897341" w:rsidRPr="002A6AA5" w14:paraId="36962D63"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1C594137" w14:textId="1F1B427C" w:rsidR="00897341" w:rsidRPr="003F556E" w:rsidRDefault="00897341" w:rsidP="00897341">
            <w:pPr>
              <w:spacing w:after="70"/>
            </w:pPr>
            <w:r w:rsidRPr="00861EC9">
              <w:t>High (5)</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2727A29D" w14:textId="49B58314" w:rsidR="00897341" w:rsidRPr="00271A6A" w:rsidRDefault="00582B18" w:rsidP="00582B18">
            <w:pPr>
              <w:spacing w:after="70"/>
            </w:pPr>
            <w:r>
              <w:t>Long-term irreversible ecosystem change, spreading beyond local area. Significant economic impact.</w:t>
            </w:r>
          </w:p>
        </w:tc>
      </w:tr>
      <w:tr w:rsidR="00897341" w:rsidRPr="002A6AA5" w14:paraId="7A12FD79" w14:textId="77777777" w:rsidTr="00DD3B3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3A580C53" w14:textId="68625167" w:rsidR="00897341" w:rsidRPr="003F556E" w:rsidRDefault="00897341" w:rsidP="00897341">
            <w:pPr>
              <w:spacing w:after="70"/>
            </w:pPr>
            <w:r w:rsidRPr="00861EC9">
              <w:t>Catastrophic (6)</w:t>
            </w:r>
          </w:p>
        </w:tc>
        <w:tc>
          <w:tcPr>
            <w:cnfStyle w:val="000010000000" w:firstRow="0" w:lastRow="0" w:firstColumn="0" w:lastColumn="0" w:oddVBand="1" w:evenVBand="0" w:oddHBand="0" w:evenHBand="0" w:firstRowFirstColumn="0" w:firstRowLastColumn="0" w:lastRowFirstColumn="0" w:lastRowLastColumn="0"/>
            <w:tcW w:w="0" w:type="pct"/>
            <w:shd w:val="clear" w:color="auto" w:fill="auto"/>
          </w:tcPr>
          <w:p w14:paraId="5EDDB26E" w14:textId="49016515" w:rsidR="00897341" w:rsidRPr="00271A6A" w:rsidRDefault="00582B18" w:rsidP="00582B18">
            <w:pPr>
              <w:spacing w:after="70"/>
            </w:pPr>
            <w:r>
              <w:t>Widespread, long-term population loss affecting several species OR extinction of a species</w:t>
            </w:r>
            <w:r w:rsidR="00113A3B">
              <w:t>.</w:t>
            </w:r>
            <w:r>
              <w:t xml:space="preserve"> </w:t>
            </w:r>
            <w:r w:rsidR="00113A3B">
              <w:t>S</w:t>
            </w:r>
            <w:r>
              <w:t>erious ecosystem effects. Severe economic impact.</w:t>
            </w:r>
          </w:p>
        </w:tc>
      </w:tr>
    </w:tbl>
    <w:p w14:paraId="33D3BD8D" w14:textId="77777777" w:rsidR="00897341" w:rsidRDefault="00897341" w:rsidP="002F1F90"/>
    <w:p w14:paraId="31827ED3" w14:textId="68F199AA" w:rsidR="00897341" w:rsidRDefault="00897341" w:rsidP="00897341">
      <w:pPr>
        <w:pStyle w:val="Heading4"/>
      </w:pPr>
      <w:r>
        <w:t>Disease risk assessment</w:t>
      </w:r>
    </w:p>
    <w:p w14:paraId="493E4CAC" w14:textId="6B681CE2" w:rsidR="004D2DFF" w:rsidRDefault="00897341" w:rsidP="002F1F90">
      <w:r>
        <w:t>The assessment</w:t>
      </w:r>
      <w:r w:rsidR="00726709">
        <w:t>s</w:t>
      </w:r>
      <w:r>
        <w:t xml:space="preserve"> w</w:t>
      </w:r>
      <w:r w:rsidR="00726709">
        <w:t>ere</w:t>
      </w:r>
      <w:r>
        <w:t xml:space="preserve"> undertaken by a group of </w:t>
      </w:r>
      <w:r w:rsidR="00C944D8">
        <w:t>10</w:t>
      </w:r>
      <w:r>
        <w:t xml:space="preserve"> assessors with expertise in veterinary epidemiology, wildlife health, disease ecology, and disease risk assessments. </w:t>
      </w:r>
      <w:r w:rsidR="00726709">
        <w:t xml:space="preserve">Assessors were split into groups to align with their expertise on specific taxon groups (e.g. mammals, birds, amphibians, reptiles). </w:t>
      </w:r>
      <w:r>
        <w:t>The WDRA was undertaken</w:t>
      </w:r>
      <w:r w:rsidR="008E572A">
        <w:t xml:space="preserve"> between</w:t>
      </w:r>
      <w:r>
        <w:t xml:space="preserve"> January </w:t>
      </w:r>
      <w:r w:rsidR="008E572A">
        <w:t>and</w:t>
      </w:r>
      <w:r>
        <w:t xml:space="preserve"> June 2024 using data </w:t>
      </w:r>
      <w:r w:rsidR="008E2C76">
        <w:t xml:space="preserve">and expert knowledge </w:t>
      </w:r>
      <w:r>
        <w:t xml:space="preserve">available at the time. As described above, experts assigned a </w:t>
      </w:r>
      <w:r w:rsidR="00FA3993">
        <w:t>likeli</w:t>
      </w:r>
      <w:r w:rsidR="003A64A1">
        <w:t>hood description</w:t>
      </w:r>
      <w:r w:rsidR="00854863">
        <w:t>,</w:t>
      </w:r>
      <w:r w:rsidR="003A64A1">
        <w:t xml:space="preserve"> and its </w:t>
      </w:r>
      <w:r w:rsidR="00854863">
        <w:t xml:space="preserve">associated </w:t>
      </w:r>
      <w:r>
        <w:t>numerical value</w:t>
      </w:r>
      <w:r w:rsidR="00854863">
        <w:t>,</w:t>
      </w:r>
      <w:r>
        <w:t xml:space="preserve"> to each of the likelihood and consequence assessments. Combining the results from the likelihood and consequence assessments, a final risk rating was obtained to examine the overall risk of each hazard. </w:t>
      </w:r>
      <w:r>
        <w:fldChar w:fldCharType="begin"/>
      </w:r>
      <w:r>
        <w:instrText xml:space="preserve"> REF _Ref169264858 </w:instrText>
      </w:r>
      <w:r>
        <w:fldChar w:fldCharType="separate"/>
      </w:r>
      <w:r w:rsidR="00A03F72">
        <w:t xml:space="preserve">Table </w:t>
      </w:r>
      <w:r w:rsidR="00A03F72">
        <w:rPr>
          <w:noProof/>
        </w:rPr>
        <w:t>5</w:t>
      </w:r>
      <w:r>
        <w:fldChar w:fldCharType="end"/>
      </w:r>
      <w:r>
        <w:t xml:space="preserve"> details the risk rating categories, using a risk matrix</w:t>
      </w:r>
      <w:r w:rsidR="00431AF7">
        <w:t xml:space="preserve">. </w:t>
      </w:r>
      <w:r w:rsidR="00C944D8">
        <w:t>This was applied to both conservation and economic consequences.</w:t>
      </w:r>
    </w:p>
    <w:p w14:paraId="461A0C45" w14:textId="6E1C70E2" w:rsidR="00897341" w:rsidRDefault="00897341" w:rsidP="00897341">
      <w:pPr>
        <w:pStyle w:val="Caption-Table"/>
      </w:pPr>
      <w:bookmarkStart w:id="46" w:name="_Ref169264858"/>
      <w:bookmarkStart w:id="47" w:name="_Toc198634137"/>
      <w:r>
        <w:t xml:space="preserve">Table </w:t>
      </w:r>
      <w:r>
        <w:fldChar w:fldCharType="begin"/>
      </w:r>
      <w:r>
        <w:instrText xml:space="preserve"> SEQ Table \* ARABIC </w:instrText>
      </w:r>
      <w:r>
        <w:fldChar w:fldCharType="separate"/>
      </w:r>
      <w:r w:rsidR="00A03F72">
        <w:rPr>
          <w:noProof/>
        </w:rPr>
        <w:t>5</w:t>
      </w:r>
      <w:r>
        <w:fldChar w:fldCharType="end"/>
      </w:r>
      <w:bookmarkEnd w:id="46"/>
      <w:r>
        <w:t>. Risk matrix</w:t>
      </w:r>
      <w:r w:rsidR="00013E00">
        <w:t>.</w:t>
      </w:r>
      <w:bookmarkEnd w:id="47"/>
    </w:p>
    <w:p w14:paraId="1E1E4A1B" w14:textId="5A0C8041" w:rsidR="00897341" w:rsidRPr="00B20F1A" w:rsidRDefault="00897341" w:rsidP="00897341">
      <w:pPr>
        <w:pStyle w:val="Legend-Table"/>
      </w:pPr>
      <w:r>
        <w:t xml:space="preserve">Adapted from </w:t>
      </w:r>
      <w:r w:rsidRPr="00897341">
        <w:t>D</w:t>
      </w:r>
      <w:r w:rsidR="00995198">
        <w:t>AW</w:t>
      </w:r>
      <w:r w:rsidRPr="00897341">
        <w:t xml:space="preserve"> (2016).</w:t>
      </w:r>
    </w:p>
    <w:tbl>
      <w:tblPr>
        <w:tblStyle w:val="TableGrid10"/>
        <w:tblW w:w="0" w:type="auto"/>
        <w:tblLayout w:type="fixed"/>
        <w:tblLook w:val="01E0" w:firstRow="1" w:lastRow="1" w:firstColumn="1" w:lastColumn="1" w:noHBand="0" w:noVBand="0"/>
      </w:tblPr>
      <w:tblGrid>
        <w:gridCol w:w="1425"/>
        <w:gridCol w:w="1387"/>
        <w:gridCol w:w="1387"/>
        <w:gridCol w:w="1387"/>
        <w:gridCol w:w="1387"/>
        <w:gridCol w:w="1387"/>
        <w:gridCol w:w="1387"/>
      </w:tblGrid>
      <w:tr w:rsidR="00897341" w:rsidRPr="00243764" w14:paraId="7C81EC14" w14:textId="77777777" w:rsidTr="00270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75A4439" w14:textId="77777777" w:rsidR="00897341" w:rsidRPr="00243764" w:rsidRDefault="00897341">
            <w:pPr>
              <w:pStyle w:val="Tableheadingtext"/>
            </w:pPr>
            <w:r>
              <w:t xml:space="preserve">Likelihood </w:t>
            </w:r>
          </w:p>
        </w:tc>
        <w:tc>
          <w:tcPr>
            <w:cnfStyle w:val="000010000000" w:firstRow="0" w:lastRow="0" w:firstColumn="0" w:lastColumn="0" w:oddVBand="1" w:evenVBand="0" w:oddHBand="0" w:evenHBand="0" w:firstRowFirstColumn="0" w:firstRowLastColumn="0" w:lastRowFirstColumn="0" w:lastRowLastColumn="0"/>
            <w:tcW w:w="0" w:type="dxa"/>
            <w:gridSpan w:val="3"/>
          </w:tcPr>
          <w:p w14:paraId="4CF7F39B" w14:textId="77777777" w:rsidR="00897341" w:rsidRDefault="00897341">
            <w:pPr>
              <w:pStyle w:val="Tableheadingtext"/>
              <w:rPr>
                <w:szCs w:val="22"/>
              </w:rPr>
            </w:pPr>
            <w:r>
              <w:rPr>
                <w:szCs w:val="22"/>
              </w:rPr>
              <w:t>Consequence</w:t>
            </w:r>
          </w:p>
        </w:tc>
        <w:tc>
          <w:tcPr>
            <w:tcW w:w="0" w:type="dxa"/>
          </w:tcPr>
          <w:p w14:paraId="5F49644A" w14:textId="77777777" w:rsidR="00897341" w:rsidRDefault="00897341">
            <w:pPr>
              <w:pStyle w:val="Tableheadingtext"/>
              <w:cnfStyle w:val="100000000000" w:firstRow="1" w:lastRow="0" w:firstColumn="0" w:lastColumn="0" w:oddVBand="0" w:evenVBand="0" w:oddHBand="0" w:evenHBand="0" w:firstRowFirstColumn="0" w:firstRowLastColumn="0" w:lastRowFirstColumn="0" w:lastRowLastColumn="0"/>
              <w:rPr>
                <w:szCs w:val="22"/>
              </w:rPr>
            </w:pPr>
          </w:p>
        </w:tc>
        <w:tc>
          <w:tcPr>
            <w:cnfStyle w:val="000010000000" w:firstRow="0" w:lastRow="0" w:firstColumn="0" w:lastColumn="0" w:oddVBand="1" w:evenVBand="0" w:oddHBand="0" w:evenHBand="0" w:firstRowFirstColumn="0" w:firstRowLastColumn="0" w:lastRowFirstColumn="0" w:lastRowLastColumn="0"/>
            <w:tcW w:w="0" w:type="dxa"/>
          </w:tcPr>
          <w:p w14:paraId="1D9942B4" w14:textId="77777777" w:rsidR="00897341" w:rsidRDefault="00897341">
            <w:pPr>
              <w:pStyle w:val="Tableheadingtext"/>
              <w:rPr>
                <w:szCs w:val="22"/>
              </w:rPr>
            </w:pPr>
          </w:p>
        </w:tc>
        <w:tc>
          <w:tcPr>
            <w:tcW w:w="0" w:type="dxa"/>
          </w:tcPr>
          <w:p w14:paraId="1BA0A260" w14:textId="77777777" w:rsidR="00897341" w:rsidRDefault="00897341">
            <w:pPr>
              <w:pStyle w:val="Tableheadingtext"/>
              <w:cnfStyle w:val="100000000000" w:firstRow="1" w:lastRow="0" w:firstColumn="0" w:lastColumn="0" w:oddVBand="0" w:evenVBand="0" w:oddHBand="0" w:evenHBand="0" w:firstRowFirstColumn="0" w:firstRowLastColumn="0" w:lastRowFirstColumn="0" w:lastRowLastColumn="0"/>
              <w:rPr>
                <w:szCs w:val="22"/>
              </w:rPr>
            </w:pPr>
          </w:p>
        </w:tc>
      </w:tr>
      <w:tr w:rsidR="00897341" w:rsidRPr="00243764" w14:paraId="623E72B4" w14:textId="77777777" w:rsidTr="00270D41">
        <w:tc>
          <w:tcPr>
            <w:cnfStyle w:val="001000000000" w:firstRow="0" w:lastRow="0" w:firstColumn="1" w:lastColumn="0" w:oddVBand="0" w:evenVBand="0" w:oddHBand="0" w:evenHBand="0" w:firstRowFirstColumn="0" w:firstRowLastColumn="0" w:lastRowFirstColumn="0" w:lastRowLastColumn="0"/>
            <w:tcW w:w="0" w:type="dxa"/>
          </w:tcPr>
          <w:p w14:paraId="1F4AA5BE" w14:textId="77777777" w:rsidR="00897341" w:rsidRPr="00897341" w:rsidRDefault="00897341" w:rsidP="00897341">
            <w:pPr>
              <w:pStyle w:val="Tablebodytext"/>
            </w:pP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0DC521D9" w14:textId="77777777" w:rsidR="00897341" w:rsidRPr="00897341" w:rsidRDefault="00897341" w:rsidP="00897341">
            <w:pPr>
              <w:pStyle w:val="Tablebodytext"/>
            </w:pPr>
            <w:r w:rsidRPr="00897341">
              <w:t xml:space="preserve">Negligible </w:t>
            </w:r>
          </w:p>
        </w:tc>
        <w:tc>
          <w:tcPr>
            <w:tcW w:w="0" w:type="dxa"/>
            <w:shd w:val="clear" w:color="auto" w:fill="auto"/>
          </w:tcPr>
          <w:p w14:paraId="5EB041AB"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Very minor</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2AD43409" w14:textId="77777777" w:rsidR="00897341" w:rsidRPr="00897341" w:rsidRDefault="00897341" w:rsidP="00897341">
            <w:pPr>
              <w:pStyle w:val="Tablebodytext"/>
            </w:pPr>
            <w:r w:rsidRPr="00897341">
              <w:t>Low</w:t>
            </w:r>
          </w:p>
        </w:tc>
        <w:tc>
          <w:tcPr>
            <w:tcW w:w="0" w:type="dxa"/>
            <w:shd w:val="clear" w:color="auto" w:fill="auto"/>
          </w:tcPr>
          <w:p w14:paraId="29DCFADD"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Moderate</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D90AF9A" w14:textId="77777777" w:rsidR="00897341" w:rsidRPr="00897341" w:rsidRDefault="00897341" w:rsidP="00897341">
            <w:pPr>
              <w:pStyle w:val="Tablebodytext"/>
            </w:pPr>
            <w:r w:rsidRPr="00897341">
              <w:t>High</w:t>
            </w:r>
          </w:p>
        </w:tc>
        <w:tc>
          <w:tcPr>
            <w:tcW w:w="0" w:type="dxa"/>
            <w:shd w:val="clear" w:color="auto" w:fill="auto"/>
          </w:tcPr>
          <w:p w14:paraId="52AD6D14"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Catastrophic</w:t>
            </w:r>
          </w:p>
        </w:tc>
      </w:tr>
      <w:tr w:rsidR="00410D13" w:rsidRPr="00243764" w14:paraId="21A0464A" w14:textId="77777777" w:rsidTr="00897341">
        <w:tc>
          <w:tcPr>
            <w:cnfStyle w:val="001000000000" w:firstRow="0" w:lastRow="0" w:firstColumn="1" w:lastColumn="0" w:oddVBand="0" w:evenVBand="0" w:oddHBand="0" w:evenHBand="0" w:firstRowFirstColumn="0" w:firstRowLastColumn="0" w:lastRowFirstColumn="0" w:lastRowLastColumn="0"/>
            <w:tcW w:w="1425" w:type="dxa"/>
          </w:tcPr>
          <w:p w14:paraId="10C34673" w14:textId="77777777" w:rsidR="00897341" w:rsidRPr="00897341" w:rsidRDefault="00897341" w:rsidP="00897341">
            <w:pPr>
              <w:pStyle w:val="Tablebodytext"/>
            </w:pPr>
            <w:r w:rsidRPr="00897341">
              <w:t>High</w:t>
            </w:r>
          </w:p>
        </w:tc>
        <w:tc>
          <w:tcPr>
            <w:cnfStyle w:val="000010000000" w:firstRow="0" w:lastRow="0" w:firstColumn="0" w:lastColumn="0" w:oddVBand="1" w:evenVBand="0" w:oddHBand="0" w:evenHBand="0" w:firstRowFirstColumn="0" w:firstRowLastColumn="0" w:lastRowFirstColumn="0" w:lastRowLastColumn="0"/>
            <w:tcW w:w="1387" w:type="dxa"/>
          </w:tcPr>
          <w:p w14:paraId="2E726233" w14:textId="77777777" w:rsidR="00897341" w:rsidRPr="00897341" w:rsidRDefault="00897341" w:rsidP="00897341">
            <w:pPr>
              <w:pStyle w:val="Tablebodytext"/>
            </w:pPr>
            <w:r w:rsidRPr="00897341">
              <w:t>Negligible risk</w:t>
            </w:r>
          </w:p>
        </w:tc>
        <w:tc>
          <w:tcPr>
            <w:tcW w:w="1387" w:type="dxa"/>
            <w:shd w:val="clear" w:color="auto" w:fill="AFAEAC" w:themeFill="text1" w:themeFillTint="66"/>
          </w:tcPr>
          <w:p w14:paraId="752E0FBF"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Very low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9BA71B" w:themeFill="text2" w:themeFillShade="BF"/>
          </w:tcPr>
          <w:p w14:paraId="031F0EB2" w14:textId="77777777" w:rsidR="00897341" w:rsidRPr="00897341" w:rsidRDefault="00897341" w:rsidP="00897341">
            <w:pPr>
              <w:pStyle w:val="Tablebodytext"/>
            </w:pPr>
            <w:r w:rsidRPr="00897341">
              <w:t>Low risk</w:t>
            </w:r>
          </w:p>
        </w:tc>
        <w:tc>
          <w:tcPr>
            <w:tcW w:w="1387" w:type="dxa"/>
            <w:shd w:val="clear" w:color="auto" w:fill="FFC000"/>
          </w:tcPr>
          <w:p w14:paraId="59838353"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Moderate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FF6600"/>
          </w:tcPr>
          <w:p w14:paraId="2551FDFE" w14:textId="77777777" w:rsidR="00897341" w:rsidRPr="00897341" w:rsidRDefault="00897341" w:rsidP="00897341">
            <w:pPr>
              <w:pStyle w:val="Tablebodytext"/>
            </w:pPr>
            <w:r w:rsidRPr="00897341">
              <w:t>High risk</w:t>
            </w:r>
          </w:p>
        </w:tc>
        <w:tc>
          <w:tcPr>
            <w:tcW w:w="1387" w:type="dxa"/>
            <w:shd w:val="clear" w:color="auto" w:fill="CC0000"/>
          </w:tcPr>
          <w:p w14:paraId="5589C6E6"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Extreme risk</w:t>
            </w:r>
          </w:p>
        </w:tc>
      </w:tr>
      <w:tr w:rsidR="00410D13" w:rsidRPr="00243764" w14:paraId="4FD25037" w14:textId="77777777" w:rsidTr="00897341">
        <w:tc>
          <w:tcPr>
            <w:cnfStyle w:val="001000000000" w:firstRow="0" w:lastRow="0" w:firstColumn="1" w:lastColumn="0" w:oddVBand="0" w:evenVBand="0" w:oddHBand="0" w:evenHBand="0" w:firstRowFirstColumn="0" w:firstRowLastColumn="0" w:lastRowFirstColumn="0" w:lastRowLastColumn="0"/>
            <w:tcW w:w="1425" w:type="dxa"/>
          </w:tcPr>
          <w:p w14:paraId="1CB54B78" w14:textId="77777777" w:rsidR="00897341" w:rsidRPr="00897341" w:rsidRDefault="00897341" w:rsidP="00897341">
            <w:pPr>
              <w:pStyle w:val="Tablebodytext"/>
            </w:pPr>
            <w:r w:rsidRPr="00897341">
              <w:t>Medium</w:t>
            </w:r>
          </w:p>
        </w:tc>
        <w:tc>
          <w:tcPr>
            <w:cnfStyle w:val="000010000000" w:firstRow="0" w:lastRow="0" w:firstColumn="0" w:lastColumn="0" w:oddVBand="1" w:evenVBand="0" w:oddHBand="0" w:evenHBand="0" w:firstRowFirstColumn="0" w:firstRowLastColumn="0" w:lastRowFirstColumn="0" w:lastRowLastColumn="0"/>
            <w:tcW w:w="1387" w:type="dxa"/>
          </w:tcPr>
          <w:p w14:paraId="721CF21D" w14:textId="77777777" w:rsidR="00897341" w:rsidRPr="00897341" w:rsidRDefault="00897341" w:rsidP="00897341">
            <w:pPr>
              <w:pStyle w:val="Tablebodytext"/>
            </w:pPr>
            <w:r w:rsidRPr="00897341">
              <w:t>Negligible risk</w:t>
            </w:r>
          </w:p>
        </w:tc>
        <w:tc>
          <w:tcPr>
            <w:tcW w:w="1387" w:type="dxa"/>
            <w:shd w:val="clear" w:color="auto" w:fill="AFAEAC" w:themeFill="text1" w:themeFillTint="66"/>
          </w:tcPr>
          <w:p w14:paraId="5B81333A"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Very low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9BA71B" w:themeFill="text2" w:themeFillShade="BF"/>
          </w:tcPr>
          <w:p w14:paraId="0697191B" w14:textId="77777777" w:rsidR="00897341" w:rsidRPr="00897341" w:rsidRDefault="00897341" w:rsidP="00897341">
            <w:pPr>
              <w:pStyle w:val="Tablebodytext"/>
            </w:pPr>
            <w:r w:rsidRPr="00897341">
              <w:t>Low risk</w:t>
            </w:r>
          </w:p>
        </w:tc>
        <w:tc>
          <w:tcPr>
            <w:tcW w:w="1387" w:type="dxa"/>
            <w:shd w:val="clear" w:color="auto" w:fill="FFC000"/>
          </w:tcPr>
          <w:p w14:paraId="6DAADCE6"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Moderate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FF6600"/>
          </w:tcPr>
          <w:p w14:paraId="4EE95751" w14:textId="77777777" w:rsidR="00897341" w:rsidRPr="00897341" w:rsidRDefault="00897341" w:rsidP="00897341">
            <w:pPr>
              <w:pStyle w:val="Tablebodytext"/>
            </w:pPr>
            <w:r w:rsidRPr="00897341">
              <w:t>High risk</w:t>
            </w:r>
          </w:p>
        </w:tc>
        <w:tc>
          <w:tcPr>
            <w:tcW w:w="1387" w:type="dxa"/>
            <w:shd w:val="clear" w:color="auto" w:fill="CC0000"/>
          </w:tcPr>
          <w:p w14:paraId="68C7B0B0"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Extreme risk</w:t>
            </w:r>
          </w:p>
        </w:tc>
      </w:tr>
      <w:tr w:rsidR="00410D13" w:rsidRPr="00243764" w14:paraId="65CE70DC" w14:textId="77777777" w:rsidTr="00897341">
        <w:tc>
          <w:tcPr>
            <w:cnfStyle w:val="001000000000" w:firstRow="0" w:lastRow="0" w:firstColumn="1" w:lastColumn="0" w:oddVBand="0" w:evenVBand="0" w:oddHBand="0" w:evenHBand="0" w:firstRowFirstColumn="0" w:firstRowLastColumn="0" w:lastRowFirstColumn="0" w:lastRowLastColumn="0"/>
            <w:tcW w:w="1425" w:type="dxa"/>
          </w:tcPr>
          <w:p w14:paraId="525C269F" w14:textId="77777777" w:rsidR="00897341" w:rsidRPr="00897341" w:rsidRDefault="00897341" w:rsidP="00897341">
            <w:pPr>
              <w:pStyle w:val="Tablebodytext"/>
            </w:pPr>
            <w:r w:rsidRPr="00897341">
              <w:t>Low</w:t>
            </w:r>
          </w:p>
        </w:tc>
        <w:tc>
          <w:tcPr>
            <w:cnfStyle w:val="000010000000" w:firstRow="0" w:lastRow="0" w:firstColumn="0" w:lastColumn="0" w:oddVBand="1" w:evenVBand="0" w:oddHBand="0" w:evenHBand="0" w:firstRowFirstColumn="0" w:firstRowLastColumn="0" w:lastRowFirstColumn="0" w:lastRowLastColumn="0"/>
            <w:tcW w:w="1387" w:type="dxa"/>
          </w:tcPr>
          <w:p w14:paraId="34427708" w14:textId="77777777" w:rsidR="00897341" w:rsidRPr="00897341" w:rsidRDefault="00897341" w:rsidP="00897341">
            <w:pPr>
              <w:pStyle w:val="Tablebodytext"/>
            </w:pPr>
            <w:r w:rsidRPr="00897341">
              <w:t>Negligible risk</w:t>
            </w:r>
          </w:p>
        </w:tc>
        <w:tc>
          <w:tcPr>
            <w:tcW w:w="1387" w:type="dxa"/>
            <w:shd w:val="clear" w:color="auto" w:fill="CCDBEA"/>
          </w:tcPr>
          <w:p w14:paraId="74DD3C81"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Negligible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AFAEAC" w:themeFill="text1" w:themeFillTint="66"/>
          </w:tcPr>
          <w:p w14:paraId="66670F75" w14:textId="77777777" w:rsidR="00897341" w:rsidRPr="00897341" w:rsidRDefault="00897341" w:rsidP="00897341">
            <w:pPr>
              <w:pStyle w:val="Tablebodytext"/>
            </w:pPr>
            <w:r w:rsidRPr="00897341">
              <w:t>Very low risk</w:t>
            </w:r>
          </w:p>
        </w:tc>
        <w:tc>
          <w:tcPr>
            <w:tcW w:w="1387" w:type="dxa"/>
            <w:shd w:val="clear" w:color="auto" w:fill="9BA71B" w:themeFill="text2" w:themeFillShade="BF"/>
          </w:tcPr>
          <w:p w14:paraId="1AC8D93E"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Low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FFC000"/>
          </w:tcPr>
          <w:p w14:paraId="2642DBEB" w14:textId="77777777" w:rsidR="00897341" w:rsidRPr="00897341" w:rsidRDefault="00897341" w:rsidP="00897341">
            <w:pPr>
              <w:pStyle w:val="Tablebodytext"/>
            </w:pPr>
            <w:r w:rsidRPr="00897341">
              <w:t>Moderate risk</w:t>
            </w:r>
          </w:p>
        </w:tc>
        <w:tc>
          <w:tcPr>
            <w:tcW w:w="1387" w:type="dxa"/>
            <w:shd w:val="clear" w:color="auto" w:fill="FF6600"/>
          </w:tcPr>
          <w:p w14:paraId="6DFB8948"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High risk</w:t>
            </w:r>
          </w:p>
        </w:tc>
      </w:tr>
      <w:tr w:rsidR="00410D13" w:rsidRPr="00243764" w14:paraId="7D334111" w14:textId="77777777" w:rsidTr="00897341">
        <w:tc>
          <w:tcPr>
            <w:cnfStyle w:val="001000000000" w:firstRow="0" w:lastRow="0" w:firstColumn="1" w:lastColumn="0" w:oddVBand="0" w:evenVBand="0" w:oddHBand="0" w:evenHBand="0" w:firstRowFirstColumn="0" w:firstRowLastColumn="0" w:lastRowFirstColumn="0" w:lastRowLastColumn="0"/>
            <w:tcW w:w="1425" w:type="dxa"/>
          </w:tcPr>
          <w:p w14:paraId="3BCCA2BB" w14:textId="77777777" w:rsidR="00897341" w:rsidRPr="00897341" w:rsidRDefault="00897341" w:rsidP="00897341">
            <w:pPr>
              <w:pStyle w:val="Tablebodytext"/>
            </w:pPr>
            <w:r w:rsidRPr="00897341">
              <w:t>Very low</w:t>
            </w:r>
          </w:p>
        </w:tc>
        <w:tc>
          <w:tcPr>
            <w:cnfStyle w:val="000010000000" w:firstRow="0" w:lastRow="0" w:firstColumn="0" w:lastColumn="0" w:oddVBand="1" w:evenVBand="0" w:oddHBand="0" w:evenHBand="0" w:firstRowFirstColumn="0" w:firstRowLastColumn="0" w:lastRowFirstColumn="0" w:lastRowLastColumn="0"/>
            <w:tcW w:w="1387" w:type="dxa"/>
          </w:tcPr>
          <w:p w14:paraId="348BAE9C" w14:textId="77777777" w:rsidR="00897341" w:rsidRPr="00897341" w:rsidRDefault="00897341" w:rsidP="00897341">
            <w:pPr>
              <w:pStyle w:val="Tablebodytext"/>
            </w:pPr>
            <w:r w:rsidRPr="00897341">
              <w:t>Negligible risk</w:t>
            </w:r>
          </w:p>
        </w:tc>
        <w:tc>
          <w:tcPr>
            <w:tcW w:w="1387" w:type="dxa"/>
            <w:shd w:val="clear" w:color="auto" w:fill="CCDBEA"/>
          </w:tcPr>
          <w:p w14:paraId="6DB665DE"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Negligible risk</w:t>
            </w:r>
          </w:p>
        </w:tc>
        <w:tc>
          <w:tcPr>
            <w:cnfStyle w:val="000010000000" w:firstRow="0" w:lastRow="0" w:firstColumn="0" w:lastColumn="0" w:oddVBand="1" w:evenVBand="0" w:oddHBand="0" w:evenHBand="0" w:firstRowFirstColumn="0" w:firstRowLastColumn="0" w:lastRowFirstColumn="0" w:lastRowLastColumn="0"/>
            <w:tcW w:w="1387" w:type="dxa"/>
          </w:tcPr>
          <w:p w14:paraId="096EF5A1" w14:textId="77777777" w:rsidR="00897341" w:rsidRPr="00897341" w:rsidRDefault="00897341" w:rsidP="00897341">
            <w:pPr>
              <w:pStyle w:val="Tablebodytext"/>
            </w:pPr>
            <w:r w:rsidRPr="00897341">
              <w:t>Negligible risk</w:t>
            </w:r>
          </w:p>
        </w:tc>
        <w:tc>
          <w:tcPr>
            <w:tcW w:w="1387" w:type="dxa"/>
            <w:shd w:val="clear" w:color="auto" w:fill="AFAEAC" w:themeFill="text1" w:themeFillTint="66"/>
          </w:tcPr>
          <w:p w14:paraId="00D1DE42"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Very low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9BA71B" w:themeFill="text2" w:themeFillShade="BF"/>
          </w:tcPr>
          <w:p w14:paraId="0E48495F" w14:textId="77777777" w:rsidR="00897341" w:rsidRPr="00897341" w:rsidRDefault="00897341" w:rsidP="00897341">
            <w:pPr>
              <w:pStyle w:val="Tablebodytext"/>
            </w:pPr>
            <w:r w:rsidRPr="00897341">
              <w:t>Low risk</w:t>
            </w:r>
          </w:p>
        </w:tc>
        <w:tc>
          <w:tcPr>
            <w:tcW w:w="1387" w:type="dxa"/>
            <w:shd w:val="clear" w:color="auto" w:fill="FFC000"/>
          </w:tcPr>
          <w:p w14:paraId="06336841"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Moderate risk</w:t>
            </w:r>
          </w:p>
        </w:tc>
      </w:tr>
      <w:tr w:rsidR="00410D13" w:rsidRPr="00243764" w14:paraId="60B3AD75" w14:textId="77777777" w:rsidTr="00897341">
        <w:tc>
          <w:tcPr>
            <w:cnfStyle w:val="001000000000" w:firstRow="0" w:lastRow="0" w:firstColumn="1" w:lastColumn="0" w:oddVBand="0" w:evenVBand="0" w:oddHBand="0" w:evenHBand="0" w:firstRowFirstColumn="0" w:firstRowLastColumn="0" w:lastRowFirstColumn="0" w:lastRowLastColumn="0"/>
            <w:tcW w:w="1425" w:type="dxa"/>
          </w:tcPr>
          <w:p w14:paraId="32541B41" w14:textId="77777777" w:rsidR="00897341" w:rsidRPr="00897341" w:rsidRDefault="00897341" w:rsidP="00897341">
            <w:pPr>
              <w:pStyle w:val="Tablebodytext"/>
            </w:pPr>
            <w:r w:rsidRPr="00897341">
              <w:t>Extremely low</w:t>
            </w:r>
          </w:p>
        </w:tc>
        <w:tc>
          <w:tcPr>
            <w:cnfStyle w:val="000010000000" w:firstRow="0" w:lastRow="0" w:firstColumn="0" w:lastColumn="0" w:oddVBand="1" w:evenVBand="0" w:oddHBand="0" w:evenHBand="0" w:firstRowFirstColumn="0" w:firstRowLastColumn="0" w:lastRowFirstColumn="0" w:lastRowLastColumn="0"/>
            <w:tcW w:w="1387" w:type="dxa"/>
          </w:tcPr>
          <w:p w14:paraId="5FA66866" w14:textId="77777777" w:rsidR="00897341" w:rsidRPr="00897341" w:rsidRDefault="00897341" w:rsidP="00897341">
            <w:pPr>
              <w:pStyle w:val="Tablebodytext"/>
            </w:pPr>
            <w:r w:rsidRPr="00897341">
              <w:t>Negligible risk</w:t>
            </w:r>
          </w:p>
        </w:tc>
        <w:tc>
          <w:tcPr>
            <w:tcW w:w="1387" w:type="dxa"/>
            <w:shd w:val="clear" w:color="auto" w:fill="CCDBEA"/>
          </w:tcPr>
          <w:p w14:paraId="0DFFFE74"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Negligible risk</w:t>
            </w:r>
          </w:p>
        </w:tc>
        <w:tc>
          <w:tcPr>
            <w:cnfStyle w:val="000010000000" w:firstRow="0" w:lastRow="0" w:firstColumn="0" w:lastColumn="0" w:oddVBand="1" w:evenVBand="0" w:oddHBand="0" w:evenHBand="0" w:firstRowFirstColumn="0" w:firstRowLastColumn="0" w:lastRowFirstColumn="0" w:lastRowLastColumn="0"/>
            <w:tcW w:w="1387" w:type="dxa"/>
          </w:tcPr>
          <w:p w14:paraId="30D1631C" w14:textId="77777777" w:rsidR="00897341" w:rsidRPr="00897341" w:rsidRDefault="00897341" w:rsidP="00897341">
            <w:pPr>
              <w:pStyle w:val="Tablebodytext"/>
            </w:pPr>
            <w:r w:rsidRPr="00897341">
              <w:t>Negligible risk</w:t>
            </w:r>
          </w:p>
        </w:tc>
        <w:tc>
          <w:tcPr>
            <w:tcW w:w="1387" w:type="dxa"/>
            <w:shd w:val="clear" w:color="auto" w:fill="CCDBEA"/>
          </w:tcPr>
          <w:p w14:paraId="6BD40123"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Negligible risk</w:t>
            </w:r>
          </w:p>
        </w:tc>
        <w:tc>
          <w:tcPr>
            <w:cnfStyle w:val="000010000000" w:firstRow="0" w:lastRow="0" w:firstColumn="0" w:lastColumn="0" w:oddVBand="1" w:evenVBand="0" w:oddHBand="0" w:evenHBand="0" w:firstRowFirstColumn="0" w:firstRowLastColumn="0" w:lastRowFirstColumn="0" w:lastRowLastColumn="0"/>
            <w:tcW w:w="1387" w:type="dxa"/>
            <w:shd w:val="clear" w:color="auto" w:fill="AFAEAC" w:themeFill="text1" w:themeFillTint="66"/>
          </w:tcPr>
          <w:p w14:paraId="3F3C7EFF" w14:textId="77777777" w:rsidR="00897341" w:rsidRPr="00897341" w:rsidRDefault="00897341" w:rsidP="00897341">
            <w:pPr>
              <w:pStyle w:val="Tablebodytext"/>
            </w:pPr>
            <w:r w:rsidRPr="00897341">
              <w:t>Very low risk</w:t>
            </w:r>
          </w:p>
        </w:tc>
        <w:tc>
          <w:tcPr>
            <w:tcW w:w="1387" w:type="dxa"/>
            <w:shd w:val="clear" w:color="auto" w:fill="9BA71B" w:themeFill="text2" w:themeFillShade="BF"/>
          </w:tcPr>
          <w:p w14:paraId="0EE0CA0A"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Low risk</w:t>
            </w:r>
          </w:p>
        </w:tc>
      </w:tr>
      <w:tr w:rsidR="00410D13" w:rsidRPr="00243764" w14:paraId="6D76E753" w14:textId="77777777" w:rsidTr="00897341">
        <w:tc>
          <w:tcPr>
            <w:cnfStyle w:val="001000000000" w:firstRow="0" w:lastRow="0" w:firstColumn="1" w:lastColumn="0" w:oddVBand="0" w:evenVBand="0" w:oddHBand="0" w:evenHBand="0" w:firstRowFirstColumn="0" w:firstRowLastColumn="0" w:lastRowFirstColumn="0" w:lastRowLastColumn="0"/>
            <w:tcW w:w="1425" w:type="dxa"/>
          </w:tcPr>
          <w:p w14:paraId="68125AD0" w14:textId="77777777" w:rsidR="00897341" w:rsidRPr="00897341" w:rsidRDefault="00897341" w:rsidP="00897341">
            <w:pPr>
              <w:pStyle w:val="Tablebodytext"/>
            </w:pPr>
            <w:r w:rsidRPr="00897341">
              <w:t>Negligible</w:t>
            </w:r>
          </w:p>
        </w:tc>
        <w:tc>
          <w:tcPr>
            <w:cnfStyle w:val="000010000000" w:firstRow="0" w:lastRow="0" w:firstColumn="0" w:lastColumn="0" w:oddVBand="1" w:evenVBand="0" w:oddHBand="0" w:evenHBand="0" w:firstRowFirstColumn="0" w:firstRowLastColumn="0" w:lastRowFirstColumn="0" w:lastRowLastColumn="0"/>
            <w:tcW w:w="1387" w:type="dxa"/>
          </w:tcPr>
          <w:p w14:paraId="2332BA53" w14:textId="77777777" w:rsidR="00897341" w:rsidRPr="00897341" w:rsidRDefault="00897341" w:rsidP="00897341">
            <w:pPr>
              <w:pStyle w:val="Tablebodytext"/>
            </w:pPr>
            <w:r w:rsidRPr="00897341">
              <w:t>Negligible risk</w:t>
            </w:r>
          </w:p>
        </w:tc>
        <w:tc>
          <w:tcPr>
            <w:tcW w:w="1387" w:type="dxa"/>
            <w:shd w:val="clear" w:color="auto" w:fill="CCDBEA"/>
          </w:tcPr>
          <w:p w14:paraId="6C22D70B"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Negligible risk</w:t>
            </w:r>
          </w:p>
        </w:tc>
        <w:tc>
          <w:tcPr>
            <w:cnfStyle w:val="000010000000" w:firstRow="0" w:lastRow="0" w:firstColumn="0" w:lastColumn="0" w:oddVBand="1" w:evenVBand="0" w:oddHBand="0" w:evenHBand="0" w:firstRowFirstColumn="0" w:firstRowLastColumn="0" w:lastRowFirstColumn="0" w:lastRowLastColumn="0"/>
            <w:tcW w:w="1387" w:type="dxa"/>
          </w:tcPr>
          <w:p w14:paraId="0FA0B97C" w14:textId="77777777" w:rsidR="00897341" w:rsidRPr="00897341" w:rsidRDefault="00897341" w:rsidP="00897341">
            <w:pPr>
              <w:pStyle w:val="Tablebodytext"/>
            </w:pPr>
            <w:r w:rsidRPr="00897341">
              <w:t>Negligible risk</w:t>
            </w:r>
          </w:p>
        </w:tc>
        <w:tc>
          <w:tcPr>
            <w:tcW w:w="1387" w:type="dxa"/>
            <w:shd w:val="clear" w:color="auto" w:fill="CCDBEA"/>
          </w:tcPr>
          <w:p w14:paraId="23F88086"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Negligible risk</w:t>
            </w:r>
          </w:p>
        </w:tc>
        <w:tc>
          <w:tcPr>
            <w:cnfStyle w:val="000010000000" w:firstRow="0" w:lastRow="0" w:firstColumn="0" w:lastColumn="0" w:oddVBand="1" w:evenVBand="0" w:oddHBand="0" w:evenHBand="0" w:firstRowFirstColumn="0" w:firstRowLastColumn="0" w:lastRowFirstColumn="0" w:lastRowLastColumn="0"/>
            <w:tcW w:w="1387" w:type="dxa"/>
          </w:tcPr>
          <w:p w14:paraId="0F674A2F" w14:textId="77777777" w:rsidR="00897341" w:rsidRPr="00897341" w:rsidRDefault="00897341" w:rsidP="00897341">
            <w:pPr>
              <w:pStyle w:val="Tablebodytext"/>
            </w:pPr>
            <w:r w:rsidRPr="00897341">
              <w:t>Negligible risk</w:t>
            </w:r>
          </w:p>
        </w:tc>
        <w:tc>
          <w:tcPr>
            <w:tcW w:w="1387" w:type="dxa"/>
            <w:shd w:val="clear" w:color="auto" w:fill="AFAEAC" w:themeFill="text1" w:themeFillTint="66"/>
          </w:tcPr>
          <w:p w14:paraId="089594B7" w14:textId="77777777" w:rsidR="00897341" w:rsidRPr="00897341" w:rsidRDefault="00897341" w:rsidP="00897341">
            <w:pPr>
              <w:pStyle w:val="Tablebodytext"/>
              <w:cnfStyle w:val="000000000000" w:firstRow="0" w:lastRow="0" w:firstColumn="0" w:lastColumn="0" w:oddVBand="0" w:evenVBand="0" w:oddHBand="0" w:evenHBand="0" w:firstRowFirstColumn="0" w:firstRowLastColumn="0" w:lastRowFirstColumn="0" w:lastRowLastColumn="0"/>
            </w:pPr>
            <w:r w:rsidRPr="00897341">
              <w:t>Very low risk</w:t>
            </w:r>
          </w:p>
        </w:tc>
      </w:tr>
    </w:tbl>
    <w:p w14:paraId="162757EC" w14:textId="77777777" w:rsidR="00897341" w:rsidRDefault="00897341" w:rsidP="002F1F90"/>
    <w:p w14:paraId="3ED699EA" w14:textId="77777777" w:rsidR="00CF11B7" w:rsidRDefault="00CF11B7" w:rsidP="002F1F90"/>
    <w:p w14:paraId="1066CE04" w14:textId="77777777" w:rsidR="00C944D8" w:rsidRDefault="00C944D8" w:rsidP="002F1F90"/>
    <w:p w14:paraId="42311D6B" w14:textId="6D68B2F9" w:rsidR="00897341" w:rsidRDefault="006433B2" w:rsidP="006433B2">
      <w:pPr>
        <w:pStyle w:val="Heading3-Numbered"/>
      </w:pPr>
      <w:bookmarkStart w:id="48" w:name="_Toc198634101"/>
      <w:r>
        <w:t>Assumptions and limitations</w:t>
      </w:r>
      <w:bookmarkEnd w:id="48"/>
    </w:p>
    <w:p w14:paraId="7FB5D8E6" w14:textId="707EBD1F" w:rsidR="006433B2" w:rsidRDefault="00035018" w:rsidP="006433B2">
      <w:r>
        <w:t>Making</w:t>
      </w:r>
      <w:r w:rsidR="006433B2" w:rsidRPr="006433B2">
        <w:t xml:space="preserve"> the assumptions and limitations of a WDRA clear</w:t>
      </w:r>
      <w:r>
        <w:t xml:space="preserve"> and explicit</w:t>
      </w:r>
      <w:r w:rsidR="006433B2" w:rsidRPr="006433B2">
        <w:t xml:space="preserve"> is essential, as information is often </w:t>
      </w:r>
      <w:r w:rsidR="008E572A" w:rsidRPr="006433B2">
        <w:t>scarce,</w:t>
      </w:r>
      <w:r w:rsidR="006433B2" w:rsidRPr="006433B2">
        <w:t xml:space="preserve"> and resources are limited. We provide the following </w:t>
      </w:r>
      <w:r w:rsidR="00137752">
        <w:t xml:space="preserve">non-exhaustive list of </w:t>
      </w:r>
      <w:r w:rsidR="006433B2" w:rsidRPr="006433B2">
        <w:t>assumptions and limitations to provide transparency in our WDRA, and to provide important detail and context in which the conclusions and recommendations of this report must be considered.</w:t>
      </w:r>
      <w:r w:rsidR="00BE3EC4">
        <w:t xml:space="preserve"> </w:t>
      </w:r>
    </w:p>
    <w:p w14:paraId="476649FB" w14:textId="2800945A" w:rsidR="006433B2" w:rsidRDefault="006433B2" w:rsidP="006433B2">
      <w:pPr>
        <w:pStyle w:val="Heading4"/>
      </w:pPr>
      <w:r w:rsidRPr="006433B2">
        <w:t>Assumptions</w:t>
      </w:r>
    </w:p>
    <w:p w14:paraId="22E3DA28" w14:textId="35EED24E" w:rsidR="006433B2" w:rsidRDefault="006433B2" w:rsidP="006433B2">
      <w:pPr>
        <w:pStyle w:val="dotpointindented"/>
      </w:pPr>
      <w:r>
        <w:t>Free-ranging wildlife and invasive mammalian species in Victoria are susceptible to the pathogen hazards recorded in the same species or closely related species elsewhere</w:t>
      </w:r>
      <w:r w:rsidR="00384EAD">
        <w:t xml:space="preserve"> (e.g. </w:t>
      </w:r>
      <w:r w:rsidR="00E42DDC">
        <w:t>interstate o</w:t>
      </w:r>
      <w:r w:rsidR="00D077F9">
        <w:t>r</w:t>
      </w:r>
      <w:r w:rsidR="00E42DDC">
        <w:t xml:space="preserve"> </w:t>
      </w:r>
      <w:r w:rsidR="00384EAD">
        <w:t>overseas)</w:t>
      </w:r>
      <w:r>
        <w:t xml:space="preserve">. </w:t>
      </w:r>
    </w:p>
    <w:p w14:paraId="1A3505BA" w14:textId="422BDD4B" w:rsidR="006433B2" w:rsidRDefault="00DE5DEE" w:rsidP="006433B2">
      <w:pPr>
        <w:pStyle w:val="dotpointindented"/>
      </w:pPr>
      <w:r>
        <w:t>The p</w:t>
      </w:r>
      <w:r w:rsidR="006433B2">
        <w:t xml:space="preserve">resence of a pathogen in free-ranging wildlife and invasive mammalian species elsewhere in Australia will increase the likelihood that this pathogen will infect the Victorian species we assess, unless the pathogen is </w:t>
      </w:r>
      <w:r w:rsidR="00C74ED0">
        <w:t xml:space="preserve">dependent on </w:t>
      </w:r>
      <w:r w:rsidR="006433B2">
        <w:t>vector</w:t>
      </w:r>
      <w:r w:rsidR="00C74ED0">
        <w:t>s and/or</w:t>
      </w:r>
      <w:r w:rsidR="006433B2">
        <w:t xml:space="preserve"> climatic conditions that do not occur in Victoria. </w:t>
      </w:r>
    </w:p>
    <w:p w14:paraId="7F297833" w14:textId="4777241B" w:rsidR="006433B2" w:rsidRDefault="00A13CDE" w:rsidP="006433B2">
      <w:pPr>
        <w:pStyle w:val="dotpointindented"/>
      </w:pPr>
      <w:r>
        <w:t>Feral populations of domestic animals or livestock (e.g. horses, pigs, deer, cats) are similarly susceptible to conspecific or closely related domestic animals. Similarly, d</w:t>
      </w:r>
      <w:r w:rsidR="006433B2">
        <w:t xml:space="preserve">ingoes do not fundamentally differ from domestic or feral dogs in their susceptibility to disease, so these groups </w:t>
      </w:r>
      <w:r w:rsidR="00DE5DEE">
        <w:t>have</w:t>
      </w:r>
      <w:r w:rsidR="006433B2">
        <w:t xml:space="preserve"> be</w:t>
      </w:r>
      <w:r w:rsidR="00DE5DEE">
        <w:t>en</w:t>
      </w:r>
      <w:r w:rsidR="006433B2">
        <w:t xml:space="preserve"> combined and ranked together. </w:t>
      </w:r>
    </w:p>
    <w:p w14:paraId="74F52F3D" w14:textId="06E5477B" w:rsidR="006433B2" w:rsidRDefault="006433B2" w:rsidP="006433B2">
      <w:pPr>
        <w:pStyle w:val="dotpointindented"/>
      </w:pPr>
      <w:r>
        <w:t xml:space="preserve">The available data, combined with the expertise and analytical processes used by the experts involved in this </w:t>
      </w:r>
      <w:r w:rsidR="00D0301C">
        <w:t>W</w:t>
      </w:r>
      <w:r>
        <w:t>DRA will produce reasonable outcomes and allow</w:t>
      </w:r>
      <w:r w:rsidR="00DA4309">
        <w:t>s</w:t>
      </w:r>
      <w:r>
        <w:t xml:space="preserve"> for a structured ranking of disease risks. </w:t>
      </w:r>
    </w:p>
    <w:p w14:paraId="68F539F0" w14:textId="371B83D7" w:rsidR="006433B2" w:rsidRPr="006433B2" w:rsidRDefault="006433B2" w:rsidP="006433B2">
      <w:pPr>
        <w:pStyle w:val="Heading4"/>
      </w:pPr>
      <w:r>
        <w:t>L</w:t>
      </w:r>
      <w:r w:rsidRPr="006433B2">
        <w:t>imitations</w:t>
      </w:r>
    </w:p>
    <w:p w14:paraId="5AEBD03C" w14:textId="18F248A3" w:rsidR="00C810B5" w:rsidRDefault="00C810B5" w:rsidP="00C810B5">
      <w:pPr>
        <w:pStyle w:val="dotpointindented"/>
      </w:pPr>
      <w:r>
        <w:t>The risk period was defined as a five-year time horizon. Therefore</w:t>
      </w:r>
      <w:r w:rsidR="00DA4309">
        <w:t>,</w:t>
      </w:r>
      <w:r>
        <w:t xml:space="preserve"> this risk assessment </w:t>
      </w:r>
      <w:r w:rsidR="00E132AF">
        <w:t>should be considered</w:t>
      </w:r>
      <w:r>
        <w:t xml:space="preserve"> a snapshot and</w:t>
      </w:r>
      <w:r w:rsidR="00D0301C">
        <w:t>,</w:t>
      </w:r>
      <w:r>
        <w:t xml:space="preserve"> by 2029</w:t>
      </w:r>
      <w:r w:rsidR="00D0301C">
        <w:t>,</w:t>
      </w:r>
      <w:r>
        <w:t xml:space="preserve"> will require updating based on new data and knowledge</w:t>
      </w:r>
      <w:r w:rsidR="00EC7B42">
        <w:t xml:space="preserve">. Importantly, </w:t>
      </w:r>
      <w:r w:rsidR="0054528D">
        <w:t xml:space="preserve">such updating will need to </w:t>
      </w:r>
      <w:r w:rsidR="00FC1866">
        <w:t>includ</w:t>
      </w:r>
      <w:r w:rsidR="00EC7B42">
        <w:t>e</w:t>
      </w:r>
      <w:r w:rsidR="00FC1866">
        <w:t xml:space="preserve"> </w:t>
      </w:r>
      <w:r w:rsidR="003D333D">
        <w:t xml:space="preserve">emerging, </w:t>
      </w:r>
      <w:r w:rsidR="00EC7B42">
        <w:t xml:space="preserve">unforeseen and </w:t>
      </w:r>
      <w:r w:rsidR="003D333D">
        <w:t xml:space="preserve">unforeseeable </w:t>
      </w:r>
      <w:r w:rsidR="00EC7B42">
        <w:t xml:space="preserve">disease </w:t>
      </w:r>
      <w:r w:rsidR="003D333D">
        <w:t>risks</w:t>
      </w:r>
      <w:r>
        <w:t>.</w:t>
      </w:r>
    </w:p>
    <w:p w14:paraId="76A1CD51" w14:textId="40949500" w:rsidR="006433B2" w:rsidRDefault="006433B2" w:rsidP="006433B2">
      <w:pPr>
        <w:pStyle w:val="dotpointindented"/>
      </w:pPr>
      <w:r>
        <w:t xml:space="preserve">Many pathogens that can infect wildlife cause only mild disease or are asymptomatic. For inclusion in this WDRA, pathogens had to have </w:t>
      </w:r>
      <w:r w:rsidR="0054528D">
        <w:t xml:space="preserve">significant </w:t>
      </w:r>
      <w:r>
        <w:t>clinical impacts on their hosts. Endemic diseases that circulate through reservoir hosts without impacts were not comprehensively documented</w:t>
      </w:r>
      <w:r w:rsidR="00D0301C">
        <w:t>, because</w:t>
      </w:r>
      <w:r>
        <w:t xml:space="preserve"> this would have expanded the scope of the WDRA immensely. </w:t>
      </w:r>
      <w:r w:rsidR="00D0301C">
        <w:t>Consequently</w:t>
      </w:r>
      <w:r>
        <w:t xml:space="preserve">, there </w:t>
      </w:r>
      <w:r w:rsidR="000611D1">
        <w:t>will</w:t>
      </w:r>
      <w:r>
        <w:t xml:space="preserve"> be pathogen</w:t>
      </w:r>
      <w:r w:rsidR="00BF5B24">
        <w:t>s</w:t>
      </w:r>
      <w:r>
        <w:t xml:space="preserve"> that</w:t>
      </w:r>
      <w:r w:rsidR="00307D48">
        <w:t xml:space="preserve"> </w:t>
      </w:r>
      <w:r w:rsidR="00BF5B24">
        <w:t>have the capacity to</w:t>
      </w:r>
      <w:r>
        <w:t xml:space="preserve"> cross species barrier</w:t>
      </w:r>
      <w:r w:rsidR="00C6784B">
        <w:t>s</w:t>
      </w:r>
      <w:r>
        <w:t xml:space="preserve"> </w:t>
      </w:r>
      <w:r w:rsidR="00307D48">
        <w:t xml:space="preserve">in the future, </w:t>
      </w:r>
      <w:r w:rsidR="00B54F6A">
        <w:t>as well as</w:t>
      </w:r>
      <w:r>
        <w:t xml:space="preserve"> newly evolved</w:t>
      </w:r>
      <w:r w:rsidR="00B54F6A">
        <w:t xml:space="preserve"> or </w:t>
      </w:r>
      <w:r w:rsidR="00307D48">
        <w:t>emerging</w:t>
      </w:r>
      <w:r>
        <w:t xml:space="preserve"> pathogens (</w:t>
      </w:r>
      <w:r w:rsidR="003621E7">
        <w:t xml:space="preserve">classic </w:t>
      </w:r>
      <w:r w:rsidR="00536618">
        <w:t xml:space="preserve">historical </w:t>
      </w:r>
      <w:r>
        <w:t>example</w:t>
      </w:r>
      <w:r w:rsidR="00536618">
        <w:t>s</w:t>
      </w:r>
      <w:r>
        <w:t xml:space="preserve"> being the Tasmanian devil facial tumour disease</w:t>
      </w:r>
      <w:r w:rsidR="00B54F6A">
        <w:t xml:space="preserve"> and amphibian chytrid fungus</w:t>
      </w:r>
      <w:r>
        <w:t>) that</w:t>
      </w:r>
      <w:r w:rsidR="00B54F6A">
        <w:t xml:space="preserve"> </w:t>
      </w:r>
      <w:r w:rsidR="00CF2CB6">
        <w:t xml:space="preserve">may </w:t>
      </w:r>
      <w:r w:rsidR="00B54F6A">
        <w:t>have the potential to</w:t>
      </w:r>
      <w:r>
        <w:t xml:space="preserve"> cause </w:t>
      </w:r>
      <w:r w:rsidR="00CF2CB6">
        <w:t>significant impacts</w:t>
      </w:r>
      <w:r>
        <w:t xml:space="preserve"> in the future</w:t>
      </w:r>
      <w:r w:rsidR="00CF2CB6">
        <w:t xml:space="preserve">, but with </w:t>
      </w:r>
      <w:r w:rsidR="003621E7">
        <w:t xml:space="preserve">risks that are not </w:t>
      </w:r>
      <w:r w:rsidR="00B161DA">
        <w:t>foreseeable from presently available knowledge and opinion</w:t>
      </w:r>
      <w:r>
        <w:t xml:space="preserve">. </w:t>
      </w:r>
    </w:p>
    <w:p w14:paraId="39043372" w14:textId="020B2360" w:rsidR="006433B2" w:rsidRDefault="006433B2" w:rsidP="006433B2">
      <w:pPr>
        <w:pStyle w:val="dotpointindented"/>
      </w:pPr>
      <w:r>
        <w:t>Compared with domestic animals, there is a considerable lack of basic knowledge, systematic screening or testing for many pathogens of wild</w:t>
      </w:r>
      <w:r w:rsidR="00726709">
        <w:t>life</w:t>
      </w:r>
      <w:r>
        <w:t xml:space="preserve">. This means </w:t>
      </w:r>
      <w:r w:rsidR="00B161DA">
        <w:t>strong</w:t>
      </w:r>
      <w:r>
        <w:t xml:space="preserve"> assumptions must be made for many Australian wildlife hosts </w:t>
      </w:r>
      <w:r w:rsidR="00C74ED0">
        <w:t>because</w:t>
      </w:r>
      <w:r>
        <w:t xml:space="preserve"> basic parameters </w:t>
      </w:r>
      <w:r w:rsidR="00C74ED0">
        <w:t xml:space="preserve">such </w:t>
      </w:r>
      <w:r>
        <w:t xml:space="preserve">as susceptibility, </w:t>
      </w:r>
      <w:r w:rsidR="00C74ED0">
        <w:t>host</w:t>
      </w:r>
      <w:r>
        <w:t xml:space="preserve"> status, and transmission potential are unknown for many diseases. </w:t>
      </w:r>
    </w:p>
    <w:p w14:paraId="71366E15" w14:textId="18F70BA0" w:rsidR="006433B2" w:rsidRDefault="006433B2" w:rsidP="006433B2">
      <w:pPr>
        <w:pStyle w:val="dotpointindented"/>
      </w:pPr>
      <w:r>
        <w:t>This WDRA has been conducted as a desktop-based exercise</w:t>
      </w:r>
      <w:r w:rsidR="00701112">
        <w:t xml:space="preserve"> informed by existing published and unpublished data and expert opinion</w:t>
      </w:r>
      <w:r>
        <w:t xml:space="preserve"> – no additional field</w:t>
      </w:r>
      <w:r w:rsidR="005E414A">
        <w:t xml:space="preserve"> or laboratory</w:t>
      </w:r>
      <w:r>
        <w:t xml:space="preserve"> information was gathered to inform the assessment. </w:t>
      </w:r>
    </w:p>
    <w:p w14:paraId="502A1B62" w14:textId="57438B29" w:rsidR="006433B2" w:rsidRDefault="006433B2" w:rsidP="006433B2">
      <w:pPr>
        <w:pStyle w:val="dotpointindented"/>
      </w:pPr>
      <w:r>
        <w:t>The number of assessors contributing to the assessment was limited. It is well established that individual experts have subjective biases and differences in perspectives</w:t>
      </w:r>
      <w:r w:rsidR="009C7A14">
        <w:t xml:space="preserve"> </w:t>
      </w:r>
      <w:r w:rsidR="009C7A14">
        <w:fldChar w:fldCharType="begin"/>
      </w:r>
      <w:r w:rsidR="009F541F">
        <w:instrText xml:space="preserve"> ADDIN ZOTERO_ITEM CSL_CITATION {"citationID":"BLVXc5tl","properties":{"formattedCitation":"(Bennett {\\i{}et al.} 2023)","plainCitation":"(Bennett et al. 2023)","noteIndex":0},"citationItems":[{"id":9715,"uris":["http://zotero.org/users/634364/items/7BUXE872"],"itemData":{"id":9715,"type":"article-journal","abstract":"Expert knowledge is widely used to assist decision-making in conservation, typically where information is lacking or involves complex interacting factors. While there is growing attention to effective elicitation of knowledge, empirical testing of the accuracy of predictions by experts is rare. We tested the accuracy of expert predictions of the occurrence of bird species at restored sites in farmland by comparing predictions with empirical data and with random assemblages of species. Generally, there was a positive relationship between the averaged expert prediction of likelihood of occurrence and the observed frequency of occurrence for individual species, though accuracy varied between species. Bias in predictions was related to habitat-use and body size: experts tended to over-estimate the likelihood of common, open-country species occurring at sites and under­ estimate small, woodland species. For bird assemblages, the collective predictions of experts differed signifi­ cantly from observed assemblages but performed better than random selection of species. Notably, however, predictions of species occurrence and of assemblages at sites varied markedly between individual experts. Expert knowledge will continue to have a valuable role in decision support, but quantifying the nature of biases in predictions and how they contribute to uncertainty is essential. Limitations in expert prediction can be countered by treating them as a guide rather than source of truth; and combining the judgements from multiple experts will help reduce the variation among individuals. While capitalising on the wealth of knowledge held by experts, conservation science and management must be underpinned by sound empirical evidence.","container-title":"Biological Conservation","DOI":"10.1016/j.biocon.2023.110018","ISSN":"00063207","journalAbbreviation":"Biological Conservation","language":"en","page":"110018","source":"DOI.org (Crossref)","title":"How expert are ‘experts’? Comparing expert predictions and empirical data on the use of farmland restoration sites by birds","title-short":"How expert are ‘experts’?","volume":"282","author":[{"family":"Bennett","given":"Andrew F."},{"family":"Haslem","given":"Angie"},{"family":"White","given":"Matthew"},{"family":"Hollings","given":"Tracey"},{"family":"Thomson","given":"James R."}],"issued":{"date-parts":[["2023",6]]}}}],"schema":"https://github.com/citation-style-language/schema/raw/master/csl-citation.json"} </w:instrText>
      </w:r>
      <w:r w:rsidR="009C7A14">
        <w:fldChar w:fldCharType="separate"/>
      </w:r>
      <w:r w:rsidR="009F541F" w:rsidRPr="009F541F">
        <w:t xml:space="preserve">(Bennett </w:t>
      </w:r>
      <w:r w:rsidR="009F541F" w:rsidRPr="00DA5824">
        <w:t>et al.</w:t>
      </w:r>
      <w:r w:rsidR="009F541F" w:rsidRPr="009F541F">
        <w:t xml:space="preserve"> 2023)</w:t>
      </w:r>
      <w:r w:rsidR="009C7A14">
        <w:fldChar w:fldCharType="end"/>
      </w:r>
      <w:r>
        <w:t>. However, due to time constraints</w:t>
      </w:r>
      <w:r w:rsidR="00BA54EC">
        <w:t xml:space="preserve"> and the large number of assessments that had to be made</w:t>
      </w:r>
      <w:r w:rsidR="007B0918">
        <w:t>,</w:t>
      </w:r>
      <w:r w:rsidR="00BA54EC">
        <w:t xml:space="preserve"> it was not feasible to engage a</w:t>
      </w:r>
      <w:r>
        <w:t xml:space="preserve"> large </w:t>
      </w:r>
      <w:r w:rsidR="00BA54EC">
        <w:t>panel of experts to conduct the</w:t>
      </w:r>
      <w:r>
        <w:t xml:space="preserve"> WDRA. </w:t>
      </w:r>
      <w:r w:rsidR="00B51518">
        <w:t>Both</w:t>
      </w:r>
      <w:r>
        <w:t xml:space="preserve"> government (Arthur Rylah Institute) and non-government (University of Melbourne) experts contributed to the assessments of disease hazards</w:t>
      </w:r>
      <w:r w:rsidR="00B51518">
        <w:t xml:space="preserve"> and these included </w:t>
      </w:r>
      <w:r w:rsidR="00AD1B8F">
        <w:t>experts with broad knowledge of various wildlife species and direct experience with many wildlife diseases</w:t>
      </w:r>
      <w:r>
        <w:t xml:space="preserve">. Multiple meetings were held to discuss consensus, and highly ranked diseases were </w:t>
      </w:r>
      <w:r w:rsidR="00F47F06">
        <w:t>revised</w:t>
      </w:r>
      <w:r>
        <w:t xml:space="preserve"> as a group</w:t>
      </w:r>
      <w:r w:rsidR="00750228">
        <w:t xml:space="preserve"> until all participants were satisfied with the consistency of the results</w:t>
      </w:r>
      <w:r>
        <w:t>. Feedback was also solicited from other relevant experts</w:t>
      </w:r>
      <w:r w:rsidR="00750228">
        <w:t xml:space="preserve"> outside the </w:t>
      </w:r>
      <w:r w:rsidR="00F11330">
        <w:t>group that conducted the core assessments</w:t>
      </w:r>
      <w:r>
        <w:t xml:space="preserve">. To standardise the process, assessors were given a verbal briefing to describe the components of the risk assessment and to discuss any queries. They were also sent the scoring framework and </w:t>
      </w:r>
      <w:r w:rsidR="008A5361">
        <w:t xml:space="preserve">had input into the </w:t>
      </w:r>
      <w:r w:rsidR="00F148F8">
        <w:t>final list</w:t>
      </w:r>
      <w:r w:rsidR="00F11330">
        <w:t>s</w:t>
      </w:r>
      <w:r w:rsidR="00F148F8">
        <w:t xml:space="preserve"> of disease hazards</w:t>
      </w:r>
      <w:r>
        <w:t>.</w:t>
      </w:r>
    </w:p>
    <w:p w14:paraId="619E2B4B" w14:textId="72BFAA26" w:rsidR="00DB604F" w:rsidRDefault="00726709" w:rsidP="006433B2">
      <w:pPr>
        <w:pStyle w:val="dotpointindented"/>
      </w:pPr>
      <w:r>
        <w:t xml:space="preserve">Assessments also attempted to address the welfare consequences related to wildlife disease. However, </w:t>
      </w:r>
      <w:r w:rsidR="00DB604F">
        <w:t xml:space="preserve">this aspect was not progressed due to the difficulties with maintaining a consistent </w:t>
      </w:r>
      <w:r w:rsidR="00DB604F">
        <w:lastRenderedPageBreak/>
        <w:t>approach.</w:t>
      </w:r>
      <w:r w:rsidR="00343569">
        <w:t xml:space="preserve"> To progress assessment of welfare impacts in free ranging wildlife a framework would need to be developed</w:t>
      </w:r>
      <w:r w:rsidR="00D12A72">
        <w:t xml:space="preserve"> to ensure consistency.</w:t>
      </w:r>
    </w:p>
    <w:p w14:paraId="6B5A5564" w14:textId="18787E9E" w:rsidR="00726709" w:rsidRDefault="00726709" w:rsidP="00DB604F">
      <w:pPr>
        <w:pStyle w:val="dotpointindented"/>
        <w:numPr>
          <w:ilvl w:val="0"/>
          <w:numId w:val="0"/>
        </w:numPr>
        <w:ind w:left="720"/>
      </w:pPr>
      <w:r>
        <w:t xml:space="preserve"> </w:t>
      </w:r>
    </w:p>
    <w:p w14:paraId="63A9350A" w14:textId="268F315E" w:rsidR="006433B2" w:rsidRDefault="008D6ECB" w:rsidP="00DA5824">
      <w:r>
        <w:t xml:space="preserve">For many pathogens included in the assessment, it proved necessary to undertake generic assessments which spanned entire taxonomic groups containing two or more host species. This approach was </w:t>
      </w:r>
      <w:r w:rsidR="00C76311">
        <w:t>used</w:t>
      </w:r>
      <w:r>
        <w:t xml:space="preserve"> because in many cases there was insufficient evidence to determine whether the risks and consequences posed by some pathogens varied across </w:t>
      </w:r>
      <w:r w:rsidR="00C76311">
        <w:t xml:space="preserve">closely related </w:t>
      </w:r>
      <w:r>
        <w:t>host species. For example, for many diseases of reptiles</w:t>
      </w:r>
      <w:r w:rsidR="007B0918">
        <w:t>,</w:t>
      </w:r>
      <w:r>
        <w:t xml:space="preserve"> there was insufficient information available to allow detailed assessment of differences in risk and consequence across different species</w:t>
      </w:r>
      <w:r w:rsidR="00C76311">
        <w:t xml:space="preserve"> within a genus</w:t>
      </w:r>
      <w:r w:rsidR="00AD103F">
        <w:t xml:space="preserve"> or family</w:t>
      </w:r>
      <w:r>
        <w:t>, or even higher</w:t>
      </w:r>
      <w:r w:rsidR="003C0F0A">
        <w:t>-</w:t>
      </w:r>
      <w:r>
        <w:t xml:space="preserve">level groupings such as </w:t>
      </w:r>
      <w:r w:rsidR="00F82ED5">
        <w:t>snakes or skinks</w:t>
      </w:r>
      <w:r>
        <w:t xml:space="preserve">. In these cases, a generic assessment of the risk posed by the pathogen to the entire group of hosts was undertaken and was assumed to apply to all hosts within the specified taxonomic group (e.g. </w:t>
      </w:r>
      <w:r w:rsidR="007B0918">
        <w:t>‘</w:t>
      </w:r>
      <w:r>
        <w:t>all reptiles</w:t>
      </w:r>
      <w:r w:rsidR="007B0918">
        <w:t>’</w:t>
      </w:r>
      <w:r>
        <w:t xml:space="preserve">, </w:t>
      </w:r>
      <w:r w:rsidR="007B0918">
        <w:t>‘</w:t>
      </w:r>
      <w:r w:rsidR="00EA07D1">
        <w:t>parrots</w:t>
      </w:r>
      <w:r w:rsidR="007B0918">
        <w:t>’</w:t>
      </w:r>
      <w:r>
        <w:t xml:space="preserve"> or </w:t>
      </w:r>
      <w:r w:rsidR="007B0918">
        <w:t>‘</w:t>
      </w:r>
      <w:proofErr w:type="spellStart"/>
      <w:r>
        <w:t>dasyurids</w:t>
      </w:r>
      <w:proofErr w:type="spellEnd"/>
      <w:r w:rsidR="007B0918">
        <w:t>’</w:t>
      </w:r>
      <w:r>
        <w:t>). These generic assessments were made at various taxonomic levels (class, order, family, genus), or</w:t>
      </w:r>
      <w:r w:rsidR="00084CAC">
        <w:t xml:space="preserve"> occasionally</w:t>
      </w:r>
      <w:r>
        <w:t xml:space="preserve"> </w:t>
      </w:r>
      <w:r w:rsidR="00134BF1">
        <w:t>for an</w:t>
      </w:r>
      <w:r>
        <w:t xml:space="preserve"> </w:t>
      </w:r>
      <w:r w:rsidR="00084CAC">
        <w:t xml:space="preserve">ecological or </w:t>
      </w:r>
      <w:r>
        <w:t>function</w:t>
      </w:r>
      <w:r w:rsidR="00134BF1">
        <w:t>al</w:t>
      </w:r>
      <w:r>
        <w:t xml:space="preserve"> g</w:t>
      </w:r>
      <w:r w:rsidR="00084CAC">
        <w:t>roup</w:t>
      </w:r>
      <w:r>
        <w:t xml:space="preserve"> (e.g. </w:t>
      </w:r>
      <w:r w:rsidR="007B0918">
        <w:t>‘</w:t>
      </w:r>
      <w:r>
        <w:t>waterbirds</w:t>
      </w:r>
      <w:r w:rsidR="007B0918">
        <w:t>’</w:t>
      </w:r>
      <w:r>
        <w:t xml:space="preserve">, </w:t>
      </w:r>
      <w:r w:rsidR="007B0918">
        <w:t>‘</w:t>
      </w:r>
      <w:r>
        <w:t>marine mammals</w:t>
      </w:r>
      <w:r w:rsidR="007B0918">
        <w:t>’</w:t>
      </w:r>
      <w:r>
        <w:t>) as was judged to be appropriate based on the expert knowledge of the assessors. Unsurprisingly, uncertainty scores (whether for risk or consequence) for these pathogens were often high, indicating the existence of large knowledge gaps</w:t>
      </w:r>
      <w:r w:rsidR="007B0918">
        <w:t>,</w:t>
      </w:r>
      <w:r>
        <w:t xml:space="preserve"> which we explore further elsewhere in this report. </w:t>
      </w:r>
      <w:r w:rsidR="000B759F">
        <w:t xml:space="preserve">For any given pathogen, each potential host species was </w:t>
      </w:r>
      <w:r w:rsidR="007B0918">
        <w:t xml:space="preserve">therefore </w:t>
      </w:r>
      <w:r w:rsidR="000B759F">
        <w:t xml:space="preserve">assigned risk ratings based on the available risk assessment at the lowest possible taxonomic level. </w:t>
      </w:r>
      <w:r w:rsidR="007B0918">
        <w:t>Consequently</w:t>
      </w:r>
      <w:r w:rsidR="000B759F">
        <w:t>, while species-specific assessments were always preferred, higher level assessments were substituted when a species-specific assessment was unavailable.</w:t>
      </w:r>
    </w:p>
    <w:p w14:paraId="60996102" w14:textId="0584C131" w:rsidR="006433B2" w:rsidRDefault="006433B2" w:rsidP="006433B2">
      <w:pPr>
        <w:pStyle w:val="Heading3-Numbered"/>
      </w:pPr>
      <w:bookmarkStart w:id="49" w:name="_Toc198634102"/>
      <w:r w:rsidRPr="006433B2">
        <w:t>Other useful documentation</w:t>
      </w:r>
      <w:bookmarkEnd w:id="49"/>
    </w:p>
    <w:p w14:paraId="4B5DF966" w14:textId="219843EA" w:rsidR="006433B2" w:rsidRDefault="006433B2" w:rsidP="006433B2">
      <w:r w:rsidRPr="006433B2">
        <w:t>Other documentation that could be read in conjunction with our WDRA include:</w:t>
      </w:r>
    </w:p>
    <w:p w14:paraId="0F7B26AC" w14:textId="7252D8C5" w:rsidR="006433B2" w:rsidRDefault="006433B2" w:rsidP="006433B2">
      <w:pPr>
        <w:pStyle w:val="dotpointindented"/>
      </w:pPr>
      <w:r>
        <w:t>Wildlife Heath Australia Factsheets (</w:t>
      </w:r>
      <w:hyperlink r:id="rId37" w:history="1">
        <w:r w:rsidRPr="00B97B28">
          <w:rPr>
            <w:rStyle w:val="Hyperlink"/>
          </w:rPr>
          <w:t>https://wildlifehealthaustralia.com.au/Resource-Centre/Fact-Sheets</w:t>
        </w:r>
      </w:hyperlink>
      <w:r>
        <w:t>)</w:t>
      </w:r>
      <w:r w:rsidR="007B0918">
        <w:t>.</w:t>
      </w:r>
    </w:p>
    <w:p w14:paraId="02875C4A" w14:textId="3DF04D9C" w:rsidR="006433B2" w:rsidRDefault="006433B2">
      <w:pPr>
        <w:pStyle w:val="dotpointindented"/>
      </w:pPr>
      <w:r>
        <w:t>AUSVETPLAN documents. The complete series of manuals is available on the Animal Health Australia website (</w:t>
      </w:r>
      <w:hyperlink r:id="rId38" w:history="1">
        <w:r w:rsidRPr="00B97B28">
          <w:rPr>
            <w:rStyle w:val="Hyperlink"/>
          </w:rPr>
          <w:t>https://animalhealthaustralia.com.au/ausvetplan/</w:t>
        </w:r>
      </w:hyperlink>
      <w:r>
        <w:t>)</w:t>
      </w:r>
      <w:r w:rsidR="007B0918">
        <w:t>.</w:t>
      </w:r>
    </w:p>
    <w:p w14:paraId="1DEC2EF6" w14:textId="0EDA1EB9" w:rsidR="006433B2" w:rsidRDefault="007B0918" w:rsidP="006433B2">
      <w:pPr>
        <w:pStyle w:val="dotpointindented"/>
      </w:pPr>
      <w:r>
        <w:t>r</w:t>
      </w:r>
      <w:r w:rsidR="006433B2">
        <w:t>elevant jurisdictional or industry policies, response plans, standard operating procedures and work instructions</w:t>
      </w:r>
      <w:r>
        <w:t>.</w:t>
      </w:r>
    </w:p>
    <w:p w14:paraId="21522D9A" w14:textId="60D9688F" w:rsidR="00D37D70" w:rsidRDefault="007B0918" w:rsidP="002046DA">
      <w:pPr>
        <w:pStyle w:val="dotpointindented"/>
      </w:pPr>
      <w:r>
        <w:t>t</w:t>
      </w:r>
      <w:r w:rsidR="006433B2">
        <w:t>he World Organisation for Animal Health website (</w:t>
      </w:r>
      <w:hyperlink r:id="rId39" w:history="1">
        <w:r w:rsidR="006433B2" w:rsidRPr="00B97B28">
          <w:rPr>
            <w:rStyle w:val="Hyperlink"/>
          </w:rPr>
          <w:t>https://www.woah.org/en/home/</w:t>
        </w:r>
      </w:hyperlink>
      <w:r w:rsidR="006433B2">
        <w:t>)</w:t>
      </w:r>
      <w:r>
        <w:t>.</w:t>
      </w:r>
    </w:p>
    <w:p w14:paraId="5999638A" w14:textId="5C7BB476" w:rsidR="00D37D70" w:rsidRDefault="00D37D70" w:rsidP="00D8780B">
      <w:pPr>
        <w:pStyle w:val="Heading3-Numbered"/>
      </w:pPr>
      <w:bookmarkStart w:id="50" w:name="_Toc198634103"/>
      <w:r>
        <w:t>Implementation and review</w:t>
      </w:r>
      <w:bookmarkEnd w:id="50"/>
      <w:r>
        <w:t xml:space="preserve"> </w:t>
      </w:r>
    </w:p>
    <w:p w14:paraId="259D1F53" w14:textId="34C28C39" w:rsidR="006433B2" w:rsidRDefault="00D37D70" w:rsidP="006433B2">
      <w:r>
        <w:t xml:space="preserve">The idea of </w:t>
      </w:r>
      <w:r w:rsidR="009C7A14">
        <w:t>W</w:t>
      </w:r>
      <w:r>
        <w:t xml:space="preserve">DRAs are that they are cyclical processes, improved by continuous inputs and new information can be used to revise the </w:t>
      </w:r>
      <w:r w:rsidR="009C7A14">
        <w:t>W</w:t>
      </w:r>
      <w:r>
        <w:t xml:space="preserve">DRA </w:t>
      </w:r>
      <w:r w:rsidR="00E77B04">
        <w:fldChar w:fldCharType="begin"/>
      </w:r>
      <w:r w:rsidR="009F541F">
        <w:instrText xml:space="preserve"> ADDIN ZOTERO_ITEM CSL_CITATION {"citationID":"RblDBH7l","properties":{"formattedCitation":"(Jakob-Hoff {\\i{}et al.} 2014)","plainCitation":"(Jakob-Hoff et al. 2014)","noteIndex":0},"citationItems":[{"id":3541,"uris":["http://zotero.org/users/634364/items/Z8M4NEYW"],"itemData":{"id":3541,"type":"book","event-place":"Paris","note":"Citation Key: RN1400","number-of-pages":"149","publisher":"OIE and IUCN","publisher-place":"Paris","title":"Manual of procedures for wildlife disease risk analysis","author":[{"family":"Jakob-Hoff","given":"Richard M"},{"family":"MacDiarmid","given":"Stuart C"},{"family":"Lees","given":"Caroline"},{"family":"Miller","given":"Philip S"},{"family":"Travis","given":"Dominic"},{"family":"Kock","given":"Richard"}],"issued":{"date-parts":[["2014"]]}}}],"schema":"https://github.com/citation-style-language/schema/raw/master/csl-citation.json"} </w:instrText>
      </w:r>
      <w:r w:rsidR="00E77B04">
        <w:fldChar w:fldCharType="separate"/>
      </w:r>
      <w:r w:rsidR="009F541F" w:rsidRPr="009F541F">
        <w:t xml:space="preserve">(Jakob-Hoff </w:t>
      </w:r>
      <w:r w:rsidR="009F541F" w:rsidRPr="00DA5824">
        <w:t>et al</w:t>
      </w:r>
      <w:r w:rsidR="009F541F" w:rsidRPr="009F541F">
        <w:rPr>
          <w:i/>
          <w:iCs/>
        </w:rPr>
        <w:t>.</w:t>
      </w:r>
      <w:r w:rsidR="009F541F" w:rsidRPr="009F541F">
        <w:t xml:space="preserve"> 2014)</w:t>
      </w:r>
      <w:r w:rsidR="00E77B04">
        <w:fldChar w:fldCharType="end"/>
      </w:r>
      <w:r>
        <w:t xml:space="preserve">. </w:t>
      </w:r>
      <w:r w:rsidR="00622865">
        <w:t xml:space="preserve">The assessment presented here should be considered as an initial step in the ongoing task of assessing disease risks in Victorian </w:t>
      </w:r>
      <w:proofErr w:type="gramStart"/>
      <w:r w:rsidR="00622865">
        <w:t>wildlife</w:t>
      </w:r>
      <w:r w:rsidR="00925DD5">
        <w:t>, and</w:t>
      </w:r>
      <w:proofErr w:type="gramEnd"/>
      <w:r w:rsidR="00925DD5">
        <w:t xml:space="preserve"> will require frequent updating to reflect new circumstances and knowledge. </w:t>
      </w:r>
    </w:p>
    <w:p w14:paraId="61C07E9F" w14:textId="65EDD488" w:rsidR="006433B2" w:rsidRPr="006433B2" w:rsidRDefault="006433B2" w:rsidP="00FC5B8D">
      <w:pPr>
        <w:pStyle w:val="Heading2-Numbered"/>
      </w:pPr>
      <w:bookmarkStart w:id="51" w:name="_Toc198634104"/>
      <w:r w:rsidRPr="006433B2">
        <w:t xml:space="preserve">Modelling </w:t>
      </w:r>
      <w:r w:rsidR="009C7A14">
        <w:t xml:space="preserve">disease </w:t>
      </w:r>
      <w:r w:rsidR="00B72606">
        <w:t xml:space="preserve">impacts and </w:t>
      </w:r>
      <w:r w:rsidRPr="006433B2">
        <w:t>potential mitigation options</w:t>
      </w:r>
      <w:bookmarkEnd w:id="51"/>
    </w:p>
    <w:p w14:paraId="3DCA632E" w14:textId="1C709B86" w:rsidR="003D27AB" w:rsidRDefault="003D27AB" w:rsidP="003D27AB">
      <w:r>
        <w:t xml:space="preserve">The </w:t>
      </w:r>
      <w:r w:rsidR="009C7A14">
        <w:t>W</w:t>
      </w:r>
      <w:r>
        <w:t xml:space="preserve">DRA identified several </w:t>
      </w:r>
      <w:r w:rsidR="009C7A14">
        <w:t>pathogens</w:t>
      </w:r>
      <w:r>
        <w:t xml:space="preserve"> that </w:t>
      </w:r>
      <w:r w:rsidR="009C7A14">
        <w:t>were ranked as E</w:t>
      </w:r>
      <w:r>
        <w:t xml:space="preserve">xtreme risk of causing undesirable </w:t>
      </w:r>
      <w:r w:rsidR="004266A0">
        <w:t xml:space="preserve">conservation or economic </w:t>
      </w:r>
      <w:r>
        <w:t>impacts. Based on these findings</w:t>
      </w:r>
      <w:r w:rsidR="007B0918">
        <w:t>,</w:t>
      </w:r>
      <w:r>
        <w:t xml:space="preserve"> we selected a number of these pathogens as case studies to investigate their likely impacts as well as the efficacy of potential mitigation actions. </w:t>
      </w:r>
      <w:r w:rsidR="6C0B7803">
        <w:t>This risk management step captures the process of identifying and selecting measures that can be applied to reduce the level of risk for these diseases.</w:t>
      </w:r>
      <w:r>
        <w:t xml:space="preserve"> Case studies focused on exotic disease where these were known to cause high impacts on related fauna overseas and </w:t>
      </w:r>
      <w:r w:rsidR="007B0918">
        <w:t>therefore</w:t>
      </w:r>
      <w:r>
        <w:t xml:space="preserve">, could reasonably be expected to cause high impacts to Victorian fauna (as indicated by the </w:t>
      </w:r>
      <w:r w:rsidR="009C7A14">
        <w:t>W</w:t>
      </w:r>
      <w:r>
        <w:t xml:space="preserve">DRA). The exception to this was </w:t>
      </w:r>
      <w:r w:rsidR="000E0BE1">
        <w:t>Chytridiomycosis</w:t>
      </w:r>
      <w:r w:rsidR="00C74ED0">
        <w:t xml:space="preserve"> (caused by the amphibian chytrid fungus)</w:t>
      </w:r>
      <w:r>
        <w:t>, which is endemic in Australia</w:t>
      </w:r>
      <w:r w:rsidR="00C74ED0">
        <w:t xml:space="preserve">. For this disease </w:t>
      </w:r>
      <w:r>
        <w:t xml:space="preserve">interest </w:t>
      </w:r>
      <w:r w:rsidR="007475BD">
        <w:t>was</w:t>
      </w:r>
      <w:r>
        <w:t xml:space="preserve"> focused on susceptible species where high conservation impacts might be expected in the future. The disease</w:t>
      </w:r>
      <w:r w:rsidR="00B6123D">
        <w:t xml:space="preserve"> </w:t>
      </w:r>
      <w:r>
        <w:t xml:space="preserve">hazards selected for the case studies are given in Table </w:t>
      </w:r>
      <w:r w:rsidR="00DB2098">
        <w:t>6</w:t>
      </w:r>
      <w:r>
        <w:t>.</w:t>
      </w:r>
    </w:p>
    <w:p w14:paraId="4EB0E12A" w14:textId="77777777" w:rsidR="00B0292D" w:rsidRDefault="00B0292D">
      <w:pPr>
        <w:spacing w:after="0"/>
        <w:rPr>
          <w:b/>
          <w:bCs/>
          <w:color w:val="201547" w:themeColor="accent3"/>
          <w:szCs w:val="22"/>
        </w:rPr>
      </w:pPr>
      <w:bookmarkStart w:id="52" w:name="_Toc198634138"/>
      <w:r>
        <w:br w:type="page"/>
      </w:r>
    </w:p>
    <w:p w14:paraId="184BBAB9" w14:textId="6351A842" w:rsidR="003D27AB" w:rsidRDefault="003302E1" w:rsidP="00CA6E95">
      <w:pPr>
        <w:pStyle w:val="Caption-Table"/>
      </w:pPr>
      <w:r>
        <w:lastRenderedPageBreak/>
        <w:t>Table 6.</w:t>
      </w:r>
      <w:r w:rsidR="003D27AB">
        <w:t xml:space="preserve"> Disease hazards and affected fauna selected for the case studies.</w:t>
      </w:r>
      <w:bookmarkEnd w:id="52"/>
    </w:p>
    <w:tbl>
      <w:tblPr>
        <w:tblStyle w:val="TableGrid10"/>
        <w:tblW w:w="5000" w:type="pct"/>
        <w:tblLook w:val="04A0" w:firstRow="1" w:lastRow="0" w:firstColumn="1" w:lastColumn="0" w:noHBand="0" w:noVBand="1"/>
      </w:tblPr>
      <w:tblGrid>
        <w:gridCol w:w="3558"/>
        <w:gridCol w:w="2857"/>
        <w:gridCol w:w="3224"/>
      </w:tblGrid>
      <w:tr w:rsidR="003D27AB" w:rsidRPr="004966E1" w14:paraId="65A94E45" w14:textId="77777777" w:rsidTr="006D03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2C470AF9" w14:textId="55DC55B2" w:rsidR="003D27AB" w:rsidRPr="00DD1E40" w:rsidRDefault="003D27AB" w:rsidP="00DA5824">
            <w:pPr>
              <w:pStyle w:val="Tableheadingtext"/>
            </w:pPr>
            <w:r w:rsidRPr="00DD1E40">
              <w:t>Disease/</w:t>
            </w:r>
            <w:r w:rsidR="007B0918">
              <w:t>h</w:t>
            </w:r>
            <w:r w:rsidRPr="00DD1E40">
              <w:t>azard</w:t>
            </w:r>
          </w:p>
        </w:tc>
        <w:tc>
          <w:tcPr>
            <w:tcW w:w="0" w:type="pct"/>
          </w:tcPr>
          <w:p w14:paraId="3C7CBC0A" w14:textId="00D07871" w:rsidR="003D27AB" w:rsidRPr="00DD1E40" w:rsidRDefault="003D27AB" w:rsidP="00DA5824">
            <w:pPr>
              <w:pStyle w:val="Tableheadingtext"/>
              <w:cnfStyle w:val="100000000000" w:firstRow="1" w:lastRow="0" w:firstColumn="0" w:lastColumn="0" w:oddVBand="0" w:evenVBand="0" w:oddHBand="0" w:evenHBand="0" w:firstRowFirstColumn="0" w:firstRowLastColumn="0" w:lastRowFirstColumn="0" w:lastRowLastColumn="0"/>
            </w:pPr>
            <w:r w:rsidRPr="00DD1E40">
              <w:t xml:space="preserve">Affected </w:t>
            </w:r>
            <w:r w:rsidR="007B0918">
              <w:t>f</w:t>
            </w:r>
            <w:r w:rsidRPr="00DD1E40">
              <w:t>auna</w:t>
            </w:r>
          </w:p>
        </w:tc>
        <w:tc>
          <w:tcPr>
            <w:tcW w:w="0" w:type="pct"/>
          </w:tcPr>
          <w:p w14:paraId="18468D59" w14:textId="77777777" w:rsidR="003D27AB" w:rsidRPr="00DD1E40" w:rsidRDefault="003D27AB" w:rsidP="00DA5824">
            <w:pPr>
              <w:pStyle w:val="Tableheadingtext"/>
              <w:cnfStyle w:val="100000000000" w:firstRow="1" w:lastRow="0" w:firstColumn="0" w:lastColumn="0" w:oddVBand="0" w:evenVBand="0" w:oddHBand="0" w:evenHBand="0" w:firstRowFirstColumn="0" w:firstRowLastColumn="0" w:lastRowFirstColumn="0" w:lastRowLastColumn="0"/>
            </w:pPr>
            <w:r w:rsidRPr="00DD1E40">
              <w:t>Impact type</w:t>
            </w:r>
          </w:p>
        </w:tc>
      </w:tr>
      <w:tr w:rsidR="003D27AB" w:rsidRPr="004966E1" w14:paraId="04EECF55" w14:textId="77777777" w:rsidTr="006D03B1">
        <w:tc>
          <w:tcPr>
            <w:cnfStyle w:val="001000000000" w:firstRow="0" w:lastRow="0" w:firstColumn="1" w:lastColumn="0" w:oddVBand="0" w:evenVBand="0" w:oddHBand="0" w:evenHBand="0" w:firstRowFirstColumn="0" w:firstRowLastColumn="0" w:lastRowFirstColumn="0" w:lastRowLastColumn="0"/>
            <w:tcW w:w="0" w:type="pct"/>
          </w:tcPr>
          <w:p w14:paraId="2B2C9D16" w14:textId="58A9344E" w:rsidR="003D27AB" w:rsidRPr="00DD1E40" w:rsidRDefault="00E07B96">
            <w:pPr>
              <w:rPr>
                <w:b/>
                <w:bCs/>
                <w:szCs w:val="20"/>
              </w:rPr>
            </w:pPr>
            <w:r>
              <w:rPr>
                <w:szCs w:val="20"/>
              </w:rPr>
              <w:t>Foot and Mouth Disease</w:t>
            </w:r>
          </w:p>
        </w:tc>
        <w:tc>
          <w:tcPr>
            <w:tcW w:w="0" w:type="pct"/>
          </w:tcPr>
          <w:p w14:paraId="4BE630AA" w14:textId="6E488973" w:rsidR="003D27AB" w:rsidRPr="00DD1E40" w:rsidRDefault="003D27AB">
            <w:pPr>
              <w:cnfStyle w:val="000000000000" w:firstRow="0" w:lastRow="0" w:firstColumn="0" w:lastColumn="0" w:oddVBand="0" w:evenVBand="0" w:oddHBand="0" w:evenHBand="0" w:firstRowFirstColumn="0" w:firstRowLastColumn="0" w:lastRowFirstColumn="0" w:lastRowLastColumn="0"/>
              <w:rPr>
                <w:szCs w:val="20"/>
              </w:rPr>
            </w:pPr>
            <w:r w:rsidRPr="00DD1E40">
              <w:rPr>
                <w:szCs w:val="20"/>
              </w:rPr>
              <w:t xml:space="preserve">Feral </w:t>
            </w:r>
            <w:r w:rsidR="00E07B96">
              <w:rPr>
                <w:szCs w:val="20"/>
              </w:rPr>
              <w:t>p</w:t>
            </w:r>
            <w:r w:rsidRPr="00DD1E40">
              <w:rPr>
                <w:szCs w:val="20"/>
              </w:rPr>
              <w:t>igs</w:t>
            </w:r>
          </w:p>
        </w:tc>
        <w:tc>
          <w:tcPr>
            <w:tcW w:w="0" w:type="pct"/>
          </w:tcPr>
          <w:p w14:paraId="58E5DA26" w14:textId="77777777" w:rsidR="003D27AB" w:rsidRPr="00DD1E40" w:rsidRDefault="003D27AB">
            <w:pPr>
              <w:cnfStyle w:val="000000000000" w:firstRow="0" w:lastRow="0" w:firstColumn="0" w:lastColumn="0" w:oddVBand="0" w:evenVBand="0" w:oddHBand="0" w:evenHBand="0" w:firstRowFirstColumn="0" w:firstRowLastColumn="0" w:lastRowFirstColumn="0" w:lastRowLastColumn="0"/>
              <w:rPr>
                <w:szCs w:val="20"/>
              </w:rPr>
            </w:pPr>
            <w:r w:rsidRPr="00DD1E40">
              <w:rPr>
                <w:szCs w:val="20"/>
              </w:rPr>
              <w:t>Economic</w:t>
            </w:r>
          </w:p>
        </w:tc>
      </w:tr>
      <w:tr w:rsidR="003D27AB" w:rsidRPr="004966E1" w14:paraId="50F1107D" w14:textId="77777777" w:rsidTr="006D03B1">
        <w:tc>
          <w:tcPr>
            <w:cnfStyle w:val="001000000000" w:firstRow="0" w:lastRow="0" w:firstColumn="1" w:lastColumn="0" w:oddVBand="0" w:evenVBand="0" w:oddHBand="0" w:evenHBand="0" w:firstRowFirstColumn="0" w:firstRowLastColumn="0" w:lastRowFirstColumn="0" w:lastRowLastColumn="0"/>
            <w:tcW w:w="0" w:type="pct"/>
          </w:tcPr>
          <w:p w14:paraId="58949617" w14:textId="6FCDE268" w:rsidR="003D27AB" w:rsidRPr="00DD1E40" w:rsidRDefault="00E07B96">
            <w:pPr>
              <w:rPr>
                <w:b/>
                <w:bCs/>
                <w:szCs w:val="20"/>
              </w:rPr>
            </w:pPr>
            <w:r>
              <w:rPr>
                <w:szCs w:val="20"/>
              </w:rPr>
              <w:t>High Pathogenic Avian Influenza</w:t>
            </w:r>
          </w:p>
        </w:tc>
        <w:tc>
          <w:tcPr>
            <w:tcW w:w="0" w:type="pct"/>
          </w:tcPr>
          <w:p w14:paraId="574EE29F" w14:textId="77777777" w:rsidR="003D27AB" w:rsidRPr="00DD1E40" w:rsidRDefault="003D27AB">
            <w:pPr>
              <w:cnfStyle w:val="000000000000" w:firstRow="0" w:lastRow="0" w:firstColumn="0" w:lastColumn="0" w:oddVBand="0" w:evenVBand="0" w:oddHBand="0" w:evenHBand="0" w:firstRowFirstColumn="0" w:firstRowLastColumn="0" w:lastRowFirstColumn="0" w:lastRowLastColumn="0"/>
              <w:rPr>
                <w:szCs w:val="20"/>
              </w:rPr>
            </w:pPr>
            <w:r w:rsidRPr="00DD1E40">
              <w:rPr>
                <w:szCs w:val="20"/>
              </w:rPr>
              <w:t>Little Penguin</w:t>
            </w:r>
          </w:p>
        </w:tc>
        <w:tc>
          <w:tcPr>
            <w:tcW w:w="0" w:type="pct"/>
          </w:tcPr>
          <w:p w14:paraId="0858C7AE" w14:textId="50DE5D98" w:rsidR="003D27AB" w:rsidRPr="00DD1E40" w:rsidRDefault="003A5493">
            <w:pPr>
              <w:cnfStyle w:val="000000000000" w:firstRow="0" w:lastRow="0" w:firstColumn="0" w:lastColumn="0" w:oddVBand="0" w:evenVBand="0" w:oddHBand="0" w:evenHBand="0" w:firstRowFirstColumn="0" w:firstRowLastColumn="0" w:lastRowFirstColumn="0" w:lastRowLastColumn="0"/>
              <w:rPr>
                <w:szCs w:val="20"/>
              </w:rPr>
            </w:pPr>
            <w:r>
              <w:rPr>
                <w:szCs w:val="20"/>
              </w:rPr>
              <w:t>Economic</w:t>
            </w:r>
          </w:p>
        </w:tc>
      </w:tr>
      <w:tr w:rsidR="003D27AB" w:rsidRPr="004966E1" w14:paraId="5734197B" w14:textId="77777777" w:rsidTr="006D03B1">
        <w:tc>
          <w:tcPr>
            <w:cnfStyle w:val="001000000000" w:firstRow="0" w:lastRow="0" w:firstColumn="1" w:lastColumn="0" w:oddVBand="0" w:evenVBand="0" w:oddHBand="0" w:evenHBand="0" w:firstRowFirstColumn="0" w:firstRowLastColumn="0" w:lastRowFirstColumn="0" w:lastRowLastColumn="0"/>
            <w:tcW w:w="0" w:type="pct"/>
          </w:tcPr>
          <w:p w14:paraId="4B1260AE" w14:textId="3581CF89" w:rsidR="003D27AB" w:rsidRPr="00DD1E40" w:rsidRDefault="003D27AB">
            <w:pPr>
              <w:rPr>
                <w:b/>
                <w:bCs/>
                <w:szCs w:val="20"/>
              </w:rPr>
            </w:pPr>
            <w:r w:rsidRPr="00DD1E40">
              <w:rPr>
                <w:szCs w:val="20"/>
              </w:rPr>
              <w:t>White</w:t>
            </w:r>
            <w:r w:rsidR="00E07B96">
              <w:rPr>
                <w:szCs w:val="20"/>
              </w:rPr>
              <w:t xml:space="preserve"> N</w:t>
            </w:r>
            <w:r w:rsidRPr="00DD1E40">
              <w:rPr>
                <w:szCs w:val="20"/>
              </w:rPr>
              <w:t xml:space="preserve">ose </w:t>
            </w:r>
            <w:r w:rsidR="00E07B96">
              <w:rPr>
                <w:szCs w:val="20"/>
              </w:rPr>
              <w:t>S</w:t>
            </w:r>
            <w:r w:rsidRPr="00DD1E40">
              <w:rPr>
                <w:szCs w:val="20"/>
              </w:rPr>
              <w:t>yndrome</w:t>
            </w:r>
          </w:p>
        </w:tc>
        <w:tc>
          <w:tcPr>
            <w:tcW w:w="0" w:type="pct"/>
          </w:tcPr>
          <w:p w14:paraId="1B13C1D0" w14:textId="4A29FECA" w:rsidR="003D27AB" w:rsidRPr="00DD1E40" w:rsidRDefault="003D27AB">
            <w:pPr>
              <w:cnfStyle w:val="000000000000" w:firstRow="0" w:lastRow="0" w:firstColumn="0" w:lastColumn="0" w:oddVBand="0" w:evenVBand="0" w:oddHBand="0" w:evenHBand="0" w:firstRowFirstColumn="0" w:firstRowLastColumn="0" w:lastRowFirstColumn="0" w:lastRowLastColumn="0"/>
              <w:rPr>
                <w:szCs w:val="20"/>
              </w:rPr>
            </w:pPr>
            <w:r w:rsidRPr="00DD1E40">
              <w:rPr>
                <w:szCs w:val="20"/>
              </w:rPr>
              <w:t xml:space="preserve">Southern </w:t>
            </w:r>
            <w:r w:rsidR="00C836E6">
              <w:rPr>
                <w:szCs w:val="20"/>
              </w:rPr>
              <w:t>B</w:t>
            </w:r>
            <w:r w:rsidRPr="00DD1E40">
              <w:rPr>
                <w:szCs w:val="20"/>
              </w:rPr>
              <w:t xml:space="preserve">ent-wing </w:t>
            </w:r>
            <w:r w:rsidR="008A0C4F">
              <w:rPr>
                <w:szCs w:val="20"/>
              </w:rPr>
              <w:t>B</w:t>
            </w:r>
            <w:r w:rsidRPr="00DD1E40">
              <w:rPr>
                <w:szCs w:val="20"/>
              </w:rPr>
              <w:t>at</w:t>
            </w:r>
          </w:p>
        </w:tc>
        <w:tc>
          <w:tcPr>
            <w:tcW w:w="0" w:type="pct"/>
          </w:tcPr>
          <w:p w14:paraId="5FFF10CB" w14:textId="77777777" w:rsidR="003D27AB" w:rsidRPr="00DD1E40" w:rsidRDefault="003D27AB">
            <w:pPr>
              <w:cnfStyle w:val="000000000000" w:firstRow="0" w:lastRow="0" w:firstColumn="0" w:lastColumn="0" w:oddVBand="0" w:evenVBand="0" w:oddHBand="0" w:evenHBand="0" w:firstRowFirstColumn="0" w:firstRowLastColumn="0" w:lastRowFirstColumn="0" w:lastRowLastColumn="0"/>
              <w:rPr>
                <w:szCs w:val="20"/>
              </w:rPr>
            </w:pPr>
            <w:r w:rsidRPr="00DD1E40">
              <w:rPr>
                <w:szCs w:val="20"/>
              </w:rPr>
              <w:t>Conservation</w:t>
            </w:r>
          </w:p>
        </w:tc>
      </w:tr>
      <w:tr w:rsidR="003D27AB" w:rsidRPr="004966E1" w14:paraId="2CF50759" w14:textId="77777777" w:rsidTr="006D03B1">
        <w:tc>
          <w:tcPr>
            <w:cnfStyle w:val="001000000000" w:firstRow="0" w:lastRow="0" w:firstColumn="1" w:lastColumn="0" w:oddVBand="0" w:evenVBand="0" w:oddHBand="0" w:evenHBand="0" w:firstRowFirstColumn="0" w:firstRowLastColumn="0" w:lastRowFirstColumn="0" w:lastRowLastColumn="0"/>
            <w:tcW w:w="0" w:type="pct"/>
          </w:tcPr>
          <w:p w14:paraId="04C26671" w14:textId="2319F62E" w:rsidR="003D27AB" w:rsidRPr="00DD1E40" w:rsidRDefault="000E0BE1">
            <w:pPr>
              <w:rPr>
                <w:b/>
                <w:bCs/>
                <w:szCs w:val="20"/>
              </w:rPr>
            </w:pPr>
            <w:r>
              <w:rPr>
                <w:szCs w:val="20"/>
              </w:rPr>
              <w:t>Chytridiomycosis</w:t>
            </w:r>
          </w:p>
        </w:tc>
        <w:tc>
          <w:tcPr>
            <w:tcW w:w="0" w:type="pct"/>
          </w:tcPr>
          <w:p w14:paraId="30E0BFF7" w14:textId="37BC0F8C" w:rsidR="003D27AB" w:rsidRPr="00DD1E40" w:rsidRDefault="00B84722">
            <w:pPr>
              <w:cnfStyle w:val="000000000000" w:firstRow="0" w:lastRow="0" w:firstColumn="0" w:lastColumn="0" w:oddVBand="0" w:evenVBand="0" w:oddHBand="0" w:evenHBand="0" w:firstRowFirstColumn="0" w:firstRowLastColumn="0" w:lastRowFirstColumn="0" w:lastRowLastColumn="0"/>
              <w:rPr>
                <w:szCs w:val="20"/>
              </w:rPr>
            </w:pPr>
            <w:r>
              <w:rPr>
                <w:szCs w:val="20"/>
              </w:rPr>
              <w:t>Bell Frogs</w:t>
            </w:r>
          </w:p>
        </w:tc>
        <w:tc>
          <w:tcPr>
            <w:tcW w:w="0" w:type="pct"/>
          </w:tcPr>
          <w:p w14:paraId="39312213" w14:textId="77777777" w:rsidR="003D27AB" w:rsidRPr="00DD1E40" w:rsidRDefault="003D27AB">
            <w:pPr>
              <w:cnfStyle w:val="000000000000" w:firstRow="0" w:lastRow="0" w:firstColumn="0" w:lastColumn="0" w:oddVBand="0" w:evenVBand="0" w:oddHBand="0" w:evenHBand="0" w:firstRowFirstColumn="0" w:firstRowLastColumn="0" w:lastRowFirstColumn="0" w:lastRowLastColumn="0"/>
              <w:rPr>
                <w:szCs w:val="20"/>
              </w:rPr>
            </w:pPr>
            <w:r w:rsidRPr="00DD1E40">
              <w:rPr>
                <w:szCs w:val="20"/>
              </w:rPr>
              <w:t>Conservation</w:t>
            </w:r>
          </w:p>
        </w:tc>
      </w:tr>
    </w:tbl>
    <w:p w14:paraId="2ECFAC61" w14:textId="2E10339C" w:rsidR="00E07B96" w:rsidRDefault="003D27AB" w:rsidP="003D27AB">
      <w:r>
        <w:t xml:space="preserve"> </w:t>
      </w:r>
    </w:p>
    <w:p w14:paraId="24CAF762" w14:textId="0FD6D0BA" w:rsidR="00BD6593" w:rsidRDefault="00BD6593" w:rsidP="00A0449E">
      <w:pPr>
        <w:pStyle w:val="Heading3-Numbered"/>
      </w:pPr>
      <w:bookmarkStart w:id="53" w:name="_Toc198634105"/>
      <w:r>
        <w:t>Modelling components</w:t>
      </w:r>
      <w:bookmarkEnd w:id="53"/>
    </w:p>
    <w:p w14:paraId="17DE6522" w14:textId="6C475511" w:rsidR="00BD6593" w:rsidRDefault="00356AEF" w:rsidP="003D27AB">
      <w:r>
        <w:t xml:space="preserve">We used mathematical models of disease </w:t>
      </w:r>
      <w:r w:rsidR="00B0292D">
        <w:t>transmission</w:t>
      </w:r>
      <w:r>
        <w:t xml:space="preserve"> t</w:t>
      </w:r>
      <w:r w:rsidR="00F37182">
        <w:t>o</w:t>
      </w:r>
      <w:r w:rsidR="00BD6593">
        <w:t xml:space="preserve"> investigate the potential impacts of </w:t>
      </w:r>
      <w:r w:rsidR="00F37182">
        <w:t>disease on populations and the effectiveness of mitigation actions</w:t>
      </w:r>
      <w:r w:rsidR="00431AF7">
        <w:t xml:space="preserve">. </w:t>
      </w:r>
      <w:r>
        <w:t>For each case study, a</w:t>
      </w:r>
      <w:r w:rsidR="00F37182">
        <w:t xml:space="preserve"> formal modelling process was undertaken </w:t>
      </w:r>
      <w:r>
        <w:t xml:space="preserve">with the </w:t>
      </w:r>
      <w:r w:rsidR="00F37182">
        <w:t>components of this process as follows:</w:t>
      </w:r>
    </w:p>
    <w:p w14:paraId="478166ED" w14:textId="1D5866AF" w:rsidR="00F37182" w:rsidRDefault="00F37182" w:rsidP="00F37182">
      <w:pPr>
        <w:pStyle w:val="dotpointindented"/>
      </w:pPr>
      <w:r>
        <w:t>Model representation of the host/pathogen system</w:t>
      </w:r>
      <w:r w:rsidR="00356AEF">
        <w:t>:</w:t>
      </w:r>
      <w:r>
        <w:t xml:space="preserve"> There are many different ways to model the  dynamics of disease outbreaks in natural populations that vary in the level of complexity involved </w:t>
      </w:r>
      <w:r>
        <w:fldChar w:fldCharType="begin"/>
      </w:r>
      <w:r>
        <w:instrText xml:space="preserve"> ADDIN ZOTERO_ITEM CSL_CITATION {"citationID":"sTk3bbQY","properties":{"formattedCitation":"(e.g. Keeling and Rohani 2008)","plainCitation":"(e.g. Keeling and Rohani 2008)","noteIndex":0},"citationItems":[{"id":1886,"uris":["http://zotero.org/users/634364/items/GBYT2YRD"],"itemData":{"id":1886,"type":"book","publisher":"Princeton University Press, Princeton, New Jersey","title":"Modelling Infectious Diseases in Humans and Animals","author":[{"family":"Keeling","given":"M. J."},{"family":"Rohani","given":"P."}],"issued":{"date-parts":[["2008"]]}},"label":"page","prefix":"e.g. "}],"schema":"https://github.com/citation-style-language/schema/raw/master/csl-citation.json"} </w:instrText>
      </w:r>
      <w:r>
        <w:fldChar w:fldCharType="separate"/>
      </w:r>
      <w:r w:rsidR="009F541F" w:rsidRPr="009F541F">
        <w:t>(e.g. Keeling and Rohani 2008)</w:t>
      </w:r>
      <w:r>
        <w:fldChar w:fldCharType="end"/>
      </w:r>
      <w:r>
        <w:t>. For the purposes of thi</w:t>
      </w:r>
      <w:r w:rsidR="00356AEF">
        <w:t xml:space="preserve">s study, we chose relatively simple host-disease compartment models </w:t>
      </w:r>
      <w:r w:rsidR="00356AEF" w:rsidRPr="00511C17">
        <w:fldChar w:fldCharType="begin" w:fldLock="1"/>
      </w:r>
      <w:r w:rsidR="00356AEF">
        <w:instrText xml:space="preserve"> ADDIN ZOTERO_ITEM CSL_CITATION {"citationID":"vWdlURhn","properties":{"formattedCitation":"(e.g. Kermack and McKendrick 1927; May and Anderson 1979)","plainCitation":"(e.g. Kermack and McKendrick 1927; May and Anderson 1979)","noteIndex":0},"citationItems":[{"id":1032,"uris":["http://zotero.org/users/634364/items/XZ98ZTX3"],"itemData":{"id":1032,"type":"article-journal","container-title":"Proceedings of the Royal Society","page":"700-721","title":"A contribution to the mathematical theory of epidemics","volume":"A115","author":[{"family":"Kermack","given":"W. O."},{"family":"McKendrick","given":"A. G."}],"issued":{"date-parts":[["1927"]]}},"label":"page","prefix":"e.g. "},{"id":2179,"uris":["http://zotero.org/users/634364/items/R33WTFLX"],"itemData":{"id":2179,"type":"article-journal","container-title":"Nature","page":"361-367","title":"Population biology of infectious diseases: Part I","volume":"280","author":[{"family":"May","given":"R. M."},{"family":"Anderson","given":"R. M."}],"issued":{"date-parts":[["1979"]]}}}],"schema":"https://github.com/citation-style-language/schema/raw/master/csl-citation.json"} </w:instrText>
      </w:r>
      <w:r w:rsidR="00356AEF" w:rsidRPr="00511C17">
        <w:fldChar w:fldCharType="separate"/>
      </w:r>
      <w:r w:rsidR="009F541F" w:rsidRPr="009F541F">
        <w:t>(e.g. Kermack and McKendrick 1927; May and Anderson 1979)</w:t>
      </w:r>
      <w:r w:rsidR="00356AEF" w:rsidRPr="00511C17">
        <w:fldChar w:fldCharType="end"/>
      </w:r>
      <w:r w:rsidR="00356AEF" w:rsidRPr="00511C17">
        <w:t>.</w:t>
      </w:r>
      <w:r w:rsidR="00356AEF">
        <w:t xml:space="preserve"> Simple host-disease compartment models typically consider a local population of individuals (of people, animals, plants</w:t>
      </w:r>
      <w:r w:rsidR="00A67F12">
        <w:t>,</w:t>
      </w:r>
      <w:r w:rsidR="00356AEF">
        <w:t xml:space="preserve"> etc</w:t>
      </w:r>
      <w:r w:rsidR="00A67F12">
        <w:t>.</w:t>
      </w:r>
      <w:r w:rsidR="00356AEF">
        <w:t xml:space="preserve">) of a given size, where the population can be divided into different groups or ‘compartments’ based on their disease status (susceptible, infected, recovered, etc). The number of individuals in each compartment change as susceptible individuals become infected and recover. </w:t>
      </w:r>
      <w:r w:rsidR="00AE1FCB">
        <w:t xml:space="preserve">While relatively simple, these models are still one of the most popular ways of investigating the </w:t>
      </w:r>
      <w:r w:rsidR="00343569">
        <w:t>transmission</w:t>
      </w:r>
      <w:r w:rsidR="00AE1FCB">
        <w:t xml:space="preserve"> of disease in populations </w:t>
      </w:r>
      <w:r w:rsidR="00AE1FCB">
        <w:fldChar w:fldCharType="begin"/>
      </w:r>
      <w:r w:rsidR="00AE1FCB">
        <w:instrText xml:space="preserve"> ADDIN ZOTERO_ITEM CSL_CITATION {"citationID":"yZSqBtzI","properties":{"formattedCitation":"(Vynnycky and White 2010)","plainCitation":"(Vynnycky and White 2010)","noteIndex":0},"citationItems":[{"id":4091,"uris":["http://zotero.org/users/634364/items/THN3SQXH"],"itemData":{"id":4091,"type":"book","ISBN":"0-19-856576-3","note":"Citation Key: RN2834","publisher":"Oxford University Press","title":"An introduction to infectious disease modelling","author":[{"family":"Vynnycky","given":"Emilia"},{"family":"White","given":"Richard"}],"issued":{"date-parts":[["2010"]]}}}],"schema":"https://github.com/citation-style-language/schema/raw/master/csl-citation.json"} </w:instrText>
      </w:r>
      <w:r w:rsidR="00AE1FCB">
        <w:fldChar w:fldCharType="separate"/>
      </w:r>
      <w:r w:rsidR="009F541F" w:rsidRPr="009F541F">
        <w:t>(Vynnycky and White 2010)</w:t>
      </w:r>
      <w:r w:rsidR="00AE1FCB">
        <w:fldChar w:fldCharType="end"/>
      </w:r>
      <w:r w:rsidR="00431AF7">
        <w:t xml:space="preserve">. </w:t>
      </w:r>
      <w:r w:rsidR="001159B2">
        <w:t>We describe our chosen model representation in more detail below.</w:t>
      </w:r>
    </w:p>
    <w:p w14:paraId="6BA1D057" w14:textId="41A54DEE" w:rsidR="00F37182" w:rsidRDefault="00AE1FCB" w:rsidP="00F37182">
      <w:pPr>
        <w:pStyle w:val="dotpointindented"/>
      </w:pPr>
      <w:r>
        <w:t>Model parameters: Once a model representation of the host-disease system was constructed, the parameters governing the transition of individuals in</w:t>
      </w:r>
      <w:r w:rsidR="001159B2">
        <w:t xml:space="preserve"> </w:t>
      </w:r>
      <w:r>
        <w:t xml:space="preserve">to, and out of, each compartment were then compiled. </w:t>
      </w:r>
      <w:proofErr w:type="gramStart"/>
      <w:r>
        <w:t>The majority of</w:t>
      </w:r>
      <w:proofErr w:type="gramEnd"/>
      <w:r>
        <w:t xml:space="preserve"> parameter estimates were derived from the literature, usually from published sources where similar modelling had been undertaken</w:t>
      </w:r>
      <w:r w:rsidR="00431AF7">
        <w:t xml:space="preserve">. </w:t>
      </w:r>
      <w:r>
        <w:t>However, relevant literature that had documented birth and/or survival rates of the hosts or had documented population declines from the disease in question were also used as sources of parameters</w:t>
      </w:r>
      <w:r w:rsidR="00431AF7">
        <w:t xml:space="preserve">. </w:t>
      </w:r>
      <w:r>
        <w:t xml:space="preserve">In some instances, raw data were analysed to estimate </w:t>
      </w:r>
      <w:r w:rsidR="001159B2">
        <w:t xml:space="preserve">parameters (e.g. recruitment rate in Southern Bent-wing </w:t>
      </w:r>
      <w:r w:rsidR="00A67F12">
        <w:t>B</w:t>
      </w:r>
      <w:r w:rsidR="001159B2">
        <w:t>ats</w:t>
      </w:r>
      <w:r w:rsidR="00A67F12">
        <w:t xml:space="preserve"> </w:t>
      </w:r>
      <w:r w:rsidR="00A67F12" w:rsidRPr="00A67F12">
        <w:t>(SBWB</w:t>
      </w:r>
      <w:r w:rsidR="00EF7335">
        <w:t>s</w:t>
      </w:r>
      <w:r w:rsidR="00A67F12" w:rsidRPr="00A67F12">
        <w:t xml:space="preserve">; </w:t>
      </w:r>
      <w:proofErr w:type="spellStart"/>
      <w:r w:rsidR="00A67F12" w:rsidRPr="00DA5824">
        <w:rPr>
          <w:i/>
          <w:iCs/>
        </w:rPr>
        <w:t>Miniopterus</w:t>
      </w:r>
      <w:proofErr w:type="spellEnd"/>
      <w:r w:rsidR="00A67F12" w:rsidRPr="00DA5824">
        <w:rPr>
          <w:i/>
          <w:iCs/>
        </w:rPr>
        <w:t xml:space="preserve"> </w:t>
      </w:r>
      <w:proofErr w:type="spellStart"/>
      <w:r w:rsidR="00A67F12" w:rsidRPr="00DA5824">
        <w:rPr>
          <w:i/>
          <w:iCs/>
        </w:rPr>
        <w:t>orianae</w:t>
      </w:r>
      <w:proofErr w:type="spellEnd"/>
      <w:r w:rsidR="00A67F12" w:rsidRPr="00DA5824">
        <w:rPr>
          <w:i/>
          <w:iCs/>
        </w:rPr>
        <w:t xml:space="preserve"> </w:t>
      </w:r>
      <w:proofErr w:type="spellStart"/>
      <w:r w:rsidR="00A67F12" w:rsidRPr="00DA5824">
        <w:rPr>
          <w:i/>
          <w:iCs/>
        </w:rPr>
        <w:t>bassanii</w:t>
      </w:r>
      <w:proofErr w:type="spellEnd"/>
      <w:r w:rsidR="00A67F12" w:rsidRPr="00A67F12">
        <w:t>)</w:t>
      </w:r>
      <w:r w:rsidR="001159B2">
        <w:t xml:space="preserve"> – see below)</w:t>
      </w:r>
      <w:r w:rsidR="00431AF7">
        <w:t xml:space="preserve">. </w:t>
      </w:r>
      <w:r w:rsidR="001159B2">
        <w:t>Transmission parameters are notoriously hard to estimate and where there was no documented transmission rate, one was derived using calibration to achieve a target disease prevalence or disease reproductive rate (</w:t>
      </w:r>
      <m:oMath>
        <m:sSub>
          <m:sSubPr>
            <m:ctrlPr>
              <w:rPr>
                <w:rFonts w:ascii="Cambria Math" w:hAnsi="Cambria Math"/>
                <w:i/>
              </w:rPr>
            </m:ctrlPr>
          </m:sSubPr>
          <m:e>
            <m:r>
              <w:rPr>
                <w:rFonts w:ascii="Cambria Math" w:hAnsi="Cambria Math"/>
              </w:rPr>
              <m:t>R</m:t>
            </m:r>
          </m:e>
          <m:sub>
            <m:r>
              <w:rPr>
                <w:rFonts w:ascii="Cambria Math" w:hAnsi="Cambria Math"/>
              </w:rPr>
              <m:t>0</m:t>
            </m:r>
          </m:sub>
        </m:sSub>
      </m:oMath>
      <w:r w:rsidR="001159B2">
        <w:t>).</w:t>
      </w:r>
    </w:p>
    <w:p w14:paraId="5BF9C667" w14:textId="2D9EA37C" w:rsidR="00E34489" w:rsidRDefault="001159B2" w:rsidP="00F37182">
      <w:pPr>
        <w:pStyle w:val="dotpointindented"/>
      </w:pPr>
      <w:r>
        <w:t xml:space="preserve">Model scenarios: Once a plausible model was constructed, </w:t>
      </w:r>
      <w:r w:rsidR="00E34489">
        <w:t>a set of scenarios were then simulated to investigate the likely impacts of the disease on the host population as well as the effectiveness of selected interventions to mitigate those impacts</w:t>
      </w:r>
      <w:r w:rsidR="00431AF7">
        <w:t xml:space="preserve">. </w:t>
      </w:r>
      <w:r w:rsidR="00E34489" w:rsidRPr="00DB59DF">
        <w:t xml:space="preserve">Host/disease dynamics and potential management interventions were simulated over </w:t>
      </w:r>
      <w:r w:rsidR="00E34489">
        <w:t xml:space="preserve">a </w:t>
      </w:r>
      <w:r w:rsidR="00B0292D">
        <w:t>5</w:t>
      </w:r>
      <w:r w:rsidR="00A67F12">
        <w:t>–</w:t>
      </w:r>
      <w:proofErr w:type="gramStart"/>
      <w:r w:rsidR="00E34489">
        <w:t>20</w:t>
      </w:r>
      <w:r w:rsidR="00E34489" w:rsidRPr="00DB59DF">
        <w:t xml:space="preserve"> year</w:t>
      </w:r>
      <w:proofErr w:type="gramEnd"/>
      <w:r w:rsidR="00E34489">
        <w:t xml:space="preserve"> </w:t>
      </w:r>
      <w:r w:rsidR="00D531A3">
        <w:t>p</w:t>
      </w:r>
      <w:r w:rsidR="00E34489">
        <w:t>eriod</w:t>
      </w:r>
      <w:r w:rsidR="00E34489" w:rsidRPr="00DB59DF">
        <w:t>.</w:t>
      </w:r>
      <w:r w:rsidR="00E34489">
        <w:t xml:space="preserve"> </w:t>
      </w:r>
      <w:r w:rsidR="00E34489" w:rsidRPr="00DB59DF">
        <w:t>However, for diseases with rapid transmission (e.g. HPAI), dynamics over a single season (corresponding to one complete epidemic) were simulated</w:t>
      </w:r>
      <w:r w:rsidR="00431AF7">
        <w:t xml:space="preserve">. </w:t>
      </w:r>
    </w:p>
    <w:p w14:paraId="7921374D" w14:textId="5CA9E692" w:rsidR="00D531A3" w:rsidRPr="00DB59DF" w:rsidRDefault="00E34489" w:rsidP="00A0449E">
      <w:pPr>
        <w:pStyle w:val="dotpointindented"/>
      </w:pPr>
      <w:r>
        <w:t>Uncertainty analysis:</w:t>
      </w:r>
      <w:r w:rsidR="001159B2">
        <w:t xml:space="preserve"> </w:t>
      </w:r>
      <w:r>
        <w:t xml:space="preserve">To capture the likely uncertainty in the modelled outcomes, two approaches were used. The first approach was to </w:t>
      </w:r>
      <w:r w:rsidR="00D531A3">
        <w:t xml:space="preserve">use a stochastic model representation, which </w:t>
      </w:r>
      <w:r w:rsidR="00EA07D1">
        <w:t>was</w:t>
      </w:r>
      <w:r w:rsidR="00D531A3">
        <w:t xml:space="preserve"> likely to better represent the outcomes of chance events in small populations (i.e. demographic stochasticity)</w:t>
      </w:r>
      <w:r w:rsidR="00431AF7">
        <w:t xml:space="preserve">. </w:t>
      </w:r>
      <w:r w:rsidR="00D531A3">
        <w:t>More details about the stochastic model representation are presented below. The second approach was to investigate the influence of parameter uncertainty. For this purpose</w:t>
      </w:r>
      <w:r w:rsidR="00CA2209">
        <w:t>,</w:t>
      </w:r>
      <w:r w:rsidR="00D531A3">
        <w:t xml:space="preserve"> g</w:t>
      </w:r>
      <w:r w:rsidR="00D531A3" w:rsidRPr="00DB59DF">
        <w:t xml:space="preserve">lobal sensitivity analysis </w:t>
      </w:r>
      <w:r w:rsidR="00D531A3" w:rsidRPr="00DB59DF">
        <w:fldChar w:fldCharType="begin"/>
      </w:r>
      <w:r w:rsidR="009F541F">
        <w:instrText xml:space="preserve"> ADDIN ZOTERO_ITEM CSL_CITATION {"citationID":"Mj0IHab0","properties":{"formattedCitation":"(e.g., Prowse {\\i{}et al.} 2016)","plainCitation":"(e.g., Prowse et al. 2016)","noteIndex":0},"citationItems":[{"id":4216,"uris":["http://zotero.org/users/634364/items/5FR5L2HL"],"itemData":{"id":4216,"type":"article-journal","container-title":"Ecosphere","DOI":"10.1002/ecs2.1238","ISSN":"2150-8925","issue":"3","note":"Citation Key: RN2696","page":"e01238-n/a","title":"An efficient protocol for the global sensitivity analysis of stochastic ecological models","volume":"7","author":[{"family":"Prowse","given":"Thomas A A"},{"family":"Bradshaw","given":"Corey J A"},{"family":"Delean","given":"Steven"},{"family":"Cassey","given":"Phillip"},{"family":"Lacy","given":"Robert C"},{"family":"Wells","given":"Konstans"},{"family":"Aiello-Lammens","given":"Matthew E"},{"family":"Akçakaya","given":"H R"},{"family":"Brook","given":"Barry W"}],"issued":{"date-parts":[["2016"]]}},"label":"page","prefix":"e.g., "}],"schema":"https://github.com/citation-style-language/schema/raw/master/csl-citation.json"} </w:instrText>
      </w:r>
      <w:r w:rsidR="00D531A3" w:rsidRPr="00DB59DF">
        <w:fldChar w:fldCharType="separate"/>
      </w:r>
      <w:r w:rsidR="009F541F" w:rsidRPr="009F541F">
        <w:t>(</w:t>
      </w:r>
      <w:r w:rsidR="005B24DC">
        <w:t xml:space="preserve">e.g. </w:t>
      </w:r>
      <w:r w:rsidR="009F541F" w:rsidRPr="009F541F">
        <w:t xml:space="preserve">Prowse </w:t>
      </w:r>
      <w:r w:rsidR="009F541F" w:rsidRPr="00DA5824">
        <w:t>et al</w:t>
      </w:r>
      <w:r w:rsidR="009F541F" w:rsidRPr="009F541F">
        <w:rPr>
          <w:i/>
          <w:iCs/>
        </w:rPr>
        <w:t>.</w:t>
      </w:r>
      <w:r w:rsidR="009F541F" w:rsidRPr="009F541F">
        <w:t xml:space="preserve"> 2016)</w:t>
      </w:r>
      <w:r w:rsidR="00D531A3" w:rsidRPr="00DB59DF">
        <w:fldChar w:fldCharType="end"/>
      </w:r>
      <w:r w:rsidR="00D531A3" w:rsidRPr="00DB59DF">
        <w:t xml:space="preserve"> </w:t>
      </w:r>
      <w:r w:rsidR="00CA2209" w:rsidRPr="00DB59DF">
        <w:t>w</w:t>
      </w:r>
      <w:r w:rsidR="00CA2209">
        <w:t>as</w:t>
      </w:r>
      <w:r w:rsidR="00CA2209" w:rsidRPr="00DB59DF">
        <w:t xml:space="preserve"> </w:t>
      </w:r>
      <w:r w:rsidR="00D531A3" w:rsidRPr="00DB59DF">
        <w:t>used to explore the sensitivity of model outcomes to variation in the key model parameters</w:t>
      </w:r>
      <w:r w:rsidR="00431AF7">
        <w:t xml:space="preserve">. </w:t>
      </w:r>
      <w:r w:rsidR="00D531A3">
        <w:t xml:space="preserve">Depending on the model complexity, </w:t>
      </w:r>
      <w:r w:rsidR="00120511">
        <w:t xml:space="preserve">key parameters were varied between </w:t>
      </w:r>
      <m:oMath>
        <m:r>
          <w:rPr>
            <w:rFonts w:ascii="Cambria Math" w:hAnsi="Cambria Math"/>
          </w:rPr>
          <m:t>±</m:t>
        </m:r>
      </m:oMath>
      <w:r w:rsidR="00CA2209">
        <w:t> </w:t>
      </w:r>
      <w:r w:rsidR="00120511">
        <w:t>30% of their value using Latin hypercube sampling</w:t>
      </w:r>
      <w:r w:rsidR="00CA2209">
        <w:t>,</w:t>
      </w:r>
      <w:r w:rsidR="00120511">
        <w:t xml:space="preserve"> and </w:t>
      </w:r>
      <w:r w:rsidR="00D531A3">
        <w:t>between 200</w:t>
      </w:r>
      <w:r w:rsidR="00CA2209">
        <w:t>–</w:t>
      </w:r>
      <w:r w:rsidR="00D531A3">
        <w:t>500 simulations were conducted for each model scenario to capture the effects of uncertainty on model outcomes.</w:t>
      </w:r>
    </w:p>
    <w:p w14:paraId="12EDB24C" w14:textId="50EC7A9E" w:rsidR="002400ED" w:rsidRDefault="00D531A3" w:rsidP="00DA5824">
      <w:pPr>
        <w:pStyle w:val="dotpointindented"/>
      </w:pPr>
      <w:r>
        <w:t>Summary: Simulations for each scenario were collated and summarised to present the outcomes of a likely pathogen incursion on the host population as well as the outcomes of potential mitigation actions</w:t>
      </w:r>
      <w:r w:rsidR="00431AF7">
        <w:t xml:space="preserve">. </w:t>
      </w:r>
      <w:r w:rsidR="002400ED">
        <w:t xml:space="preserve">These were usually summarised as mean trajectories (with 95% confidence intervals) over the simulated </w:t>
      </w:r>
      <w:proofErr w:type="gramStart"/>
      <w:r w:rsidR="002400ED">
        <w:t>time period</w:t>
      </w:r>
      <w:proofErr w:type="gramEnd"/>
      <w:r w:rsidR="002400ED">
        <w:t xml:space="preserve"> and/or selected summaries of key statistics (e.g. mortality rates, population reduction).</w:t>
      </w:r>
      <w:r>
        <w:t xml:space="preserve"> </w:t>
      </w:r>
    </w:p>
    <w:p w14:paraId="7F0621E3" w14:textId="0C2EA467" w:rsidR="002400ED" w:rsidRDefault="002400ED" w:rsidP="00A0449E">
      <w:pPr>
        <w:pStyle w:val="Heading4"/>
      </w:pPr>
      <w:r>
        <w:lastRenderedPageBreak/>
        <w:t>Model representation</w:t>
      </w:r>
    </w:p>
    <w:p w14:paraId="40980BED" w14:textId="0CE5AAF8" w:rsidR="003D27AB" w:rsidRPr="00511C17" w:rsidRDefault="003D27AB" w:rsidP="003D27AB">
      <w:r w:rsidRPr="00511C17">
        <w:t xml:space="preserve">The potential impacts of a pathogen incursion into populations of each species was evaluated using host-disease models </w:t>
      </w:r>
      <w:r w:rsidRPr="00511C17">
        <w:fldChar w:fldCharType="begin" w:fldLock="1"/>
      </w:r>
      <w:r w:rsidR="00356AEF">
        <w:instrText xml:space="preserve"> ADDIN ZOTERO_ITEM CSL_CITATION {"citationID":"lSJS4YSK","properties":{"formattedCitation":"(Kermack and McKendrick 1927; May and Anderson 1979)","plainCitation":"(Kermack and McKendrick 1927; May and Anderson 1979)","noteIndex":0},"citationItems":[{"id":1032,"uris":["http://zotero.org/users/634364/items/XZ98ZTX3"],"itemData":{"id":1032,"type":"article-journal","container-title":"Proceedings of the Royal Society","page":"700-721","title":"A contribution to the mathematical theory of epidemics","volume":"A115","author":[{"family":"Kermack","given":"W. O."},{"family":"McKendrick","given":"A. G."}],"issued":{"date-parts":[["1927"]]}}},{"id":2179,"uris":["http://zotero.org/users/634364/items/R33WTFLX"],"itemData":{"id":2179,"type":"article-journal","container-title":"Nature","page":"361-367","title":"Population biology of infectious diseases: Part I","volume":"280","author":[{"family":"May","given":"R. M."},{"family":"Anderson","given":"R. M."}],"issued":{"date-parts":[["1979"]]}}}],"schema":"https://github.com/citation-style-language/schema/raw/master/csl-citation.json"} </w:instrText>
      </w:r>
      <w:r w:rsidRPr="00511C17">
        <w:fldChar w:fldCharType="separate"/>
      </w:r>
      <w:r w:rsidR="009F541F" w:rsidRPr="009F541F">
        <w:t>(Kermack and McKendrick 1927; May and Anderson 1979)</w:t>
      </w:r>
      <w:r w:rsidRPr="00511C17">
        <w:fldChar w:fldCharType="end"/>
      </w:r>
      <w:r w:rsidRPr="00511C17">
        <w:t>.</w:t>
      </w:r>
      <w:r w:rsidR="005215DA">
        <w:t xml:space="preserve"> </w:t>
      </w:r>
      <w:r w:rsidRPr="00511C17">
        <w:t>These models consisted of deterministic host-disease compartment models with compartments consisting of susceptible (</w:t>
      </w:r>
      <m:oMath>
        <m:r>
          <w:rPr>
            <w:rFonts w:ascii="Cambria Math" w:hAnsi="Cambria Math"/>
          </w:rPr>
          <m:t>S</m:t>
        </m:r>
      </m:oMath>
      <w:r w:rsidRPr="00511C17">
        <w:t>), Infected (</w:t>
      </w:r>
      <m:oMath>
        <m:r>
          <w:rPr>
            <w:rFonts w:ascii="Cambria Math" w:hAnsi="Cambria Math"/>
          </w:rPr>
          <m:t>I</m:t>
        </m:r>
      </m:oMath>
      <w:r w:rsidRPr="00511C17">
        <w:t xml:space="preserve">) or </w:t>
      </w:r>
      <w:r w:rsidR="00511C17">
        <w:t>r</w:t>
      </w:r>
      <w:r w:rsidRPr="00511C17">
        <w:t>ecovered (</w:t>
      </w:r>
      <m:oMath>
        <m:r>
          <w:rPr>
            <w:rFonts w:ascii="Cambria Math" w:hAnsi="Cambria Math"/>
          </w:rPr>
          <m:t>R</m:t>
        </m:r>
      </m:oMath>
      <w:r w:rsidRPr="00511C17">
        <w:t>) individuals, (and optionally exposed (</w:t>
      </w:r>
      <m:oMath>
        <m:r>
          <w:rPr>
            <w:rFonts w:ascii="Cambria Math" w:hAnsi="Cambria Math"/>
          </w:rPr>
          <m:t>E</m:t>
        </m:r>
      </m:oMath>
      <w:r w:rsidRPr="00511C17">
        <w:t xml:space="preserve">) individuals), with the number of compartments dependent on the characteristics of the host/pathogen system being modelled (Figure </w:t>
      </w:r>
      <w:r w:rsidR="0005472E">
        <w:t>2</w:t>
      </w:r>
      <w:r w:rsidRPr="00511C17">
        <w:t>).</w:t>
      </w:r>
      <w:r w:rsidR="00BE3EC4">
        <w:t xml:space="preserve"> </w:t>
      </w:r>
    </w:p>
    <w:p w14:paraId="240E5CB7" w14:textId="77777777" w:rsidR="003D27AB" w:rsidRDefault="003D27AB" w:rsidP="003D27AB"/>
    <w:p w14:paraId="5607953F" w14:textId="77777777" w:rsidR="003D27AB" w:rsidRDefault="003D27AB" w:rsidP="003D27AB">
      <w:pPr>
        <w:jc w:val="center"/>
      </w:pPr>
      <w:r>
        <w:rPr>
          <w:noProof/>
        </w:rPr>
        <w:drawing>
          <wp:inline distT="0" distB="0" distL="0" distR="0" wp14:anchorId="40AF4E02" wp14:editId="6166ABCF">
            <wp:extent cx="4906800" cy="2368800"/>
            <wp:effectExtent l="0" t="0" r="8255" b="0"/>
            <wp:docPr id="1464522583" name="Picture 2"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22583" name="Picture 2" descr="A diagram of a flowchart&#10;&#10;Description automatically generated"/>
                    <pic:cNvPicPr/>
                  </pic:nvPicPr>
                  <pic:blipFill rotWithShape="1">
                    <a:blip r:embed="rId40" cstate="screen">
                      <a:extLst>
                        <a:ext uri="{28A0092B-C50C-407E-A947-70E740481C1C}">
                          <a14:useLocalDpi xmlns:a14="http://schemas.microsoft.com/office/drawing/2010/main" val="0"/>
                        </a:ext>
                      </a:extLst>
                    </a:blip>
                    <a:srcRect l="14573" t="10113" r="12290" b="27074"/>
                    <a:stretch/>
                  </pic:blipFill>
                  <pic:spPr bwMode="auto">
                    <a:xfrm>
                      <a:off x="0" y="0"/>
                      <a:ext cx="4906800" cy="2368800"/>
                    </a:xfrm>
                    <a:prstGeom prst="rect">
                      <a:avLst/>
                    </a:prstGeom>
                    <a:ln>
                      <a:noFill/>
                    </a:ln>
                    <a:extLst>
                      <a:ext uri="{53640926-AAD7-44D8-BBD7-CCE9431645EC}">
                        <a14:shadowObscured xmlns:a14="http://schemas.microsoft.com/office/drawing/2010/main"/>
                      </a:ext>
                    </a:extLst>
                  </pic:spPr>
                </pic:pic>
              </a:graphicData>
            </a:graphic>
          </wp:inline>
        </w:drawing>
      </w:r>
    </w:p>
    <w:p w14:paraId="7BF577A3" w14:textId="6D71BB2B" w:rsidR="003D27AB" w:rsidRDefault="003D27AB" w:rsidP="0005472E">
      <w:pPr>
        <w:pStyle w:val="Caption-Figure"/>
      </w:pPr>
      <w:bookmarkStart w:id="54" w:name="_Toc198634152"/>
      <w:r>
        <w:t xml:space="preserve">Figure </w:t>
      </w:r>
      <w:r w:rsidR="0005472E">
        <w:t>2</w:t>
      </w:r>
      <w:r>
        <w:t>.</w:t>
      </w:r>
      <w:r w:rsidR="00BE3EC4">
        <w:t xml:space="preserve"> </w:t>
      </w:r>
      <w:r>
        <w:t>Compartment host-pathogen model including classes for susceptible (S), infected (I) and recovered (immune) (R) classes.</w:t>
      </w:r>
      <w:bookmarkEnd w:id="54"/>
    </w:p>
    <w:p w14:paraId="12FB9BAF" w14:textId="77777777" w:rsidR="003D27AB" w:rsidRDefault="003D27AB" w:rsidP="003D27AB"/>
    <w:p w14:paraId="3A649B93" w14:textId="7C4E2CB3" w:rsidR="00DB59DF" w:rsidRDefault="003D27AB" w:rsidP="003D27AB">
      <w:r w:rsidRPr="00511C17">
        <w:t xml:space="preserve">For </w:t>
      </w:r>
      <w:proofErr w:type="gramStart"/>
      <w:r w:rsidRPr="00511C17">
        <w:t>particular host/pathogen</w:t>
      </w:r>
      <w:proofErr w:type="gramEnd"/>
      <w:r w:rsidRPr="00511C17">
        <w:t xml:space="preserve"> systems, disease transmission could occur through pathways other than just through intra-specific contacts.</w:t>
      </w:r>
      <w:r w:rsidR="00BE3EC4">
        <w:t xml:space="preserve"> </w:t>
      </w:r>
      <w:r w:rsidRPr="00511C17">
        <w:t>These pathways could include infection from an environmental reservoir (e.g.</w:t>
      </w:r>
      <w:r w:rsidR="00F41ADC">
        <w:t> </w:t>
      </w:r>
      <w:r w:rsidRPr="00511C17">
        <w:t xml:space="preserve">caves containing the </w:t>
      </w:r>
      <w:r w:rsidR="00F41ADC">
        <w:t>White Nose Syndrome (</w:t>
      </w:r>
      <w:r w:rsidRPr="00511C17">
        <w:t>WNS</w:t>
      </w:r>
      <w:r w:rsidR="00F41ADC">
        <w:t>)</w:t>
      </w:r>
      <w:r w:rsidRPr="00511C17">
        <w:t xml:space="preserve"> fungus</w:t>
      </w:r>
      <w:proofErr w:type="gramStart"/>
      <w:r w:rsidRPr="00511C17">
        <w:t>)</w:t>
      </w:r>
      <w:r w:rsidR="00F41ADC">
        <w:t>,</w:t>
      </w:r>
      <w:r w:rsidRPr="00511C17">
        <w:t xml:space="preserve"> or</w:t>
      </w:r>
      <w:proofErr w:type="gramEnd"/>
      <w:r w:rsidRPr="00511C17">
        <w:t xml:space="preserve"> could include sympatric species that share the pathogen leading to multi-host species transmission.</w:t>
      </w:r>
      <w:r w:rsidR="00BE3EC4">
        <w:t xml:space="preserve"> </w:t>
      </w:r>
      <w:r w:rsidRPr="00511C17">
        <w:t xml:space="preserve">The latter situation often occurs in diseases like </w:t>
      </w:r>
      <w:r w:rsidR="000E0BE1">
        <w:t>Chytridiomycosis</w:t>
      </w:r>
      <w:r w:rsidR="00F41ADC">
        <w:t>,</w:t>
      </w:r>
      <w:r w:rsidRPr="00511C17">
        <w:t xml:space="preserve"> where an abundant species with reduced susceptibility to infection acts a reservoir for the disease infecting other susceptible hosts </w:t>
      </w:r>
      <w:r w:rsidRPr="00511C17">
        <w:fldChar w:fldCharType="begin"/>
      </w:r>
      <w:r w:rsidR="009F541F">
        <w:instrText xml:space="preserve"> ADDIN ZOTERO_ITEM CSL_CITATION {"citationID":"qEtRCm6M","properties":{"formattedCitation":"(Heard {\\i{}et al.} 2014)","plainCitation":"(Heard et al. 2014)","noteIndex":0},"citationItems":[{"id":5122,"uris":["http://zotero.org/users/634364/items/6SYZPYGI"],"itemData":{"id":5122,"type":"article-journal","abstract":"Identifying determinants of the probability and intensity of infections is important for understanding the epidemiology of wildlife diseases, and for managing their impact on threatened species. Chytridiomycosis, caused by the fungal pathogen Batrachochytrium dendrobatidis, has decimated populations of some amphibians. However, recent studies have identified important environmental constraints on the disease, related to the pathogen's physiological tolerances. In this study, we identified several intrinsic and extrinsic determinants of the probability and intensity of chytrid infections for the threatened growling grass frog (Litoria raniformis) in southeastern Australia, and used mark-recapture to estimate the effect of chytrid infections on the probability of survival of these frogs. Water temperature and salinity had negative effects on both the probability and intensity of chytrid infections. We coupled models of the infection process with a model of the effect of chytrid infections on the probability of survival to assess variation in the impact of chytridiomycosis between wetlands with differing temperature and salinity profiles. Our results suggest that warm, saline wetlands may be refuges from chytridiomycosis for L. raniformis, and should be priorities for protection. Our results also suggest that management actions that increase water temperature (e.g., reducing canopy shading) and salinity (e.g., complementing inflows with groundwater) could be trialed to reduce the impacts of chytridiomycosis on this species. This and other recent studies highlight the value of research on environmental risk factors for chytridiomycosis. © 2014 by the Ecological Society of America.","container-title":"Ecological Applications","DOI":"10.1890/13-0389.1","ISSN":"10510761","issue":"4","title":"Wetland characteristics influence disease risk for a threatened amphibian","volume":"24","author":[{"family":"Heard","given":"G.W."},{"family":"Scroggie","given":"M.P."},{"family":"Clemann","given":"N."},{"family":"Ramsey","given":"D.S.L."}],"issued":{"date-parts":[["2014"]]}}}],"schema":"https://github.com/citation-style-language/schema/raw/master/csl-citation.json"} </w:instrText>
      </w:r>
      <w:r w:rsidRPr="00511C17">
        <w:fldChar w:fldCharType="separate"/>
      </w:r>
      <w:r w:rsidR="009F541F" w:rsidRPr="009F541F">
        <w:t xml:space="preserve">(Heard </w:t>
      </w:r>
      <w:r w:rsidR="009F541F" w:rsidRPr="00DA5824">
        <w:t>et al.</w:t>
      </w:r>
      <w:r w:rsidR="009F541F" w:rsidRPr="00F41ADC">
        <w:t xml:space="preserve"> </w:t>
      </w:r>
      <w:r w:rsidR="009F541F" w:rsidRPr="009F541F">
        <w:t>2014)</w:t>
      </w:r>
      <w:r w:rsidRPr="00511C17">
        <w:fldChar w:fldCharType="end"/>
      </w:r>
      <w:r w:rsidRPr="00511C17">
        <w:t>.</w:t>
      </w:r>
      <w:r w:rsidR="00BE3EC4">
        <w:t xml:space="preserve"> </w:t>
      </w:r>
      <w:r w:rsidRPr="00511C17">
        <w:t>Rather than explicitly model</w:t>
      </w:r>
      <w:r w:rsidR="00F41ADC">
        <w:t>ling</w:t>
      </w:r>
      <w:r w:rsidRPr="00511C17">
        <w:t xml:space="preserve"> the pathogen dynamics in these reservoir hosts </w:t>
      </w:r>
      <w:r w:rsidRPr="00511C17">
        <w:fldChar w:fldCharType="begin"/>
      </w:r>
      <w:r w:rsidR="009F541F">
        <w:instrText xml:space="preserve"> ADDIN ZOTERO_ITEM CSL_CITATION {"citationID":"9CYtRV5R","properties":{"formattedCitation":"(e.g., Barron {\\i{}et al.} 2015)","plainCitation":"(e.g., Barron et al. 2015)","noteIndex":0},"citationItems":[{"id":12,"uris":["http://zotero.org/users/634364/items/6TQJM79L"],"itemData":{"id":12,"type":"article-journal","abstract":"AIM: To explore how the inclusion of multi-host dynamics affects the predicted prevalence of bovine tuberculosis (TB) in possums and other host species following the current best practice for control of TB in large difficult and remote areas, to identify which host species are responsible for changes in predicted prevalence, and whether TB can persist in possum-free host communities.METHODS: Multi-host TB models were constructed, comprising three host species with density-dependent population growth, density-dependent disease transmission and susceptible and infected classes. Models were parameterised for two case studies of current concern in New Zealand, namely chronic TB persistence in a possum-deer-pig complex in extensive forest, and in a possum-pig-ferret complex in unforested semi-arid shrub and grasslands. Persistence of TB in the face of best practice possum control was evaluated from model simulations, and the contribution of different hosts to persistence of TB was assessed by removing each host species in turn from the simulations. A sensitivity test explored how different parameter values affected modelled persistence of TB.RESULTS: The forest multi-host model-predicted amplification of TB prevalence due to the presence of pigs. The presence of pigs and/or deer did not jeopardise the success of best practice possum control in eradicating TB from the system, as pigs and deer are effectively end-hosts for TB. Sensitivity analyses indicated these interpretations were robust to uncertainty in model parameter values. The grassland system model predicted that the multi-host species complex could potentially lead to failure of eradication of TB under possum-only control, due to TB persisting in ferret and pig populations in the absence of possum hosts through reciprocal scavenging, resulting in spillback transmission to possums once their populations had started to recover from control.CONCLUSIONS: With respect to management of TB, for modelled forest habitats, 15 years of effective possum control was predicted to eradicate TB from the possum-deer-pig host community, indicating the current focus on possum-only control is appropriate for such areas. For grassland model systems, TB was predicted to persist in the ferret-pig host complex in the absence of possums, potentially jeopardising the effectiveness of possum-only control programmes. However this outcome depended on the occurrence and rate of pigs acquiring TB from ferrets, which is unknown. Thus some estimation of this transmission parameter is required to enable managers to assess if multi-host disease dynamics are important for their TB control programmes.","container-title":"New Zealand Veterinary Journal","DOI":"10.1080/00480169.2014.968229","ISSN":"0048-0169","issue":"sup1","page":"68-76","title":"The role of multiple wildlife hosts in the persistence and spread of bovine tuberculosis in New Zealand","volume":"63","author":[{"family":"Barron","given":"M. C."},{"family":"Tompkins","given":"D. M."},{"family":"Ramsey","given":"D. S. L."},{"family":"Bosson","given":"M. A. J."}],"issued":{"date-parts":[["2015",3]]}},"label":"page","prefix":"e.g., "}],"schema":"https://github.com/citation-style-language/schema/raw/master/csl-citation.json"} </w:instrText>
      </w:r>
      <w:r w:rsidRPr="00511C17">
        <w:fldChar w:fldCharType="separate"/>
      </w:r>
      <w:r w:rsidR="009F541F" w:rsidRPr="009F541F">
        <w:t>(</w:t>
      </w:r>
      <w:r w:rsidR="005B24DC">
        <w:t xml:space="preserve">e.g. </w:t>
      </w:r>
      <w:r w:rsidR="009F541F" w:rsidRPr="009F541F">
        <w:t xml:space="preserve">Barron </w:t>
      </w:r>
      <w:r w:rsidR="009F541F" w:rsidRPr="00DA5824">
        <w:t>et al.</w:t>
      </w:r>
      <w:r w:rsidR="009F541F" w:rsidRPr="00F41ADC">
        <w:t xml:space="preserve"> </w:t>
      </w:r>
      <w:r w:rsidR="009F541F" w:rsidRPr="009F541F">
        <w:t>2015)</w:t>
      </w:r>
      <w:r w:rsidRPr="00511C17">
        <w:fldChar w:fldCharType="end"/>
      </w:r>
      <w:r w:rsidRPr="00511C17">
        <w:t xml:space="preserve">, we opted to include an additional compartment representing ‘environmental transmission’, which acted as a general source of additional disease transmission to the primary host (Figure </w:t>
      </w:r>
      <w:r w:rsidR="00EE5691">
        <w:t>3</w:t>
      </w:r>
      <w:r w:rsidRPr="00511C17">
        <w:t>).</w:t>
      </w:r>
    </w:p>
    <w:p w14:paraId="06FF2511" w14:textId="77777777" w:rsidR="00B0292D" w:rsidRPr="00511C17" w:rsidRDefault="00B0292D" w:rsidP="003D27AB"/>
    <w:p w14:paraId="0CD85659" w14:textId="7128F5B1" w:rsidR="003D27AB" w:rsidRDefault="00B6123D" w:rsidP="003D27AB">
      <w:r>
        <w:rPr>
          <w:noProof/>
        </w:rPr>
        <w:drawing>
          <wp:inline distT="0" distB="0" distL="0" distR="0" wp14:anchorId="356E810E" wp14:editId="4F61437B">
            <wp:extent cx="6119549" cy="2743200"/>
            <wp:effectExtent l="0" t="0" r="0" b="0"/>
            <wp:docPr id="1944573901" name="Picture 1"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73901" name="Picture 1" descr="A diagram of a flowchart&#10;&#10;AI-generated content may be incorrect."/>
                    <pic:cNvPicPr/>
                  </pic:nvPicPr>
                  <pic:blipFill rotWithShape="1">
                    <a:blip r:embed="rId41" cstate="screen">
                      <a:extLst>
                        <a:ext uri="{28A0092B-C50C-407E-A947-70E740481C1C}">
                          <a14:useLocalDpi xmlns:a14="http://schemas.microsoft.com/office/drawing/2010/main" val="0"/>
                        </a:ext>
                      </a:extLst>
                    </a:blip>
                    <a:srcRect t="11084" b="9224"/>
                    <a:stretch/>
                  </pic:blipFill>
                  <pic:spPr bwMode="auto">
                    <a:xfrm>
                      <a:off x="0" y="0"/>
                      <a:ext cx="6120765" cy="2743745"/>
                    </a:xfrm>
                    <a:prstGeom prst="rect">
                      <a:avLst/>
                    </a:prstGeom>
                    <a:ln>
                      <a:noFill/>
                    </a:ln>
                    <a:extLst>
                      <a:ext uri="{53640926-AAD7-44D8-BBD7-CCE9431645EC}">
                        <a14:shadowObscured xmlns:a14="http://schemas.microsoft.com/office/drawing/2010/main"/>
                      </a:ext>
                    </a:extLst>
                  </pic:spPr>
                </pic:pic>
              </a:graphicData>
            </a:graphic>
          </wp:inline>
        </w:drawing>
      </w:r>
    </w:p>
    <w:p w14:paraId="6275451C" w14:textId="37FAA608" w:rsidR="003D27AB" w:rsidRDefault="003D27AB" w:rsidP="00EE5691">
      <w:pPr>
        <w:pStyle w:val="Caption-Figure"/>
      </w:pPr>
      <w:bookmarkStart w:id="55" w:name="_Toc198634153"/>
      <w:r>
        <w:t xml:space="preserve">Figure </w:t>
      </w:r>
      <w:r w:rsidR="00EE5691">
        <w:t>3</w:t>
      </w:r>
      <w:r>
        <w:t>.</w:t>
      </w:r>
      <w:r w:rsidR="00BE3EC4">
        <w:t xml:space="preserve"> </w:t>
      </w:r>
      <w:r>
        <w:t>Compartment host-pathogen model including environmental transmission (ET), which was used to represent transmission pathways from an environmental reservoir or from sympatric species acting as a reservoir for the pathogen.</w:t>
      </w:r>
      <w:bookmarkEnd w:id="55"/>
      <w:r>
        <w:t xml:space="preserve"> </w:t>
      </w:r>
    </w:p>
    <w:p w14:paraId="47E92687" w14:textId="77777777" w:rsidR="003D27AB" w:rsidRDefault="003D27AB" w:rsidP="003D27AB"/>
    <w:p w14:paraId="5677DD56" w14:textId="104D2734" w:rsidR="003D27AB" w:rsidRPr="00DB59DF" w:rsidRDefault="003D27AB" w:rsidP="003D27AB">
      <w:r w:rsidRPr="00DB59DF">
        <w:t xml:space="preserve">Host/pathogen models were formulated initially as deterministic </w:t>
      </w:r>
      <w:bookmarkStart w:id="56" w:name="_Hlk196219782"/>
      <w:r w:rsidRPr="00DB59DF">
        <w:t xml:space="preserve">ordinary differential equation (ODE) models </w:t>
      </w:r>
      <w:bookmarkEnd w:id="56"/>
      <w:r w:rsidRPr="00DB59DF">
        <w:fldChar w:fldCharType="begin"/>
      </w:r>
      <w:r w:rsidRPr="00DB59DF">
        <w:instrText xml:space="preserve"> ADDIN ZOTERO_ITEM CSL_CITATION {"citationID":"5R8w9VNE","properties":{"formattedCitation":"(Vynnycky and White 2010)","plainCitation":"(Vynnycky and White 2010)","noteIndex":0},"citationItems":[{"id":4091,"uris":["http://zotero.org/users/634364/items/THN3SQXH"],"itemData":{"id":4091,"type":"book","ISBN":"0-19-856576-3","note":"Citation Key: RN2834","publisher":"Oxford University Press","title":"An introduction to infectious disease modelling","author":[{"family":"Vynnycky","given":"Emilia"},{"family":"White","given":"Richard"}],"issued":{"date-parts":[["2010"]]}}}],"schema":"https://github.com/citation-style-language/schema/raw/master/csl-citation.json"} </w:instrText>
      </w:r>
      <w:r w:rsidRPr="00DB59DF">
        <w:fldChar w:fldCharType="separate"/>
      </w:r>
      <w:r w:rsidR="009F541F" w:rsidRPr="009F541F">
        <w:t>(Vynnycky and White 2010)</w:t>
      </w:r>
      <w:r w:rsidRPr="00DB59DF">
        <w:fldChar w:fldCharType="end"/>
      </w:r>
      <w:r w:rsidRPr="00DB59DF">
        <w:t>.</w:t>
      </w:r>
      <w:r w:rsidR="00BE3EC4">
        <w:t xml:space="preserve"> </w:t>
      </w:r>
      <w:r w:rsidRPr="00DB59DF">
        <w:t xml:space="preserve">However, deterministic models were likely to underestimate the impacts of disease on small populations where the influence of ‘chance </w:t>
      </w:r>
      <w:proofErr w:type="gramStart"/>
      <w:r w:rsidRPr="00DB59DF">
        <w:t>events’</w:t>
      </w:r>
      <w:proofErr w:type="gramEnd"/>
      <w:r w:rsidRPr="00DB59DF">
        <w:t xml:space="preserve"> may result in an increase in extinction risks in either the host or pathogen.</w:t>
      </w:r>
      <w:r w:rsidR="00932CD5">
        <w:t xml:space="preserve"> </w:t>
      </w:r>
      <w:r w:rsidR="004246AB">
        <w:t>T</w:t>
      </w:r>
      <w:r w:rsidRPr="00DB59DF">
        <w:t>o capture uncertainty around the impacts of pathogen incursions on populations</w:t>
      </w:r>
      <w:r w:rsidR="00F41ADC">
        <w:t>,</w:t>
      </w:r>
      <w:r w:rsidRPr="00DB59DF">
        <w:t xml:space="preserve"> it was necessary to develop stochastic versions of the deterministic host/disease models. The stochastic approach used here was to recast the deterministic equations as an </w:t>
      </w:r>
      <w:bookmarkStart w:id="57" w:name="_Hlk196219863"/>
      <w:r w:rsidRPr="00DB59DF">
        <w:t>individual-based model</w:t>
      </w:r>
      <w:r w:rsidR="005820D9">
        <w:t xml:space="preserve"> (IBM)</w:t>
      </w:r>
      <w:r w:rsidRPr="00DB59DF">
        <w:t xml:space="preserve"> </w:t>
      </w:r>
      <w:bookmarkEnd w:id="57"/>
      <w:r w:rsidRPr="00DB59DF">
        <w:t>incorporating demographic stochasticity</w:t>
      </w:r>
      <w:r w:rsidR="00C942D5">
        <w:t xml:space="preserve"> (Keeling and Rohani 2008)</w:t>
      </w:r>
      <w:r w:rsidRPr="00DB59DF">
        <w:t xml:space="preserve">. </w:t>
      </w:r>
      <w:r w:rsidR="00F41ADC">
        <w:t>As a result</w:t>
      </w:r>
      <w:r w:rsidRPr="00DB59DF">
        <w:t>, this approach simulates the fates of individuals with each individual subject to competing ‘events’ (</w:t>
      </w:r>
      <w:r w:rsidR="005B24DC">
        <w:t xml:space="preserve">e.g. </w:t>
      </w:r>
      <w:r w:rsidRPr="00DB59DF">
        <w:t>births, deaths, infection, and recovery). Events occur in continuous time and incorporate stochastic outcomes by simulating a random time-to-the-next-event based on the underlying rate for that event. The times for each event type are then sorted in chronological order</w:t>
      </w:r>
      <w:r w:rsidR="00F41ADC">
        <w:t>,</w:t>
      </w:r>
      <w:r w:rsidRPr="00DB59DF">
        <w:t xml:space="preserve"> with events occurring before the next ‘time horizon’ (e.g. 1 day) queued for processing. For example, if the transmission rate of a disease is given by </w:t>
      </w:r>
      <m:oMath>
        <m:r>
          <w:rPr>
            <w:rFonts w:ascii="Cambria Math" w:hAnsi="Cambria Math"/>
          </w:rPr>
          <m:t>λ</m:t>
        </m:r>
      </m:oMath>
      <w:r w:rsidRPr="00DB59DF">
        <w:t>, then a random time to the next transmission event is generated using:</w:t>
      </w:r>
    </w:p>
    <w:p w14:paraId="4F731358" w14:textId="77777777" w:rsidR="003D27AB" w:rsidRPr="00DB59DF" w:rsidRDefault="003D27AB" w:rsidP="003D27AB">
      <m:oMathPara>
        <m:oMath>
          <m:r>
            <w:rPr>
              <w:rFonts w:ascii="Cambria Math" w:hAnsi="Cambria Math"/>
            </w:rPr>
            <m:t>∂t=</m:t>
          </m:r>
          <m:f>
            <m:fPr>
              <m:ctrlPr>
                <w:rPr>
                  <w:rFonts w:ascii="Cambria Math" w:hAnsi="Cambria Math"/>
                </w:rPr>
              </m:ctrlPr>
            </m:fPr>
            <m:num>
              <m:r>
                <w:rPr>
                  <w:rFonts w:ascii="Cambria Math" w:hAnsi="Cambria Math"/>
                </w:rPr>
                <m:t>-</m:t>
              </m:r>
              <m:r>
                <m:rPr>
                  <m:nor/>
                </m:rPr>
                <m:t>log</m:t>
              </m:r>
              <m:d>
                <m:dPr>
                  <m:ctrlPr>
                    <w:rPr>
                      <w:rFonts w:ascii="Cambria Math" w:hAnsi="Cambria Math"/>
                    </w:rPr>
                  </m:ctrlPr>
                </m:dPr>
                <m:e>
                  <m:r>
                    <w:rPr>
                      <w:rFonts w:ascii="Cambria Math" w:hAnsi="Cambria Math"/>
                    </w:rPr>
                    <m:t>U</m:t>
                  </m:r>
                </m:e>
              </m:d>
            </m:num>
            <m:den>
              <m:r>
                <w:rPr>
                  <w:rFonts w:ascii="Cambria Math" w:hAnsi="Cambria Math"/>
                </w:rPr>
                <m:t>λ</m:t>
              </m:r>
            </m:den>
          </m:f>
        </m:oMath>
      </m:oMathPara>
    </w:p>
    <w:p w14:paraId="0CB9EE6A" w14:textId="77777777" w:rsidR="003D27AB" w:rsidRPr="00DB59DF" w:rsidRDefault="003D27AB" w:rsidP="003D27AB">
      <w:r w:rsidRPr="00DB59DF">
        <w:tab/>
      </w:r>
      <w:r w:rsidRPr="00DB59DF">
        <w:tab/>
      </w:r>
      <w:r w:rsidRPr="00DB59DF">
        <w:tab/>
      </w:r>
      <w:r w:rsidRPr="00DB59DF">
        <w:tab/>
      </w:r>
      <w:r w:rsidRPr="00DB59DF">
        <w:tab/>
      </w:r>
      <w:r w:rsidRPr="00DB59DF">
        <w:tab/>
      </w:r>
      <w:r w:rsidRPr="00DB59DF">
        <w:tab/>
      </w:r>
    </w:p>
    <w:p w14:paraId="53FC0B02" w14:textId="3EA53F99" w:rsidR="003D27AB" w:rsidRPr="00DB59DF" w:rsidRDefault="003D27AB" w:rsidP="003D27AB">
      <w:r w:rsidRPr="00DB59DF">
        <w:rPr>
          <w:rFonts w:eastAsiaTheme="minorEastAsia"/>
        </w:rPr>
        <w:t xml:space="preserve">Where </w:t>
      </w:r>
      <m:oMath>
        <m:r>
          <w:rPr>
            <w:rFonts w:ascii="Cambria Math" w:hAnsi="Cambria Math"/>
          </w:rPr>
          <m:t>U</m:t>
        </m:r>
      </m:oMath>
      <w:r w:rsidRPr="00DB59DF">
        <w:t xml:space="preserve"> is a random uniform deviate [0,1] and </w:t>
      </w:r>
      <m:oMath>
        <m:r>
          <w:rPr>
            <w:rFonts w:ascii="Cambria Math" w:hAnsi="Cambria Math"/>
          </w:rPr>
          <m:t>∂t</m:t>
        </m:r>
      </m:oMath>
      <w:r w:rsidRPr="00DB59DF">
        <w:t xml:space="preserve"> is the time elapsed until the infection event occurs. If </w:t>
      </w:r>
      <m:oMath>
        <m:r>
          <w:rPr>
            <w:rFonts w:ascii="Cambria Math" w:hAnsi="Cambria Math"/>
          </w:rPr>
          <m:t>∂t</m:t>
        </m:r>
      </m:oMath>
      <w:r w:rsidRPr="00DB59DF">
        <w:t xml:space="preserve"> is less than the time horizon (i.e. 1 day)</w:t>
      </w:r>
      <w:r w:rsidR="00945CFA">
        <w:t>,</w:t>
      </w:r>
      <w:r w:rsidRPr="00DB59DF">
        <w:t xml:space="preserve"> then the infection event occurs for that individual. This equation assumes that all events can be described as stochastic competing Poisson processes. This type of stochastic model is generally termed an ‘event driven’ model and is one of the most popular ways of incorporating demographic stochasticity into simulation models </w:t>
      </w:r>
      <w:r w:rsidRPr="00DB59DF">
        <w:fldChar w:fldCharType="begin"/>
      </w:r>
      <w:r w:rsidRPr="00DB59DF">
        <w:instrText xml:space="preserve"> ADDIN ZOTERO_ITEM CSL_CITATION {"citationID":"ZYn9Ez0W","properties":{"formattedCitation":"(Keeling and Rohani 2008)","plainCitation":"(Keeling and Rohani 2008)","noteIndex":0},"citationItems":[{"id":1886,"uris":["http://zotero.org/users/634364/items/GBYT2YRD"],"itemData":{"id":1886,"type":"book","publisher":"Princeton University Press, Princeton, New Jersey","title":"Modelling Infectious Diseases in Humans and Animals","author":[{"family":"Keeling","given":"M. J."},{"family":"Rohani","given":"P."}],"issued":{"date-parts":[["2008"]]}}}],"schema":"https://github.com/citation-style-language/schema/raw/master/csl-citation.json"} </w:instrText>
      </w:r>
      <w:r w:rsidRPr="00DB59DF">
        <w:fldChar w:fldCharType="separate"/>
      </w:r>
      <w:r w:rsidR="009F541F" w:rsidRPr="009F541F">
        <w:t>(Keeling and Rohani 2008)</w:t>
      </w:r>
      <w:r w:rsidRPr="00DB59DF">
        <w:fldChar w:fldCharType="end"/>
      </w:r>
      <w:r w:rsidRPr="00DB59DF">
        <w:t>.</w:t>
      </w:r>
    </w:p>
    <w:p w14:paraId="073F35E7" w14:textId="3CC3805B" w:rsidR="003D27AB" w:rsidRPr="00DB59DF" w:rsidRDefault="003D27AB" w:rsidP="003D27AB">
      <w:r w:rsidRPr="00DB59DF">
        <w:t>Before describing models developed for each of the host/pathogen case studies</w:t>
      </w:r>
      <w:r w:rsidR="002D6A3F">
        <w:t xml:space="preserve"> in this report</w:t>
      </w:r>
      <w:r w:rsidRPr="00DB59DF">
        <w:t>, we first outline the standard set of assumptions</w:t>
      </w:r>
      <w:r w:rsidR="004B72D1">
        <w:t xml:space="preserve"> and </w:t>
      </w:r>
      <w:r w:rsidRPr="00DB59DF">
        <w:t>settings</w:t>
      </w:r>
      <w:r w:rsidR="004B72D1">
        <w:t xml:space="preserve"> </w:t>
      </w:r>
      <w:r w:rsidR="00945CFA">
        <w:t xml:space="preserve">that were </w:t>
      </w:r>
      <w:r w:rsidRPr="00DB59DF">
        <w:t xml:space="preserve">used across </w:t>
      </w:r>
      <w:proofErr w:type="gramStart"/>
      <w:r w:rsidRPr="00DB59DF">
        <w:t xml:space="preserve">all </w:t>
      </w:r>
      <w:r w:rsidR="002D6A3F">
        <w:t>of</w:t>
      </w:r>
      <w:proofErr w:type="gramEnd"/>
      <w:r w:rsidR="002D6A3F">
        <w:t xml:space="preserve"> the </w:t>
      </w:r>
      <w:r w:rsidRPr="00DB59DF">
        <w:t>case studies.</w:t>
      </w:r>
    </w:p>
    <w:p w14:paraId="1F03A128" w14:textId="073F0341" w:rsidR="003D27AB" w:rsidRPr="00DB59DF" w:rsidRDefault="003D27AB" w:rsidP="003B4995">
      <w:pPr>
        <w:pStyle w:val="dotpointindented"/>
      </w:pPr>
      <w:r w:rsidRPr="00DB59DF">
        <w:t>Modelled populations of each species represent</w:t>
      </w:r>
      <w:r w:rsidR="00945CFA">
        <w:t>ed</w:t>
      </w:r>
      <w:r w:rsidRPr="00DB59DF">
        <w:t xml:space="preserve"> a discrete subpopulation and </w:t>
      </w:r>
      <w:r w:rsidR="00945CFA">
        <w:t>therefore</w:t>
      </w:r>
      <w:r w:rsidRPr="00DB59DF">
        <w:t>, assume</w:t>
      </w:r>
      <w:r w:rsidR="00945CFA">
        <w:t>d</w:t>
      </w:r>
      <w:r w:rsidRPr="00DB59DF">
        <w:t xml:space="preserve"> that the population (or subpopulation) </w:t>
      </w:r>
      <w:r w:rsidR="00945CFA">
        <w:t>wa</w:t>
      </w:r>
      <w:r w:rsidRPr="00DB59DF">
        <w:t>s closed to immigration and emigration.</w:t>
      </w:r>
    </w:p>
    <w:p w14:paraId="694A44E2" w14:textId="5E77CCA8" w:rsidR="003D27AB" w:rsidRPr="00DB59DF" w:rsidRDefault="003D27AB" w:rsidP="003B4995">
      <w:pPr>
        <w:pStyle w:val="dotpointindented"/>
      </w:pPr>
      <w:r w:rsidRPr="00DB59DF">
        <w:t xml:space="preserve">Transmission of disease </w:t>
      </w:r>
      <w:r w:rsidR="00945CFA">
        <w:t>wa</w:t>
      </w:r>
      <w:r w:rsidRPr="00DB59DF">
        <w:t xml:space="preserve">s </w:t>
      </w:r>
      <w:r w:rsidR="00945CFA">
        <w:t>considered</w:t>
      </w:r>
      <w:r w:rsidR="00945CFA" w:rsidRPr="00DB59DF">
        <w:t xml:space="preserve"> </w:t>
      </w:r>
      <w:r w:rsidRPr="00DB59DF">
        <w:t>to be density-dependent, which assume</w:t>
      </w:r>
      <w:r w:rsidR="002D6A3F">
        <w:t>d</w:t>
      </w:r>
      <w:r w:rsidRPr="00DB59DF">
        <w:t xml:space="preserve"> disease transmission scale</w:t>
      </w:r>
      <w:r w:rsidR="002D6A3F">
        <w:t>d</w:t>
      </w:r>
      <w:r w:rsidRPr="00DB59DF">
        <w:t xml:space="preserve"> linearly with host density </w:t>
      </w:r>
      <w:r w:rsidRPr="00DB59DF">
        <w:fldChar w:fldCharType="begin"/>
      </w:r>
      <w:r w:rsidR="009F541F">
        <w:instrText xml:space="preserve"> ADDIN ZOTERO_ITEM CSL_CITATION {"citationID":"IkvA1EXR","properties":{"formattedCitation":"(McCallum {\\i{}et al.} 2001)","plainCitation":"(McCallum et al. 2001)","noteIndex":0},"citationItems":[{"id":5376,"uris":["http://zotero.org/users/634364/items/BD99SLQI"],"itemData":{"id":5376,"type":"article-journal","abstract":"Host–pathogen models are essential for designing strategies for managing disease threats to humans, wild animals and domestic animals. The behaviour of these models is greatly affected by the way in which transmission between infected and susceptible hosts is modelled. Since host–pathogen models were first developed at the beginning of the 20th century, the ‘mass action’ assumption has almost always been used for transmission. Recently, however, it has been suggested that mass action has often been modelled wrongly. Alternative models of transmission are beginning to appear, as are empirical tests of transmission dynamics.","container-title":"Trends in Ecology &amp; Evolution","DOI":"10.1016/S0169-5347(01)02144-9","ISSN":"0169-5347","issue":"6","page":"295-300","title":"How should pathogen transmission be modelled?","volume":"16","author":[{"family":"McCallum","given":"Hamish"},{"family":"Barlow","given":"Nigel"},{"family":"Hone","given":"Jim"}],"issued":{"date-parts":[["2001",6]]}}}],"schema":"https://github.com/citation-style-language/schema/raw/master/csl-citation.json"} </w:instrText>
      </w:r>
      <w:r w:rsidRPr="00DB59DF">
        <w:fldChar w:fldCharType="separate"/>
      </w:r>
      <w:r w:rsidR="009F541F" w:rsidRPr="009F541F">
        <w:t xml:space="preserve">(McCallum </w:t>
      </w:r>
      <w:r w:rsidR="009F541F" w:rsidRPr="00DA5824">
        <w:t>et al</w:t>
      </w:r>
      <w:r w:rsidR="009F541F" w:rsidRPr="009F541F">
        <w:rPr>
          <w:i/>
          <w:iCs/>
        </w:rPr>
        <w:t>.</w:t>
      </w:r>
      <w:r w:rsidR="009F541F" w:rsidRPr="009F541F">
        <w:t xml:space="preserve"> 2001)</w:t>
      </w:r>
      <w:r w:rsidRPr="00DB59DF">
        <w:fldChar w:fldCharType="end"/>
      </w:r>
      <w:r w:rsidRPr="00DB59DF">
        <w:t>.</w:t>
      </w:r>
      <w:r w:rsidR="00BE3EC4">
        <w:t xml:space="preserve"> </w:t>
      </w:r>
    </w:p>
    <w:p w14:paraId="2A96B785" w14:textId="1D3042F5" w:rsidR="003D27AB" w:rsidRPr="00DB59DF" w:rsidRDefault="003D27AB" w:rsidP="00676AD4">
      <w:pPr>
        <w:pStyle w:val="dotpointindented"/>
      </w:pPr>
      <w:r w:rsidRPr="00DB59DF">
        <w:t xml:space="preserve">With respect to disease transmission, each population (or subpopulation) </w:t>
      </w:r>
      <w:r w:rsidR="002D6A3F">
        <w:t>was</w:t>
      </w:r>
      <w:r w:rsidRPr="00DB59DF">
        <w:t xml:space="preserve"> assumed to be homogenously mixed.</w:t>
      </w:r>
      <w:r w:rsidR="00BE3EC4">
        <w:t xml:space="preserve"> </w:t>
      </w:r>
      <w:r w:rsidRPr="00DB59DF">
        <w:t xml:space="preserve">This </w:t>
      </w:r>
      <w:r w:rsidR="002D6A3F">
        <w:t>was</w:t>
      </w:r>
      <w:r w:rsidRPr="00DB59DF">
        <w:t xml:space="preserve"> tantamount to saying that contact rates among individuals in the population </w:t>
      </w:r>
      <w:r w:rsidR="002D6A3F">
        <w:t>we</w:t>
      </w:r>
      <w:r w:rsidRPr="00DB59DF">
        <w:t>re similar.</w:t>
      </w:r>
      <w:r w:rsidR="00BE3EC4">
        <w:t xml:space="preserve"> </w:t>
      </w:r>
    </w:p>
    <w:p w14:paraId="4983692B" w14:textId="3196FC4A" w:rsidR="00642DEB" w:rsidRDefault="003D27AB">
      <w:pPr>
        <w:pStyle w:val="dotpointindented"/>
      </w:pPr>
      <w:r w:rsidRPr="00DB59DF">
        <w:t>Host dynamics were generally assumed to be subject</w:t>
      </w:r>
      <w:r w:rsidR="002D6A3F">
        <w:t>ed</w:t>
      </w:r>
      <w:r w:rsidRPr="00DB59DF">
        <w:t xml:space="preserve"> to population regulation, governed by density-dependence in either birth or death rates </w:t>
      </w:r>
      <w:r w:rsidRPr="00DB59DF">
        <w:fldChar w:fldCharType="begin"/>
      </w:r>
      <w:r w:rsidR="009F541F">
        <w:instrText xml:space="preserve"> ADDIN ZOTERO_ITEM CSL_CITATION {"citationID":"pMqQqDUI","properties":{"formattedCitation":"(e.g., Bellows 1981; Barlow 2000)","plainCitation":"(e.g., Bellows 1981; Barlow 2000)","noteIndex":0},"citationItems":[{"id":1407,"uris":["http://zotero.org/users/634364/items/64GRLTU7"],"itemData":{"id":1407,"type":"article-journal","container-title":"Journal of Animal Ecology","page":"139-156","title":"The descriptive properties of some models for density dependence","volume":"50","author":[{"family":"Bellows","given":"T. S."}],"issued":{"date-parts":[["1981"]]}},"label":"page","prefix":"e.g., "},{"id":541,"uris":["http://zotero.org/users/634364/items/T4ET3XQR"],"itemData":{"id":541,"type":"article-journal","abstract":"1. A new model is presented for a possum–tuberculosis (TB) system (Trichosurus vulpecula–Mycobacterium bovis) that is both realistic and parsimonious. The model includes a phenomenological treatment of heterogeneity of risk for susceptible hosts, similar to that used in insect host–parasitoid systems. 2. Parameter values for the model reflect current knowledge and differ significantly from those in other recent models of this system. Associated with these structural and parametric changes are substantially different predictions for the dynamics and control of TB in possums. 3. The model predictions include (i) only limited host suppression due to the disease (&lt; 10%, cf. several earlier simple models for TB in both possums and badgers); (ii) asymptotically stable disease dynamics (cf. homogeneous-mixing models that predict either extremely weak stability such that disease fails to recover when host density is temporarily reduced, or oscillatory behaviour and potential elimination of disease following such a perturbation); (iii) TB that is harder to control than in the homogeneous-mixing model equivalents, in line with practical experience; and (iv) a threshold host density for disease elimination that differs substantially from the host equilibrium density in the presence of disease. 4. Homogeneous-mixing models are unable to reproduce this behaviour, whatever parameter values are chosen. Heterogeneous-mixing models with non-linear transmission may therefore be worth consideration in other endemic wildlife disease systems, as is now commonplace for insect–parasitoid and insect–pathogen ones.","container-title":"Journal of Animal Ecology","DOI":"10.1046/j.1365-2656.2000.00428.x","ISSN":"1365-2656","issue":"4","language":"en","page":"703-713","title":"Non-linear transmission and simple models for bovine tuberculosis","volume":"69","author":[{"family":"Barlow","given":"N. D."}],"issued":{"date-parts":[["2000",7]]}}}],"schema":"https://github.com/citation-style-language/schema/raw/master/csl-citation.json"} </w:instrText>
      </w:r>
      <w:r w:rsidRPr="00DB59DF">
        <w:fldChar w:fldCharType="separate"/>
      </w:r>
      <w:r w:rsidR="009F541F" w:rsidRPr="009F541F">
        <w:t>(</w:t>
      </w:r>
      <w:r w:rsidR="005B24DC">
        <w:t xml:space="preserve">e.g. </w:t>
      </w:r>
      <w:r w:rsidR="009F541F" w:rsidRPr="009F541F">
        <w:t>Bellows 1981; Barlow 2000)</w:t>
      </w:r>
      <w:r w:rsidRPr="00DB59DF">
        <w:fldChar w:fldCharType="end"/>
      </w:r>
      <w:r w:rsidRPr="00DB59DF">
        <w:t xml:space="preserve">. </w:t>
      </w:r>
    </w:p>
    <w:p w14:paraId="0F842515" w14:textId="4BFB7B6A" w:rsidR="003D27AB" w:rsidRPr="00DB59DF" w:rsidRDefault="00BE3EC4" w:rsidP="00642DEB">
      <w:pPr>
        <w:pStyle w:val="dotpointindented"/>
        <w:numPr>
          <w:ilvl w:val="0"/>
          <w:numId w:val="0"/>
        </w:numPr>
      </w:pPr>
      <w:r>
        <w:t xml:space="preserve"> </w:t>
      </w:r>
    </w:p>
    <w:p w14:paraId="5B8F429C" w14:textId="77777777" w:rsidR="003D27AB" w:rsidRPr="00DB59DF" w:rsidRDefault="003D27AB" w:rsidP="00A0449E">
      <w:pPr>
        <w:pStyle w:val="Heading4"/>
      </w:pPr>
      <w:r w:rsidRPr="00DB59DF">
        <w:t>Disease mitigation actions</w:t>
      </w:r>
    </w:p>
    <w:p w14:paraId="0791B7D0" w14:textId="6B4F1FAC" w:rsidR="00DE66CC" w:rsidRPr="00DB59DF" w:rsidRDefault="003D27AB" w:rsidP="003D27AB">
      <w:r w:rsidRPr="00DB59DF">
        <w:t xml:space="preserve">For each wildlife host/pathogen system, we assessed the impact of potential disease mitigation actions by </w:t>
      </w:r>
      <w:r w:rsidR="00393858">
        <w:t>simulating</w:t>
      </w:r>
      <w:r w:rsidRPr="00DB59DF">
        <w:t xml:space="preserve"> each action’s relative effect on relevant model parameters (</w:t>
      </w:r>
      <w:r w:rsidR="005B24DC">
        <w:t xml:space="preserve">e.g. </w:t>
      </w:r>
      <w:r w:rsidRPr="00DB59DF">
        <w:t>transmission rate, recovery rate or disease-induced mortality rate or combinations thereof).</w:t>
      </w:r>
      <w:r w:rsidR="00BE3EC4">
        <w:t xml:space="preserve"> </w:t>
      </w:r>
      <w:r w:rsidRPr="00DB59DF">
        <w:t>Estimation of the relative effect of management actions were based on information derived from the literature and/or expert elicitation from subject matter experts.</w:t>
      </w:r>
      <w:r w:rsidR="00BE3EC4">
        <w:t xml:space="preserve"> </w:t>
      </w:r>
    </w:p>
    <w:p w14:paraId="4917ADF1" w14:textId="1204F750" w:rsidR="004A4A5B" w:rsidRDefault="00FC20B3" w:rsidP="00DC3852">
      <w:r>
        <w:br w:type="page"/>
      </w:r>
    </w:p>
    <w:p w14:paraId="796822CC" w14:textId="52EA0469" w:rsidR="004A4A5B" w:rsidRPr="001749B2" w:rsidRDefault="004A4A5B" w:rsidP="004A4A5B">
      <w:pPr>
        <w:pStyle w:val="Heading1-Numbered"/>
      </w:pPr>
      <w:bookmarkStart w:id="58" w:name="_Toc198634106"/>
      <w:r>
        <w:lastRenderedPageBreak/>
        <w:t>Results</w:t>
      </w:r>
      <w:bookmarkEnd w:id="58"/>
    </w:p>
    <w:p w14:paraId="01B7F7AC" w14:textId="5AA1953E" w:rsidR="00955FD5" w:rsidRDefault="00910877" w:rsidP="00955FD5">
      <w:pPr>
        <w:pStyle w:val="Heading2-Numbered"/>
      </w:pPr>
      <w:bookmarkStart w:id="59" w:name="_Toc198634107"/>
      <w:r>
        <w:t>W</w:t>
      </w:r>
      <w:r w:rsidR="00A34B04">
        <w:t>DRA – general results</w:t>
      </w:r>
      <w:bookmarkEnd w:id="59"/>
    </w:p>
    <w:p w14:paraId="1465D69C" w14:textId="527EA1C5" w:rsidR="00DE2F73" w:rsidRDefault="00CF79EA" w:rsidP="00ED7891">
      <w:r>
        <w:t>Disease risk assessments were undertaken for</w:t>
      </w:r>
      <w:r w:rsidR="00C07B30">
        <w:t xml:space="preserve"> 222 disease hazards involving </w:t>
      </w:r>
      <w:r>
        <w:t>4</w:t>
      </w:r>
      <w:r w:rsidR="00D67190">
        <w:t>23</w:t>
      </w:r>
      <w:r>
        <w:t xml:space="preserve"> host/pathogen groups (Table</w:t>
      </w:r>
      <w:r w:rsidR="00C07B30">
        <w:t>s</w:t>
      </w:r>
      <w:r>
        <w:t xml:space="preserve"> 7</w:t>
      </w:r>
      <w:r w:rsidR="00C07B30">
        <w:t xml:space="preserve"> </w:t>
      </w:r>
      <w:r w:rsidR="004F119F">
        <w:t>and</w:t>
      </w:r>
      <w:r w:rsidR="00C07B30">
        <w:t xml:space="preserve"> 8</w:t>
      </w:r>
      <w:r>
        <w:t xml:space="preserve">). </w:t>
      </w:r>
      <w:r w:rsidR="00ED7891">
        <w:t xml:space="preserve">The </w:t>
      </w:r>
      <w:r w:rsidR="00092EE3">
        <w:t xml:space="preserve">entire </w:t>
      </w:r>
      <w:r w:rsidR="00ED7891">
        <w:t>set of assessments comprise</w:t>
      </w:r>
      <w:r w:rsidR="00092EE3">
        <w:t>s</w:t>
      </w:r>
      <w:r w:rsidR="00ED7891">
        <w:t xml:space="preserve"> a large and complex </w:t>
      </w:r>
      <w:r w:rsidR="00092EE3">
        <w:t>body</w:t>
      </w:r>
      <w:r w:rsidR="00ED7891">
        <w:t xml:space="preserve"> of data.</w:t>
      </w:r>
      <w:r w:rsidR="00666C0A">
        <w:t xml:space="preserve"> </w:t>
      </w:r>
      <w:r w:rsidR="00A34B04">
        <w:t>However</w:t>
      </w:r>
      <w:r w:rsidR="00092EE3">
        <w:t>,</w:t>
      </w:r>
      <w:r w:rsidR="00BF7141">
        <w:t xml:space="preserve"> over 90% of the assessments were</w:t>
      </w:r>
      <w:r w:rsidR="00666C0A">
        <w:t xml:space="preserve"> for disease</w:t>
      </w:r>
      <w:r w:rsidR="00D84B17">
        <w:t xml:space="preserve"> hazards</w:t>
      </w:r>
      <w:r w:rsidR="00B04D37">
        <w:t xml:space="preserve"> for which the risk ratings </w:t>
      </w:r>
      <w:r w:rsidR="00BF7141">
        <w:t>were either</w:t>
      </w:r>
      <w:r w:rsidR="00B04D37">
        <w:t xml:space="preserve"> </w:t>
      </w:r>
      <w:r w:rsidR="00BF7141">
        <w:t>N</w:t>
      </w:r>
      <w:r w:rsidR="00B04D37">
        <w:t>egligible</w:t>
      </w:r>
      <w:r w:rsidR="00BF7141">
        <w:t xml:space="preserve">, </w:t>
      </w:r>
      <w:proofErr w:type="gramStart"/>
      <w:r w:rsidR="00BF7141">
        <w:t>Very</w:t>
      </w:r>
      <w:proofErr w:type="gramEnd"/>
      <w:r w:rsidR="00BF7141">
        <w:t xml:space="preserve"> </w:t>
      </w:r>
      <w:r w:rsidR="00092034">
        <w:t>l</w:t>
      </w:r>
      <w:r w:rsidR="00BF7141">
        <w:t>ow</w:t>
      </w:r>
      <w:r w:rsidR="00B04D37">
        <w:t xml:space="preserve"> or </w:t>
      </w:r>
      <w:r w:rsidR="00BF7141">
        <w:t>L</w:t>
      </w:r>
      <w:r w:rsidR="00B04D37">
        <w:t>ow</w:t>
      </w:r>
      <w:r w:rsidR="00DE2F73">
        <w:t>,</w:t>
      </w:r>
      <w:r>
        <w:t xml:space="preserve"> </w:t>
      </w:r>
      <w:r w:rsidR="00FC49A9">
        <w:t>meaning that their conservation</w:t>
      </w:r>
      <w:r w:rsidR="00B71802">
        <w:t xml:space="preserve"> </w:t>
      </w:r>
      <w:r w:rsidR="00BF7141">
        <w:t>or</w:t>
      </w:r>
      <w:r w:rsidR="00FC49A9">
        <w:t xml:space="preserve"> economic impacts </w:t>
      </w:r>
      <w:proofErr w:type="gramStart"/>
      <w:r w:rsidR="00DE2F73">
        <w:t>were</w:t>
      </w:r>
      <w:r w:rsidR="00FC49A9">
        <w:t xml:space="preserve"> </w:t>
      </w:r>
      <w:r w:rsidR="00EA47D3">
        <w:t>considered</w:t>
      </w:r>
      <w:r w:rsidR="00FC49A9">
        <w:t xml:space="preserve"> to be</w:t>
      </w:r>
      <w:proofErr w:type="gramEnd"/>
      <w:r w:rsidR="00FC49A9">
        <w:t xml:space="preserve"> minimal</w:t>
      </w:r>
      <w:r w:rsidR="00DE2F73">
        <w:t xml:space="preserve"> (Table</w:t>
      </w:r>
      <w:r w:rsidR="00D84B17">
        <w:t>s</w:t>
      </w:r>
      <w:r w:rsidR="00DE2F73">
        <w:t xml:space="preserve"> 7 </w:t>
      </w:r>
      <w:r w:rsidR="004F119F">
        <w:t>and</w:t>
      </w:r>
      <w:r w:rsidR="00DE2F73">
        <w:t xml:space="preserve"> 8)</w:t>
      </w:r>
      <w:r w:rsidR="00B04D37">
        <w:t>.</w:t>
      </w:r>
      <w:r w:rsidR="00ED7891">
        <w:t xml:space="preserve"> Rather than exhaustively describing </w:t>
      </w:r>
      <w:proofErr w:type="gramStart"/>
      <w:r w:rsidR="00ED7891">
        <w:t>all of</w:t>
      </w:r>
      <w:proofErr w:type="gramEnd"/>
      <w:r w:rsidR="00ED7891">
        <w:t xml:space="preserve"> the </w:t>
      </w:r>
      <w:r w:rsidR="00B04D37">
        <w:t xml:space="preserve">risk assessment </w:t>
      </w:r>
      <w:r w:rsidR="00ED7891">
        <w:t xml:space="preserve">results, we considered it to be more useful to </w:t>
      </w:r>
      <w:r w:rsidR="00BC6EB0">
        <w:t>provide</w:t>
      </w:r>
      <w:r w:rsidR="00ED7891">
        <w:t xml:space="preserve"> selected highlights that may prove informative to managers and policy makers. </w:t>
      </w:r>
      <w:proofErr w:type="gramStart"/>
      <w:r w:rsidR="003F74FC">
        <w:t>In particular,</w:t>
      </w:r>
      <w:r w:rsidR="00092EE3">
        <w:t xml:space="preserve"> we</w:t>
      </w:r>
      <w:proofErr w:type="gramEnd"/>
      <w:r w:rsidR="003F74FC">
        <w:t xml:space="preserve"> draw attention to diseases where the rate</w:t>
      </w:r>
      <w:r w:rsidR="00092EE3">
        <w:t>d</w:t>
      </w:r>
      <w:r w:rsidR="003F74FC">
        <w:t xml:space="preserve"> risks </w:t>
      </w:r>
      <w:r w:rsidR="00C07B30">
        <w:t>were</w:t>
      </w:r>
      <w:r w:rsidR="003F74FC">
        <w:t xml:space="preserve"> High or Extreme. We considered that these </w:t>
      </w:r>
      <w:r w:rsidR="00092EE3">
        <w:t>are</w:t>
      </w:r>
      <w:r w:rsidR="00644F6A">
        <w:t xml:space="preserve"> the results that would be most useful and informative to managers charged with the tasks of </w:t>
      </w:r>
      <w:r w:rsidR="00BC6EB0">
        <w:t xml:space="preserve">preparing for and </w:t>
      </w:r>
      <w:r w:rsidR="00644F6A">
        <w:t xml:space="preserve">managing current and future </w:t>
      </w:r>
      <w:r w:rsidR="008020BE">
        <w:t xml:space="preserve">impacts of wildlife disease in Victoria. </w:t>
      </w:r>
      <w:r>
        <w:t>Disease risk assessments for all host/pathogen complexes are presented in full as a supplementary appendix to this report.</w:t>
      </w:r>
    </w:p>
    <w:p w14:paraId="5BC37FC0" w14:textId="78260DF9" w:rsidR="00CF79EA" w:rsidRDefault="00BF7141" w:rsidP="00A0449E">
      <w:pPr>
        <w:pStyle w:val="Caption-Table"/>
      </w:pPr>
      <w:bookmarkStart w:id="60" w:name="_Toc198634139"/>
      <w:r>
        <w:t xml:space="preserve">Table 7. Summary of the number of disease risk assessments that were assigned a given risk rating for the conservation </w:t>
      </w:r>
      <w:r w:rsidR="00DE2F73">
        <w:t xml:space="preserve">impacts of each </w:t>
      </w:r>
      <w:r>
        <w:t>disease hazard</w:t>
      </w:r>
      <w:r w:rsidR="00DE2F73">
        <w:t>.</w:t>
      </w:r>
      <w:bookmarkEnd w:id="60"/>
    </w:p>
    <w:tbl>
      <w:tblPr>
        <w:tblStyle w:val="TableGrid10"/>
        <w:tblW w:w="0" w:type="auto"/>
        <w:tblLook w:val="04A0" w:firstRow="1" w:lastRow="0" w:firstColumn="1" w:lastColumn="0" w:noHBand="0" w:noVBand="1"/>
      </w:tblPr>
      <w:tblGrid>
        <w:gridCol w:w="1512"/>
        <w:gridCol w:w="1489"/>
        <w:gridCol w:w="1345"/>
        <w:gridCol w:w="1379"/>
        <w:gridCol w:w="1339"/>
        <w:gridCol w:w="1348"/>
        <w:gridCol w:w="1227"/>
      </w:tblGrid>
      <w:tr w:rsidR="00DE2F73" w14:paraId="28B13E1E" w14:textId="3AAF2092" w:rsidTr="00A044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Borders>
              <w:bottom w:val="nil"/>
            </w:tcBorders>
          </w:tcPr>
          <w:p w14:paraId="4700A0BC" w14:textId="5BD2A5CA" w:rsidR="00DE2F73" w:rsidRPr="00A0449E" w:rsidRDefault="00DE2F73" w:rsidP="00DA5824">
            <w:pPr>
              <w:pStyle w:val="Tableheadingtext"/>
              <w:jc w:val="center"/>
            </w:pPr>
          </w:p>
        </w:tc>
        <w:tc>
          <w:tcPr>
            <w:tcW w:w="1489" w:type="dxa"/>
            <w:tcBorders>
              <w:bottom w:val="nil"/>
            </w:tcBorders>
          </w:tcPr>
          <w:p w14:paraId="7E233425" w14:textId="7E9B87CA" w:rsidR="00DE2F73" w:rsidRPr="00A0449E"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345" w:type="dxa"/>
            <w:tcBorders>
              <w:bottom w:val="nil"/>
            </w:tcBorders>
          </w:tcPr>
          <w:p w14:paraId="27946634" w14:textId="2F5F85C4" w:rsidR="00DE2F73" w:rsidRPr="00A0449E"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379" w:type="dxa"/>
            <w:tcBorders>
              <w:bottom w:val="nil"/>
            </w:tcBorders>
          </w:tcPr>
          <w:p w14:paraId="0321AEFD" w14:textId="7DE972B5" w:rsidR="00DE2F73" w:rsidRPr="00A0449E"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r>
              <w:t>Risk rating</w:t>
            </w:r>
          </w:p>
        </w:tc>
        <w:tc>
          <w:tcPr>
            <w:tcW w:w="1339" w:type="dxa"/>
            <w:tcBorders>
              <w:bottom w:val="nil"/>
            </w:tcBorders>
          </w:tcPr>
          <w:p w14:paraId="3E42C812" w14:textId="1717177F" w:rsidR="00DE2F73" w:rsidRPr="00A0449E"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348" w:type="dxa"/>
            <w:tcBorders>
              <w:bottom w:val="nil"/>
            </w:tcBorders>
          </w:tcPr>
          <w:p w14:paraId="2302422B" w14:textId="6AF2730D" w:rsidR="00DE2F73" w:rsidRPr="00A0449E"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227" w:type="dxa"/>
            <w:tcBorders>
              <w:bottom w:val="nil"/>
            </w:tcBorders>
          </w:tcPr>
          <w:p w14:paraId="6B814838" w14:textId="77777777" w:rsidR="00DE2F73" w:rsidRPr="00DE2F73"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r>
      <w:tr w:rsidR="00DE2F73" w14:paraId="1E6FB2F0" w14:textId="59BC7B9C" w:rsidTr="00A0449E">
        <w:tc>
          <w:tcPr>
            <w:cnfStyle w:val="001000000000" w:firstRow="0" w:lastRow="0" w:firstColumn="1" w:lastColumn="0" w:oddVBand="0" w:evenVBand="0" w:oddHBand="0" w:evenHBand="0" w:firstRowFirstColumn="0" w:firstRowLastColumn="0" w:lastRowFirstColumn="0" w:lastRowLastColumn="0"/>
            <w:tcW w:w="1512" w:type="dxa"/>
            <w:tcBorders>
              <w:top w:val="nil"/>
            </w:tcBorders>
            <w:shd w:val="clear" w:color="auto" w:fill="004C97"/>
          </w:tcPr>
          <w:p w14:paraId="6977B88E" w14:textId="19A48AFF" w:rsidR="00DE2F73" w:rsidRPr="00D84B17" w:rsidRDefault="00DE2F73" w:rsidP="00DA5824">
            <w:pPr>
              <w:pStyle w:val="Tableheadingtext"/>
              <w:jc w:val="center"/>
              <w:rPr>
                <w:szCs w:val="20"/>
              </w:rPr>
            </w:pPr>
            <w:r w:rsidRPr="00D84B17">
              <w:rPr>
                <w:szCs w:val="20"/>
              </w:rPr>
              <w:t>Taxon group</w:t>
            </w:r>
          </w:p>
        </w:tc>
        <w:tc>
          <w:tcPr>
            <w:tcW w:w="1489" w:type="dxa"/>
            <w:tcBorders>
              <w:top w:val="nil"/>
            </w:tcBorders>
            <w:shd w:val="clear" w:color="auto" w:fill="004C97"/>
          </w:tcPr>
          <w:p w14:paraId="30F00D6F" w14:textId="58751255" w:rsidR="00DE2F73" w:rsidRPr="00D84B17" w:rsidRDefault="00DE2F73" w:rsidP="00DA5824">
            <w:pPr>
              <w:pStyle w:val="Tableheadingtext"/>
              <w:jc w:val="center"/>
              <w:cnfStyle w:val="000000000000" w:firstRow="0" w:lastRow="0" w:firstColumn="0" w:lastColumn="0" w:oddVBand="0" w:evenVBand="0" w:oddHBand="0" w:evenHBand="0" w:firstRowFirstColumn="0" w:firstRowLastColumn="0" w:lastRowFirstColumn="0" w:lastRowLastColumn="0"/>
              <w:rPr>
                <w:szCs w:val="20"/>
              </w:rPr>
            </w:pPr>
            <w:r w:rsidRPr="00D84B17">
              <w:rPr>
                <w:szCs w:val="20"/>
              </w:rPr>
              <w:t>Negligible</w:t>
            </w:r>
          </w:p>
        </w:tc>
        <w:tc>
          <w:tcPr>
            <w:tcW w:w="1345" w:type="dxa"/>
            <w:tcBorders>
              <w:top w:val="nil"/>
            </w:tcBorders>
            <w:shd w:val="clear" w:color="auto" w:fill="004C97"/>
          </w:tcPr>
          <w:p w14:paraId="044019BE" w14:textId="1E4D1B7A" w:rsidR="00DE2F73" w:rsidRPr="00D84B17" w:rsidRDefault="00DE2F73" w:rsidP="00DA5824">
            <w:pPr>
              <w:pStyle w:val="Tableheadingtext"/>
              <w:jc w:val="center"/>
              <w:cnfStyle w:val="000000000000" w:firstRow="0" w:lastRow="0" w:firstColumn="0" w:lastColumn="0" w:oddVBand="0" w:evenVBand="0" w:oddHBand="0" w:evenHBand="0" w:firstRowFirstColumn="0" w:firstRowLastColumn="0" w:lastRowFirstColumn="0" w:lastRowLastColumn="0"/>
              <w:rPr>
                <w:szCs w:val="20"/>
              </w:rPr>
            </w:pPr>
            <w:r w:rsidRPr="00D84B17">
              <w:rPr>
                <w:szCs w:val="20"/>
              </w:rPr>
              <w:t>Very low</w:t>
            </w:r>
          </w:p>
        </w:tc>
        <w:tc>
          <w:tcPr>
            <w:tcW w:w="1379" w:type="dxa"/>
            <w:tcBorders>
              <w:top w:val="nil"/>
            </w:tcBorders>
            <w:shd w:val="clear" w:color="auto" w:fill="004C97"/>
          </w:tcPr>
          <w:p w14:paraId="2A284D44" w14:textId="0F23CD92" w:rsidR="00DE2F73" w:rsidRPr="00D84B17" w:rsidRDefault="00DE2F73" w:rsidP="00DA5824">
            <w:pPr>
              <w:pStyle w:val="Tableheadingtext"/>
              <w:jc w:val="center"/>
              <w:cnfStyle w:val="000000000000" w:firstRow="0" w:lastRow="0" w:firstColumn="0" w:lastColumn="0" w:oddVBand="0" w:evenVBand="0" w:oddHBand="0" w:evenHBand="0" w:firstRowFirstColumn="0" w:firstRowLastColumn="0" w:lastRowFirstColumn="0" w:lastRowLastColumn="0"/>
              <w:rPr>
                <w:szCs w:val="20"/>
              </w:rPr>
            </w:pPr>
            <w:r w:rsidRPr="00D84B17">
              <w:rPr>
                <w:szCs w:val="20"/>
              </w:rPr>
              <w:t>Low</w:t>
            </w:r>
          </w:p>
        </w:tc>
        <w:tc>
          <w:tcPr>
            <w:tcW w:w="1339" w:type="dxa"/>
            <w:tcBorders>
              <w:top w:val="nil"/>
            </w:tcBorders>
            <w:shd w:val="clear" w:color="auto" w:fill="004C97"/>
          </w:tcPr>
          <w:p w14:paraId="6728E8DE" w14:textId="1D4B719E" w:rsidR="00DE2F73" w:rsidRPr="00D84B17" w:rsidRDefault="00DE2F73" w:rsidP="00DA5824">
            <w:pPr>
              <w:pStyle w:val="Tableheadingtext"/>
              <w:jc w:val="center"/>
              <w:cnfStyle w:val="000000000000" w:firstRow="0" w:lastRow="0" w:firstColumn="0" w:lastColumn="0" w:oddVBand="0" w:evenVBand="0" w:oddHBand="0" w:evenHBand="0" w:firstRowFirstColumn="0" w:firstRowLastColumn="0" w:lastRowFirstColumn="0" w:lastRowLastColumn="0"/>
              <w:rPr>
                <w:szCs w:val="20"/>
              </w:rPr>
            </w:pPr>
            <w:r w:rsidRPr="00D84B17">
              <w:rPr>
                <w:szCs w:val="20"/>
              </w:rPr>
              <w:t>Mod</w:t>
            </w:r>
            <w:r w:rsidR="004F119F">
              <w:rPr>
                <w:szCs w:val="20"/>
              </w:rPr>
              <w:t>erate</w:t>
            </w:r>
          </w:p>
        </w:tc>
        <w:tc>
          <w:tcPr>
            <w:tcW w:w="1348" w:type="dxa"/>
            <w:tcBorders>
              <w:top w:val="nil"/>
            </w:tcBorders>
            <w:shd w:val="clear" w:color="auto" w:fill="004C97"/>
          </w:tcPr>
          <w:p w14:paraId="277A6B36" w14:textId="6008B100" w:rsidR="00DE2F73" w:rsidRPr="00D84B17" w:rsidRDefault="00DE2F73" w:rsidP="00DA5824">
            <w:pPr>
              <w:pStyle w:val="Tableheadingtext"/>
              <w:jc w:val="center"/>
              <w:cnfStyle w:val="000000000000" w:firstRow="0" w:lastRow="0" w:firstColumn="0" w:lastColumn="0" w:oddVBand="0" w:evenVBand="0" w:oddHBand="0" w:evenHBand="0" w:firstRowFirstColumn="0" w:firstRowLastColumn="0" w:lastRowFirstColumn="0" w:lastRowLastColumn="0"/>
              <w:rPr>
                <w:szCs w:val="20"/>
              </w:rPr>
            </w:pPr>
            <w:r w:rsidRPr="00D84B17">
              <w:rPr>
                <w:szCs w:val="20"/>
              </w:rPr>
              <w:t>High</w:t>
            </w:r>
          </w:p>
        </w:tc>
        <w:tc>
          <w:tcPr>
            <w:tcW w:w="1227" w:type="dxa"/>
            <w:tcBorders>
              <w:top w:val="nil"/>
            </w:tcBorders>
            <w:shd w:val="clear" w:color="auto" w:fill="004C97"/>
          </w:tcPr>
          <w:p w14:paraId="2EDF05D6" w14:textId="7F56FD3D" w:rsidR="00DE2F73" w:rsidRPr="00D84B17" w:rsidRDefault="00DE2F73" w:rsidP="00DA5824">
            <w:pPr>
              <w:pStyle w:val="Tableheadingtext"/>
              <w:jc w:val="center"/>
              <w:cnfStyle w:val="000000000000" w:firstRow="0" w:lastRow="0" w:firstColumn="0" w:lastColumn="0" w:oddVBand="0" w:evenVBand="0" w:oddHBand="0" w:evenHBand="0" w:firstRowFirstColumn="0" w:firstRowLastColumn="0" w:lastRowFirstColumn="0" w:lastRowLastColumn="0"/>
              <w:rPr>
                <w:szCs w:val="20"/>
              </w:rPr>
            </w:pPr>
            <w:r w:rsidRPr="00D84B17">
              <w:rPr>
                <w:szCs w:val="20"/>
              </w:rPr>
              <w:t>Extreme</w:t>
            </w:r>
          </w:p>
        </w:tc>
      </w:tr>
      <w:tr w:rsidR="00D84B17" w14:paraId="49EA179F" w14:textId="3CEFA761" w:rsidTr="00D84B17">
        <w:trPr>
          <w:trHeight w:val="170"/>
        </w:trPr>
        <w:tc>
          <w:tcPr>
            <w:cnfStyle w:val="001000000000" w:firstRow="0" w:lastRow="0" w:firstColumn="1" w:lastColumn="0" w:oddVBand="0" w:evenVBand="0" w:oddHBand="0" w:evenHBand="0" w:firstRowFirstColumn="0" w:firstRowLastColumn="0" w:lastRowFirstColumn="0" w:lastRowLastColumn="0"/>
            <w:tcW w:w="1512" w:type="dxa"/>
            <w:tcBorders>
              <w:bottom w:val="nil"/>
            </w:tcBorders>
          </w:tcPr>
          <w:p w14:paraId="32A8DE37" w14:textId="5E087009" w:rsidR="00DE2F73" w:rsidRPr="00DE2F73" w:rsidRDefault="00DE2F73" w:rsidP="00A0449E">
            <w:pPr>
              <w:spacing w:after="0"/>
              <w:jc w:val="center"/>
              <w:rPr>
                <w:szCs w:val="20"/>
              </w:rPr>
            </w:pPr>
            <w:r w:rsidRPr="00A0449E">
              <w:rPr>
                <w:szCs w:val="20"/>
              </w:rPr>
              <w:t>Mammals</w:t>
            </w:r>
          </w:p>
        </w:tc>
        <w:tc>
          <w:tcPr>
            <w:tcW w:w="1489" w:type="dxa"/>
            <w:tcBorders>
              <w:bottom w:val="nil"/>
            </w:tcBorders>
          </w:tcPr>
          <w:p w14:paraId="1361AB3E" w14:textId="04BEEB81"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178</w:t>
            </w:r>
          </w:p>
        </w:tc>
        <w:tc>
          <w:tcPr>
            <w:tcW w:w="1345" w:type="dxa"/>
            <w:tcBorders>
              <w:bottom w:val="nil"/>
            </w:tcBorders>
          </w:tcPr>
          <w:p w14:paraId="24F31309" w14:textId="2B5D6C5C"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33</w:t>
            </w:r>
          </w:p>
        </w:tc>
        <w:tc>
          <w:tcPr>
            <w:tcW w:w="1379" w:type="dxa"/>
            <w:tcBorders>
              <w:bottom w:val="nil"/>
            </w:tcBorders>
          </w:tcPr>
          <w:p w14:paraId="1C2E0BE0" w14:textId="3A12DD9D"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9</w:t>
            </w:r>
          </w:p>
        </w:tc>
        <w:tc>
          <w:tcPr>
            <w:tcW w:w="1339" w:type="dxa"/>
            <w:tcBorders>
              <w:bottom w:val="nil"/>
            </w:tcBorders>
          </w:tcPr>
          <w:p w14:paraId="2D8A4E6B" w14:textId="00CCA1DC"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8</w:t>
            </w:r>
          </w:p>
        </w:tc>
        <w:tc>
          <w:tcPr>
            <w:tcW w:w="1348" w:type="dxa"/>
            <w:tcBorders>
              <w:bottom w:val="nil"/>
            </w:tcBorders>
          </w:tcPr>
          <w:p w14:paraId="2DEF21A2" w14:textId="456A35E2"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3</w:t>
            </w:r>
          </w:p>
        </w:tc>
        <w:tc>
          <w:tcPr>
            <w:tcW w:w="1227" w:type="dxa"/>
            <w:tcBorders>
              <w:bottom w:val="nil"/>
            </w:tcBorders>
            <w:vAlign w:val="bottom"/>
          </w:tcPr>
          <w:p w14:paraId="50F4F666" w14:textId="0ED7F6CB"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w:t>
            </w:r>
          </w:p>
        </w:tc>
      </w:tr>
      <w:tr w:rsidR="00D84B17" w14:paraId="1E24D56F" w14:textId="609D8FCE" w:rsidTr="00D84B17">
        <w:trPr>
          <w:trHeight w:val="170"/>
        </w:trPr>
        <w:tc>
          <w:tcPr>
            <w:cnfStyle w:val="001000000000" w:firstRow="0" w:lastRow="0" w:firstColumn="1" w:lastColumn="0" w:oddVBand="0" w:evenVBand="0" w:oddHBand="0" w:evenHBand="0" w:firstRowFirstColumn="0" w:firstRowLastColumn="0" w:lastRowFirstColumn="0" w:lastRowLastColumn="0"/>
            <w:tcW w:w="1512" w:type="dxa"/>
            <w:tcBorders>
              <w:top w:val="nil"/>
              <w:bottom w:val="nil"/>
            </w:tcBorders>
          </w:tcPr>
          <w:p w14:paraId="34990B73" w14:textId="16A20B74" w:rsidR="00DE2F73" w:rsidRPr="00DE2F73" w:rsidRDefault="00DE2F73" w:rsidP="00A0449E">
            <w:pPr>
              <w:spacing w:after="0"/>
              <w:jc w:val="center"/>
              <w:rPr>
                <w:szCs w:val="20"/>
              </w:rPr>
            </w:pPr>
            <w:r w:rsidRPr="00A0449E">
              <w:rPr>
                <w:szCs w:val="20"/>
              </w:rPr>
              <w:t>Birds</w:t>
            </w:r>
          </w:p>
        </w:tc>
        <w:tc>
          <w:tcPr>
            <w:tcW w:w="1489" w:type="dxa"/>
            <w:tcBorders>
              <w:top w:val="nil"/>
              <w:bottom w:val="nil"/>
            </w:tcBorders>
          </w:tcPr>
          <w:p w14:paraId="6E5908B3" w14:textId="619E12BE"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46</w:t>
            </w:r>
          </w:p>
        </w:tc>
        <w:tc>
          <w:tcPr>
            <w:tcW w:w="1345" w:type="dxa"/>
            <w:tcBorders>
              <w:top w:val="nil"/>
              <w:bottom w:val="nil"/>
            </w:tcBorders>
          </w:tcPr>
          <w:p w14:paraId="68AFB7A2" w14:textId="0841E64F"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19</w:t>
            </w:r>
          </w:p>
        </w:tc>
        <w:tc>
          <w:tcPr>
            <w:tcW w:w="1379" w:type="dxa"/>
            <w:tcBorders>
              <w:top w:val="nil"/>
              <w:bottom w:val="nil"/>
            </w:tcBorders>
          </w:tcPr>
          <w:p w14:paraId="38249E64" w14:textId="632D0BA9"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10</w:t>
            </w:r>
          </w:p>
        </w:tc>
        <w:tc>
          <w:tcPr>
            <w:tcW w:w="1339" w:type="dxa"/>
            <w:tcBorders>
              <w:top w:val="nil"/>
              <w:bottom w:val="nil"/>
            </w:tcBorders>
          </w:tcPr>
          <w:p w14:paraId="6FDD2250" w14:textId="52253D9E"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w:t>
            </w:r>
          </w:p>
        </w:tc>
        <w:tc>
          <w:tcPr>
            <w:tcW w:w="1348" w:type="dxa"/>
            <w:tcBorders>
              <w:top w:val="nil"/>
              <w:bottom w:val="nil"/>
            </w:tcBorders>
          </w:tcPr>
          <w:p w14:paraId="117A5BEA" w14:textId="79B9AD76"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w:t>
            </w:r>
          </w:p>
        </w:tc>
        <w:tc>
          <w:tcPr>
            <w:tcW w:w="1227" w:type="dxa"/>
            <w:tcBorders>
              <w:top w:val="nil"/>
              <w:bottom w:val="nil"/>
            </w:tcBorders>
            <w:vAlign w:val="bottom"/>
          </w:tcPr>
          <w:p w14:paraId="17A2A921" w14:textId="0E237F9F"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w:t>
            </w:r>
          </w:p>
        </w:tc>
      </w:tr>
      <w:tr w:rsidR="00D84B17" w14:paraId="69D05A93" w14:textId="563F21EA" w:rsidTr="00D84B17">
        <w:trPr>
          <w:trHeight w:val="170"/>
        </w:trPr>
        <w:tc>
          <w:tcPr>
            <w:cnfStyle w:val="001000000000" w:firstRow="0" w:lastRow="0" w:firstColumn="1" w:lastColumn="0" w:oddVBand="0" w:evenVBand="0" w:oddHBand="0" w:evenHBand="0" w:firstRowFirstColumn="0" w:firstRowLastColumn="0" w:lastRowFirstColumn="0" w:lastRowLastColumn="0"/>
            <w:tcW w:w="1512" w:type="dxa"/>
            <w:tcBorders>
              <w:top w:val="nil"/>
              <w:bottom w:val="nil"/>
            </w:tcBorders>
          </w:tcPr>
          <w:p w14:paraId="061CCA5C" w14:textId="63408A9D" w:rsidR="00DE2F73" w:rsidRPr="00DE2F73" w:rsidRDefault="00DE2F73" w:rsidP="00A0449E">
            <w:pPr>
              <w:spacing w:after="0"/>
              <w:jc w:val="center"/>
              <w:rPr>
                <w:szCs w:val="20"/>
              </w:rPr>
            </w:pPr>
            <w:r w:rsidRPr="00A0449E">
              <w:rPr>
                <w:szCs w:val="20"/>
              </w:rPr>
              <w:t>Amphibians</w:t>
            </w:r>
          </w:p>
        </w:tc>
        <w:tc>
          <w:tcPr>
            <w:tcW w:w="1489" w:type="dxa"/>
            <w:tcBorders>
              <w:top w:val="nil"/>
              <w:bottom w:val="nil"/>
            </w:tcBorders>
          </w:tcPr>
          <w:p w14:paraId="198BE665" w14:textId="3E12A7E4"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33</w:t>
            </w:r>
          </w:p>
        </w:tc>
        <w:tc>
          <w:tcPr>
            <w:tcW w:w="1345" w:type="dxa"/>
            <w:tcBorders>
              <w:top w:val="nil"/>
              <w:bottom w:val="nil"/>
            </w:tcBorders>
          </w:tcPr>
          <w:p w14:paraId="2712624C" w14:textId="6CBF9D28"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5</w:t>
            </w:r>
          </w:p>
        </w:tc>
        <w:tc>
          <w:tcPr>
            <w:tcW w:w="1379" w:type="dxa"/>
            <w:tcBorders>
              <w:top w:val="nil"/>
              <w:bottom w:val="nil"/>
            </w:tcBorders>
          </w:tcPr>
          <w:p w14:paraId="0751BA88" w14:textId="0DFD04BD"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w:t>
            </w:r>
          </w:p>
        </w:tc>
        <w:tc>
          <w:tcPr>
            <w:tcW w:w="1339" w:type="dxa"/>
            <w:tcBorders>
              <w:top w:val="nil"/>
              <w:bottom w:val="nil"/>
            </w:tcBorders>
          </w:tcPr>
          <w:p w14:paraId="656D9A5E" w14:textId="3EAB8E38"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8</w:t>
            </w:r>
          </w:p>
        </w:tc>
        <w:tc>
          <w:tcPr>
            <w:tcW w:w="1348" w:type="dxa"/>
            <w:tcBorders>
              <w:top w:val="nil"/>
              <w:bottom w:val="nil"/>
            </w:tcBorders>
          </w:tcPr>
          <w:p w14:paraId="38C7F35F" w14:textId="567BBFBA"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w:t>
            </w:r>
          </w:p>
        </w:tc>
        <w:tc>
          <w:tcPr>
            <w:tcW w:w="1227" w:type="dxa"/>
            <w:tcBorders>
              <w:top w:val="nil"/>
              <w:bottom w:val="nil"/>
            </w:tcBorders>
            <w:vAlign w:val="bottom"/>
          </w:tcPr>
          <w:p w14:paraId="4F05006C" w14:textId="02E3C13F"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w:t>
            </w:r>
          </w:p>
        </w:tc>
      </w:tr>
      <w:tr w:rsidR="00D84B17" w14:paraId="12929DA3" w14:textId="0DEE1717" w:rsidTr="00D84B17">
        <w:trPr>
          <w:trHeight w:val="170"/>
        </w:trPr>
        <w:tc>
          <w:tcPr>
            <w:cnfStyle w:val="001000000000" w:firstRow="0" w:lastRow="0" w:firstColumn="1" w:lastColumn="0" w:oddVBand="0" w:evenVBand="0" w:oddHBand="0" w:evenHBand="0" w:firstRowFirstColumn="0" w:firstRowLastColumn="0" w:lastRowFirstColumn="0" w:lastRowLastColumn="0"/>
            <w:tcW w:w="1512" w:type="dxa"/>
            <w:tcBorders>
              <w:top w:val="nil"/>
            </w:tcBorders>
          </w:tcPr>
          <w:p w14:paraId="792FBC26" w14:textId="6477240D" w:rsidR="00DE2F73" w:rsidRPr="00DE2F73" w:rsidRDefault="00DE2F73" w:rsidP="00A0449E">
            <w:pPr>
              <w:spacing w:after="0"/>
              <w:jc w:val="center"/>
              <w:rPr>
                <w:szCs w:val="20"/>
              </w:rPr>
            </w:pPr>
            <w:r w:rsidRPr="00A0449E">
              <w:rPr>
                <w:szCs w:val="20"/>
              </w:rPr>
              <w:t>Reptiles</w:t>
            </w:r>
          </w:p>
        </w:tc>
        <w:tc>
          <w:tcPr>
            <w:tcW w:w="1489" w:type="dxa"/>
            <w:tcBorders>
              <w:top w:val="nil"/>
            </w:tcBorders>
          </w:tcPr>
          <w:p w14:paraId="3751FC96" w14:textId="49AEECA0"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44</w:t>
            </w:r>
          </w:p>
        </w:tc>
        <w:tc>
          <w:tcPr>
            <w:tcW w:w="1345" w:type="dxa"/>
            <w:tcBorders>
              <w:top w:val="nil"/>
            </w:tcBorders>
          </w:tcPr>
          <w:p w14:paraId="5F53C6DB" w14:textId="56B89129"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2</w:t>
            </w:r>
          </w:p>
        </w:tc>
        <w:tc>
          <w:tcPr>
            <w:tcW w:w="1379" w:type="dxa"/>
            <w:tcBorders>
              <w:top w:val="nil"/>
            </w:tcBorders>
          </w:tcPr>
          <w:p w14:paraId="2C009A86" w14:textId="01A5C656"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3</w:t>
            </w:r>
          </w:p>
        </w:tc>
        <w:tc>
          <w:tcPr>
            <w:tcW w:w="1339" w:type="dxa"/>
            <w:tcBorders>
              <w:top w:val="nil"/>
            </w:tcBorders>
          </w:tcPr>
          <w:p w14:paraId="2E34CDCA" w14:textId="4FB68F0F"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c>
          <w:tcPr>
            <w:tcW w:w="1348" w:type="dxa"/>
            <w:tcBorders>
              <w:top w:val="nil"/>
            </w:tcBorders>
          </w:tcPr>
          <w:p w14:paraId="3AC78052" w14:textId="299B06AC"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3</w:t>
            </w:r>
          </w:p>
        </w:tc>
        <w:tc>
          <w:tcPr>
            <w:tcW w:w="1227" w:type="dxa"/>
            <w:tcBorders>
              <w:top w:val="nil"/>
            </w:tcBorders>
            <w:vAlign w:val="bottom"/>
          </w:tcPr>
          <w:p w14:paraId="01F87765" w14:textId="76793020" w:rsidR="00DE2F73" w:rsidRPr="00DE2F73"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r>
      <w:tr w:rsidR="00D84B17" w:rsidRPr="00DE2F73" w14:paraId="45103EC4" w14:textId="34090D59" w:rsidTr="00D84B17">
        <w:trPr>
          <w:trHeight w:val="170"/>
        </w:trPr>
        <w:tc>
          <w:tcPr>
            <w:cnfStyle w:val="001000000000" w:firstRow="0" w:lastRow="0" w:firstColumn="1" w:lastColumn="0" w:oddVBand="0" w:evenVBand="0" w:oddHBand="0" w:evenHBand="0" w:firstRowFirstColumn="0" w:firstRowLastColumn="0" w:lastRowFirstColumn="0" w:lastRowLastColumn="0"/>
            <w:tcW w:w="1512" w:type="dxa"/>
          </w:tcPr>
          <w:p w14:paraId="1DB63382" w14:textId="3B5BB9B8" w:rsidR="00DE2F73" w:rsidRPr="00571E6C" w:rsidRDefault="00DE2F73" w:rsidP="00A0449E">
            <w:pPr>
              <w:spacing w:after="0"/>
              <w:jc w:val="center"/>
              <w:rPr>
                <w:b/>
                <w:bCs/>
                <w:szCs w:val="20"/>
              </w:rPr>
            </w:pPr>
            <w:r w:rsidRPr="00571E6C">
              <w:rPr>
                <w:b/>
                <w:bCs/>
                <w:szCs w:val="20"/>
              </w:rPr>
              <w:t>Total</w:t>
            </w:r>
          </w:p>
        </w:tc>
        <w:tc>
          <w:tcPr>
            <w:tcW w:w="1489" w:type="dxa"/>
          </w:tcPr>
          <w:p w14:paraId="71E2CC07" w14:textId="48F09B63"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301</w:t>
            </w:r>
          </w:p>
        </w:tc>
        <w:tc>
          <w:tcPr>
            <w:tcW w:w="1345" w:type="dxa"/>
          </w:tcPr>
          <w:p w14:paraId="24BA2586" w14:textId="5186131C"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59</w:t>
            </w:r>
          </w:p>
        </w:tc>
        <w:tc>
          <w:tcPr>
            <w:tcW w:w="1379" w:type="dxa"/>
          </w:tcPr>
          <w:p w14:paraId="143E5E9F" w14:textId="1F97F376"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26</w:t>
            </w:r>
          </w:p>
        </w:tc>
        <w:tc>
          <w:tcPr>
            <w:tcW w:w="1339" w:type="dxa"/>
          </w:tcPr>
          <w:p w14:paraId="37C0C48A" w14:textId="2363CAFD"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17</w:t>
            </w:r>
          </w:p>
        </w:tc>
        <w:tc>
          <w:tcPr>
            <w:tcW w:w="1348" w:type="dxa"/>
          </w:tcPr>
          <w:p w14:paraId="7940C69C" w14:textId="466F0C93"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11</w:t>
            </w:r>
          </w:p>
        </w:tc>
        <w:tc>
          <w:tcPr>
            <w:tcW w:w="1227" w:type="dxa"/>
            <w:vAlign w:val="bottom"/>
          </w:tcPr>
          <w:p w14:paraId="5A51D6E4" w14:textId="22383C35"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9</w:t>
            </w:r>
          </w:p>
        </w:tc>
      </w:tr>
    </w:tbl>
    <w:p w14:paraId="61EE782D" w14:textId="77777777" w:rsidR="00CF79EA" w:rsidRPr="00DE2F73" w:rsidRDefault="00CF79EA" w:rsidP="00ED7891"/>
    <w:p w14:paraId="170B110C" w14:textId="3B7CAFB5" w:rsidR="00DE2F73" w:rsidRDefault="00DE2F73" w:rsidP="00DE2F73">
      <w:pPr>
        <w:pStyle w:val="Caption-Table"/>
      </w:pPr>
      <w:bookmarkStart w:id="61" w:name="_Toc198634140"/>
      <w:r>
        <w:t>Table 8. Summary of the number of disease risk assessments that were assigned a given risk rating for the economic impacts of each disease hazard.</w:t>
      </w:r>
      <w:bookmarkEnd w:id="61"/>
    </w:p>
    <w:tbl>
      <w:tblPr>
        <w:tblStyle w:val="TableGrid10"/>
        <w:tblW w:w="0" w:type="auto"/>
        <w:tblLook w:val="04A0" w:firstRow="1" w:lastRow="0" w:firstColumn="1" w:lastColumn="0" w:noHBand="0" w:noVBand="1"/>
      </w:tblPr>
      <w:tblGrid>
        <w:gridCol w:w="1512"/>
        <w:gridCol w:w="1489"/>
        <w:gridCol w:w="1345"/>
        <w:gridCol w:w="1379"/>
        <w:gridCol w:w="1339"/>
        <w:gridCol w:w="1348"/>
        <w:gridCol w:w="1227"/>
      </w:tblGrid>
      <w:tr w:rsidR="00DE2F73" w14:paraId="71C9A47B" w14:textId="490BD407" w:rsidTr="00A044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Borders>
              <w:bottom w:val="nil"/>
            </w:tcBorders>
          </w:tcPr>
          <w:p w14:paraId="1E99BA1A" w14:textId="77777777" w:rsidR="00DE2F73" w:rsidRPr="00871193" w:rsidRDefault="00DE2F73" w:rsidP="00DA5824">
            <w:pPr>
              <w:pStyle w:val="Tableheadingtext"/>
              <w:jc w:val="center"/>
            </w:pPr>
          </w:p>
        </w:tc>
        <w:tc>
          <w:tcPr>
            <w:tcW w:w="1489" w:type="dxa"/>
            <w:tcBorders>
              <w:bottom w:val="nil"/>
            </w:tcBorders>
          </w:tcPr>
          <w:p w14:paraId="0A852887" w14:textId="77777777" w:rsidR="00DE2F73" w:rsidRPr="00871193"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345" w:type="dxa"/>
            <w:tcBorders>
              <w:bottom w:val="nil"/>
            </w:tcBorders>
          </w:tcPr>
          <w:p w14:paraId="3170758C" w14:textId="77777777" w:rsidR="00DE2F73" w:rsidRPr="00871193"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379" w:type="dxa"/>
            <w:tcBorders>
              <w:bottom w:val="nil"/>
            </w:tcBorders>
          </w:tcPr>
          <w:p w14:paraId="425A3FAB" w14:textId="77777777" w:rsidR="00DE2F73" w:rsidRPr="00871193"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r w:rsidRPr="00871193">
              <w:t>Risk rating</w:t>
            </w:r>
          </w:p>
        </w:tc>
        <w:tc>
          <w:tcPr>
            <w:tcW w:w="1339" w:type="dxa"/>
            <w:tcBorders>
              <w:bottom w:val="nil"/>
            </w:tcBorders>
          </w:tcPr>
          <w:p w14:paraId="1B496BB9" w14:textId="77777777" w:rsidR="00DE2F73" w:rsidRPr="00871193"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348" w:type="dxa"/>
            <w:tcBorders>
              <w:bottom w:val="nil"/>
            </w:tcBorders>
          </w:tcPr>
          <w:p w14:paraId="6AB6618F" w14:textId="77777777" w:rsidR="00DE2F73" w:rsidRPr="00871193"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c>
          <w:tcPr>
            <w:tcW w:w="1227" w:type="dxa"/>
            <w:tcBorders>
              <w:bottom w:val="nil"/>
            </w:tcBorders>
          </w:tcPr>
          <w:p w14:paraId="65D1E283" w14:textId="77777777" w:rsidR="00DE2F73" w:rsidRPr="00871193" w:rsidRDefault="00DE2F73" w:rsidP="00DA5824">
            <w:pPr>
              <w:pStyle w:val="Tableheadingtext"/>
              <w:jc w:val="center"/>
              <w:cnfStyle w:val="100000000000" w:firstRow="1" w:lastRow="0" w:firstColumn="0" w:lastColumn="0" w:oddVBand="0" w:evenVBand="0" w:oddHBand="0" w:evenHBand="0" w:firstRowFirstColumn="0" w:firstRowLastColumn="0" w:lastRowFirstColumn="0" w:lastRowLastColumn="0"/>
            </w:pPr>
          </w:p>
        </w:tc>
      </w:tr>
      <w:tr w:rsidR="00DE2F73" w14:paraId="6DBF655A" w14:textId="3FEBB0DA" w:rsidTr="00A0449E">
        <w:tc>
          <w:tcPr>
            <w:cnfStyle w:val="001000000000" w:firstRow="0" w:lastRow="0" w:firstColumn="1" w:lastColumn="0" w:oddVBand="0" w:evenVBand="0" w:oddHBand="0" w:evenHBand="0" w:firstRowFirstColumn="0" w:firstRowLastColumn="0" w:lastRowFirstColumn="0" w:lastRowLastColumn="0"/>
            <w:tcW w:w="1512" w:type="dxa"/>
            <w:tcBorders>
              <w:top w:val="nil"/>
            </w:tcBorders>
            <w:shd w:val="clear" w:color="auto" w:fill="004C97"/>
          </w:tcPr>
          <w:p w14:paraId="5FB7F459" w14:textId="77777777" w:rsidR="00DE2F73" w:rsidRPr="00871193" w:rsidRDefault="00DE2F73" w:rsidP="00DA5824">
            <w:pPr>
              <w:pStyle w:val="Tableheadingtext"/>
              <w:keepNext/>
              <w:jc w:val="center"/>
            </w:pPr>
            <w:r w:rsidRPr="00871193">
              <w:t>Taxon group</w:t>
            </w:r>
          </w:p>
        </w:tc>
        <w:tc>
          <w:tcPr>
            <w:tcW w:w="1489" w:type="dxa"/>
            <w:tcBorders>
              <w:top w:val="nil"/>
            </w:tcBorders>
            <w:shd w:val="clear" w:color="auto" w:fill="004C97"/>
          </w:tcPr>
          <w:p w14:paraId="2F25E94D" w14:textId="77777777" w:rsidR="00DE2F73" w:rsidRPr="00871193" w:rsidRDefault="00DE2F73" w:rsidP="00DA5824">
            <w:pPr>
              <w:pStyle w:val="Tableheadingtext"/>
              <w:keepNext/>
              <w:jc w:val="center"/>
              <w:cnfStyle w:val="000000000000" w:firstRow="0" w:lastRow="0" w:firstColumn="0" w:lastColumn="0" w:oddVBand="0" w:evenVBand="0" w:oddHBand="0" w:evenHBand="0" w:firstRowFirstColumn="0" w:firstRowLastColumn="0" w:lastRowFirstColumn="0" w:lastRowLastColumn="0"/>
            </w:pPr>
            <w:r w:rsidRPr="00871193">
              <w:t>Negligible</w:t>
            </w:r>
          </w:p>
        </w:tc>
        <w:tc>
          <w:tcPr>
            <w:tcW w:w="1345" w:type="dxa"/>
            <w:tcBorders>
              <w:top w:val="nil"/>
            </w:tcBorders>
            <w:shd w:val="clear" w:color="auto" w:fill="004C97"/>
          </w:tcPr>
          <w:p w14:paraId="5C74092F" w14:textId="77777777" w:rsidR="00DE2F73" w:rsidRPr="00871193" w:rsidRDefault="00DE2F73" w:rsidP="00DA5824">
            <w:pPr>
              <w:pStyle w:val="Tableheadingtext"/>
              <w:keepNext/>
              <w:jc w:val="center"/>
              <w:cnfStyle w:val="000000000000" w:firstRow="0" w:lastRow="0" w:firstColumn="0" w:lastColumn="0" w:oddVBand="0" w:evenVBand="0" w:oddHBand="0" w:evenHBand="0" w:firstRowFirstColumn="0" w:firstRowLastColumn="0" w:lastRowFirstColumn="0" w:lastRowLastColumn="0"/>
            </w:pPr>
            <w:r w:rsidRPr="00871193">
              <w:t>Very low</w:t>
            </w:r>
          </w:p>
        </w:tc>
        <w:tc>
          <w:tcPr>
            <w:tcW w:w="1379" w:type="dxa"/>
            <w:tcBorders>
              <w:top w:val="nil"/>
            </w:tcBorders>
            <w:shd w:val="clear" w:color="auto" w:fill="004C97"/>
          </w:tcPr>
          <w:p w14:paraId="6A914496" w14:textId="77777777" w:rsidR="00DE2F73" w:rsidRPr="00871193" w:rsidRDefault="00DE2F73" w:rsidP="00DA5824">
            <w:pPr>
              <w:pStyle w:val="Tableheadingtext"/>
              <w:keepNext/>
              <w:jc w:val="center"/>
              <w:cnfStyle w:val="000000000000" w:firstRow="0" w:lastRow="0" w:firstColumn="0" w:lastColumn="0" w:oddVBand="0" w:evenVBand="0" w:oddHBand="0" w:evenHBand="0" w:firstRowFirstColumn="0" w:firstRowLastColumn="0" w:lastRowFirstColumn="0" w:lastRowLastColumn="0"/>
            </w:pPr>
            <w:r w:rsidRPr="00871193">
              <w:t>Low</w:t>
            </w:r>
          </w:p>
        </w:tc>
        <w:tc>
          <w:tcPr>
            <w:tcW w:w="1339" w:type="dxa"/>
            <w:tcBorders>
              <w:top w:val="nil"/>
            </w:tcBorders>
            <w:shd w:val="clear" w:color="auto" w:fill="004C97"/>
          </w:tcPr>
          <w:p w14:paraId="620119A3" w14:textId="533DA4C6" w:rsidR="00DE2F73" w:rsidRPr="00871193" w:rsidRDefault="00DE2F73" w:rsidP="00DA5824">
            <w:pPr>
              <w:pStyle w:val="Tableheadingtext"/>
              <w:keepNext/>
              <w:jc w:val="center"/>
              <w:cnfStyle w:val="000000000000" w:firstRow="0" w:lastRow="0" w:firstColumn="0" w:lastColumn="0" w:oddVBand="0" w:evenVBand="0" w:oddHBand="0" w:evenHBand="0" w:firstRowFirstColumn="0" w:firstRowLastColumn="0" w:lastRowFirstColumn="0" w:lastRowLastColumn="0"/>
            </w:pPr>
            <w:r w:rsidRPr="00871193">
              <w:t>Mod</w:t>
            </w:r>
            <w:r w:rsidR="004F119F" w:rsidRPr="00871193">
              <w:t>erate</w:t>
            </w:r>
          </w:p>
        </w:tc>
        <w:tc>
          <w:tcPr>
            <w:tcW w:w="1348" w:type="dxa"/>
            <w:tcBorders>
              <w:top w:val="nil"/>
            </w:tcBorders>
            <w:shd w:val="clear" w:color="auto" w:fill="004C97"/>
          </w:tcPr>
          <w:p w14:paraId="5F4178AD" w14:textId="77777777" w:rsidR="00DE2F73" w:rsidRPr="00871193" w:rsidRDefault="00DE2F73" w:rsidP="00DA5824">
            <w:pPr>
              <w:pStyle w:val="Tableheadingtext"/>
              <w:keepNext/>
              <w:jc w:val="center"/>
              <w:cnfStyle w:val="000000000000" w:firstRow="0" w:lastRow="0" w:firstColumn="0" w:lastColumn="0" w:oddVBand="0" w:evenVBand="0" w:oddHBand="0" w:evenHBand="0" w:firstRowFirstColumn="0" w:firstRowLastColumn="0" w:lastRowFirstColumn="0" w:lastRowLastColumn="0"/>
            </w:pPr>
            <w:r w:rsidRPr="00871193">
              <w:t>High</w:t>
            </w:r>
          </w:p>
        </w:tc>
        <w:tc>
          <w:tcPr>
            <w:tcW w:w="1227" w:type="dxa"/>
            <w:tcBorders>
              <w:top w:val="nil"/>
            </w:tcBorders>
            <w:shd w:val="clear" w:color="auto" w:fill="004C97"/>
          </w:tcPr>
          <w:p w14:paraId="4FEC7F4D" w14:textId="7C8E5F6B" w:rsidR="00DE2F73" w:rsidRPr="00871193" w:rsidRDefault="00DE2F73" w:rsidP="00DA5824">
            <w:pPr>
              <w:pStyle w:val="Tableheadingtext"/>
              <w:keepNext/>
              <w:jc w:val="center"/>
              <w:cnfStyle w:val="000000000000" w:firstRow="0" w:lastRow="0" w:firstColumn="0" w:lastColumn="0" w:oddVBand="0" w:evenVBand="0" w:oddHBand="0" w:evenHBand="0" w:firstRowFirstColumn="0" w:firstRowLastColumn="0" w:lastRowFirstColumn="0" w:lastRowLastColumn="0"/>
            </w:pPr>
            <w:r w:rsidRPr="00871193">
              <w:t>Extreme</w:t>
            </w:r>
          </w:p>
        </w:tc>
      </w:tr>
      <w:tr w:rsidR="00DE2F73" w14:paraId="3FFB0CCC" w14:textId="3EDC7A39" w:rsidTr="00A0449E">
        <w:tc>
          <w:tcPr>
            <w:cnfStyle w:val="001000000000" w:firstRow="0" w:lastRow="0" w:firstColumn="1" w:lastColumn="0" w:oddVBand="0" w:evenVBand="0" w:oddHBand="0" w:evenHBand="0" w:firstRowFirstColumn="0" w:firstRowLastColumn="0" w:lastRowFirstColumn="0" w:lastRowLastColumn="0"/>
            <w:tcW w:w="1512" w:type="dxa"/>
            <w:tcBorders>
              <w:bottom w:val="nil"/>
            </w:tcBorders>
          </w:tcPr>
          <w:p w14:paraId="62A02C19" w14:textId="77777777" w:rsidR="00DE2F73" w:rsidRPr="00D84B17" w:rsidRDefault="00DE2F73" w:rsidP="00A0449E">
            <w:pPr>
              <w:spacing w:after="0"/>
              <w:jc w:val="center"/>
              <w:rPr>
                <w:szCs w:val="20"/>
              </w:rPr>
            </w:pPr>
            <w:r w:rsidRPr="00D84B17">
              <w:rPr>
                <w:szCs w:val="20"/>
              </w:rPr>
              <w:t>Mammals</w:t>
            </w:r>
          </w:p>
        </w:tc>
        <w:tc>
          <w:tcPr>
            <w:tcW w:w="1489" w:type="dxa"/>
            <w:tcBorders>
              <w:bottom w:val="nil"/>
            </w:tcBorders>
            <w:vAlign w:val="bottom"/>
          </w:tcPr>
          <w:p w14:paraId="35C8A568" w14:textId="413AC074"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70</w:t>
            </w:r>
          </w:p>
        </w:tc>
        <w:tc>
          <w:tcPr>
            <w:tcW w:w="1345" w:type="dxa"/>
            <w:tcBorders>
              <w:bottom w:val="nil"/>
            </w:tcBorders>
            <w:vAlign w:val="bottom"/>
          </w:tcPr>
          <w:p w14:paraId="6D7E56F4" w14:textId="49F010EC"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75</w:t>
            </w:r>
          </w:p>
        </w:tc>
        <w:tc>
          <w:tcPr>
            <w:tcW w:w="1379" w:type="dxa"/>
            <w:tcBorders>
              <w:bottom w:val="nil"/>
            </w:tcBorders>
            <w:vAlign w:val="bottom"/>
          </w:tcPr>
          <w:p w14:paraId="22DAB61E" w14:textId="5E8793C7"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54</w:t>
            </w:r>
          </w:p>
        </w:tc>
        <w:tc>
          <w:tcPr>
            <w:tcW w:w="1339" w:type="dxa"/>
            <w:tcBorders>
              <w:bottom w:val="nil"/>
            </w:tcBorders>
            <w:vAlign w:val="bottom"/>
          </w:tcPr>
          <w:p w14:paraId="3B8970E5" w14:textId="4EAEB305"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18</w:t>
            </w:r>
          </w:p>
        </w:tc>
        <w:tc>
          <w:tcPr>
            <w:tcW w:w="1348" w:type="dxa"/>
            <w:tcBorders>
              <w:bottom w:val="nil"/>
            </w:tcBorders>
            <w:vAlign w:val="bottom"/>
          </w:tcPr>
          <w:p w14:paraId="22BCCC6C" w14:textId="427FDA4E"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12</w:t>
            </w:r>
          </w:p>
        </w:tc>
        <w:tc>
          <w:tcPr>
            <w:tcW w:w="1227" w:type="dxa"/>
            <w:tcBorders>
              <w:bottom w:val="nil"/>
            </w:tcBorders>
            <w:vAlign w:val="bottom"/>
          </w:tcPr>
          <w:p w14:paraId="2B49C0F6" w14:textId="64269F47"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3</w:t>
            </w:r>
          </w:p>
        </w:tc>
      </w:tr>
      <w:tr w:rsidR="00DE2F73" w14:paraId="2EA9F9B2" w14:textId="477C788E" w:rsidTr="00A0449E">
        <w:tc>
          <w:tcPr>
            <w:cnfStyle w:val="001000000000" w:firstRow="0" w:lastRow="0" w:firstColumn="1" w:lastColumn="0" w:oddVBand="0" w:evenVBand="0" w:oddHBand="0" w:evenHBand="0" w:firstRowFirstColumn="0" w:firstRowLastColumn="0" w:lastRowFirstColumn="0" w:lastRowLastColumn="0"/>
            <w:tcW w:w="1512" w:type="dxa"/>
            <w:tcBorders>
              <w:top w:val="nil"/>
              <w:bottom w:val="nil"/>
            </w:tcBorders>
          </w:tcPr>
          <w:p w14:paraId="1D26C57A" w14:textId="77777777" w:rsidR="00DE2F73" w:rsidRPr="00D84B17" w:rsidRDefault="00DE2F73" w:rsidP="00A0449E">
            <w:pPr>
              <w:spacing w:after="0"/>
              <w:jc w:val="center"/>
              <w:rPr>
                <w:szCs w:val="20"/>
              </w:rPr>
            </w:pPr>
            <w:r w:rsidRPr="00D84B17">
              <w:rPr>
                <w:szCs w:val="20"/>
              </w:rPr>
              <w:t>Birds</w:t>
            </w:r>
          </w:p>
        </w:tc>
        <w:tc>
          <w:tcPr>
            <w:tcW w:w="1489" w:type="dxa"/>
            <w:tcBorders>
              <w:top w:val="nil"/>
              <w:bottom w:val="nil"/>
            </w:tcBorders>
            <w:vAlign w:val="bottom"/>
          </w:tcPr>
          <w:p w14:paraId="7372AB37" w14:textId="59BC45C6"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41</w:t>
            </w:r>
          </w:p>
        </w:tc>
        <w:tc>
          <w:tcPr>
            <w:tcW w:w="1345" w:type="dxa"/>
            <w:tcBorders>
              <w:top w:val="nil"/>
              <w:bottom w:val="nil"/>
            </w:tcBorders>
            <w:vAlign w:val="bottom"/>
          </w:tcPr>
          <w:p w14:paraId="111F4B47" w14:textId="3B0EF35B"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23</w:t>
            </w:r>
          </w:p>
        </w:tc>
        <w:tc>
          <w:tcPr>
            <w:tcW w:w="1379" w:type="dxa"/>
            <w:tcBorders>
              <w:top w:val="nil"/>
              <w:bottom w:val="nil"/>
            </w:tcBorders>
            <w:vAlign w:val="bottom"/>
          </w:tcPr>
          <w:p w14:paraId="7897A4A7" w14:textId="16742A93"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7</w:t>
            </w:r>
          </w:p>
        </w:tc>
        <w:tc>
          <w:tcPr>
            <w:tcW w:w="1339" w:type="dxa"/>
            <w:tcBorders>
              <w:top w:val="nil"/>
              <w:bottom w:val="nil"/>
            </w:tcBorders>
            <w:vAlign w:val="bottom"/>
          </w:tcPr>
          <w:p w14:paraId="6C948DE8" w14:textId="5BF7AEDF"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5</w:t>
            </w:r>
          </w:p>
        </w:tc>
        <w:tc>
          <w:tcPr>
            <w:tcW w:w="1348" w:type="dxa"/>
            <w:tcBorders>
              <w:top w:val="nil"/>
              <w:bottom w:val="nil"/>
            </w:tcBorders>
            <w:vAlign w:val="bottom"/>
          </w:tcPr>
          <w:p w14:paraId="1A14E536" w14:textId="3BDF5BE2"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w:t>
            </w:r>
          </w:p>
        </w:tc>
        <w:tc>
          <w:tcPr>
            <w:tcW w:w="1227" w:type="dxa"/>
            <w:tcBorders>
              <w:top w:val="nil"/>
              <w:bottom w:val="nil"/>
            </w:tcBorders>
            <w:vAlign w:val="bottom"/>
          </w:tcPr>
          <w:p w14:paraId="0D29BB9A" w14:textId="38B951A4"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4</w:t>
            </w:r>
          </w:p>
        </w:tc>
      </w:tr>
      <w:tr w:rsidR="00DE2F73" w14:paraId="24B7A5D6" w14:textId="150EB886" w:rsidTr="00A0449E">
        <w:tc>
          <w:tcPr>
            <w:cnfStyle w:val="001000000000" w:firstRow="0" w:lastRow="0" w:firstColumn="1" w:lastColumn="0" w:oddVBand="0" w:evenVBand="0" w:oddHBand="0" w:evenHBand="0" w:firstRowFirstColumn="0" w:firstRowLastColumn="0" w:lastRowFirstColumn="0" w:lastRowLastColumn="0"/>
            <w:tcW w:w="1512" w:type="dxa"/>
            <w:tcBorders>
              <w:top w:val="nil"/>
              <w:bottom w:val="nil"/>
            </w:tcBorders>
          </w:tcPr>
          <w:p w14:paraId="49DCFA87" w14:textId="77777777" w:rsidR="00DE2F73" w:rsidRPr="00D84B17" w:rsidRDefault="00DE2F73" w:rsidP="00A0449E">
            <w:pPr>
              <w:spacing w:after="0"/>
              <w:jc w:val="center"/>
              <w:rPr>
                <w:szCs w:val="20"/>
              </w:rPr>
            </w:pPr>
            <w:r w:rsidRPr="00D84B17">
              <w:rPr>
                <w:szCs w:val="20"/>
              </w:rPr>
              <w:t>Amphibians</w:t>
            </w:r>
          </w:p>
        </w:tc>
        <w:tc>
          <w:tcPr>
            <w:tcW w:w="1489" w:type="dxa"/>
            <w:tcBorders>
              <w:top w:val="nil"/>
              <w:bottom w:val="nil"/>
            </w:tcBorders>
            <w:vAlign w:val="bottom"/>
          </w:tcPr>
          <w:p w14:paraId="3D83F738" w14:textId="384578B2"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54</w:t>
            </w:r>
          </w:p>
        </w:tc>
        <w:tc>
          <w:tcPr>
            <w:tcW w:w="1345" w:type="dxa"/>
            <w:tcBorders>
              <w:top w:val="nil"/>
              <w:bottom w:val="nil"/>
            </w:tcBorders>
            <w:vAlign w:val="bottom"/>
          </w:tcPr>
          <w:p w14:paraId="0AAFE195" w14:textId="57D37468"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3</w:t>
            </w:r>
          </w:p>
        </w:tc>
        <w:tc>
          <w:tcPr>
            <w:tcW w:w="1379" w:type="dxa"/>
            <w:tcBorders>
              <w:top w:val="nil"/>
              <w:bottom w:val="nil"/>
            </w:tcBorders>
            <w:vAlign w:val="bottom"/>
          </w:tcPr>
          <w:p w14:paraId="186DDA7D" w14:textId="4BAB4047"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c>
          <w:tcPr>
            <w:tcW w:w="1339" w:type="dxa"/>
            <w:tcBorders>
              <w:top w:val="nil"/>
              <w:bottom w:val="nil"/>
            </w:tcBorders>
            <w:vAlign w:val="bottom"/>
          </w:tcPr>
          <w:p w14:paraId="49639A38" w14:textId="064FC8C5"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w:t>
            </w:r>
          </w:p>
        </w:tc>
        <w:tc>
          <w:tcPr>
            <w:tcW w:w="1348" w:type="dxa"/>
            <w:tcBorders>
              <w:top w:val="nil"/>
              <w:bottom w:val="nil"/>
            </w:tcBorders>
            <w:vAlign w:val="bottom"/>
          </w:tcPr>
          <w:p w14:paraId="0D2021A6" w14:textId="512CF469"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c>
          <w:tcPr>
            <w:tcW w:w="1227" w:type="dxa"/>
            <w:tcBorders>
              <w:top w:val="nil"/>
              <w:bottom w:val="nil"/>
            </w:tcBorders>
            <w:vAlign w:val="bottom"/>
          </w:tcPr>
          <w:p w14:paraId="70C99B48" w14:textId="387DDB2B"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r>
      <w:tr w:rsidR="00DE2F73" w14:paraId="52E47513" w14:textId="0157189D" w:rsidTr="00A0449E">
        <w:tc>
          <w:tcPr>
            <w:cnfStyle w:val="001000000000" w:firstRow="0" w:lastRow="0" w:firstColumn="1" w:lastColumn="0" w:oddVBand="0" w:evenVBand="0" w:oddHBand="0" w:evenHBand="0" w:firstRowFirstColumn="0" w:firstRowLastColumn="0" w:lastRowFirstColumn="0" w:lastRowLastColumn="0"/>
            <w:tcW w:w="1512" w:type="dxa"/>
            <w:tcBorders>
              <w:top w:val="nil"/>
            </w:tcBorders>
          </w:tcPr>
          <w:p w14:paraId="3461D5FD" w14:textId="77777777" w:rsidR="00DE2F73" w:rsidRPr="00D84B17" w:rsidRDefault="00DE2F73" w:rsidP="00A0449E">
            <w:pPr>
              <w:spacing w:after="0"/>
              <w:jc w:val="center"/>
              <w:rPr>
                <w:szCs w:val="20"/>
              </w:rPr>
            </w:pPr>
            <w:r w:rsidRPr="00D84B17">
              <w:rPr>
                <w:szCs w:val="20"/>
              </w:rPr>
              <w:t>Reptiles</w:t>
            </w:r>
          </w:p>
        </w:tc>
        <w:tc>
          <w:tcPr>
            <w:tcW w:w="1489" w:type="dxa"/>
            <w:tcBorders>
              <w:top w:val="nil"/>
            </w:tcBorders>
            <w:vAlign w:val="bottom"/>
          </w:tcPr>
          <w:p w14:paraId="285B1D2F" w14:textId="29D4D939"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51</w:t>
            </w:r>
          </w:p>
        </w:tc>
        <w:tc>
          <w:tcPr>
            <w:tcW w:w="1345" w:type="dxa"/>
            <w:tcBorders>
              <w:top w:val="nil"/>
            </w:tcBorders>
            <w:vAlign w:val="bottom"/>
          </w:tcPr>
          <w:p w14:paraId="4A7B587C" w14:textId="7EE7E5FF"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1</w:t>
            </w:r>
          </w:p>
        </w:tc>
        <w:tc>
          <w:tcPr>
            <w:tcW w:w="1379" w:type="dxa"/>
            <w:tcBorders>
              <w:top w:val="nil"/>
            </w:tcBorders>
            <w:vAlign w:val="bottom"/>
          </w:tcPr>
          <w:p w14:paraId="78FE60AA" w14:textId="4B8D623B"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c>
          <w:tcPr>
            <w:tcW w:w="1339" w:type="dxa"/>
            <w:tcBorders>
              <w:top w:val="nil"/>
            </w:tcBorders>
            <w:vAlign w:val="bottom"/>
          </w:tcPr>
          <w:p w14:paraId="51CF4EDF" w14:textId="79E2C1E3"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c>
          <w:tcPr>
            <w:tcW w:w="1348" w:type="dxa"/>
            <w:tcBorders>
              <w:top w:val="nil"/>
            </w:tcBorders>
            <w:vAlign w:val="bottom"/>
          </w:tcPr>
          <w:p w14:paraId="19119742" w14:textId="0D0974F3"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c>
          <w:tcPr>
            <w:tcW w:w="1227" w:type="dxa"/>
            <w:tcBorders>
              <w:top w:val="nil"/>
            </w:tcBorders>
            <w:vAlign w:val="bottom"/>
          </w:tcPr>
          <w:p w14:paraId="0557F177" w14:textId="4F4DCB40" w:rsidR="00DE2F73" w:rsidRPr="00D84B17"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szCs w:val="20"/>
              </w:rPr>
            </w:pPr>
            <w:r w:rsidRPr="00A0449E">
              <w:rPr>
                <w:szCs w:val="20"/>
              </w:rPr>
              <w:t>0</w:t>
            </w:r>
          </w:p>
        </w:tc>
      </w:tr>
      <w:tr w:rsidR="00DE2F73" w:rsidRPr="00DE2F73" w14:paraId="3724013B" w14:textId="19D71F13" w:rsidTr="00A0449E">
        <w:tc>
          <w:tcPr>
            <w:cnfStyle w:val="001000000000" w:firstRow="0" w:lastRow="0" w:firstColumn="1" w:lastColumn="0" w:oddVBand="0" w:evenVBand="0" w:oddHBand="0" w:evenHBand="0" w:firstRowFirstColumn="0" w:firstRowLastColumn="0" w:lastRowFirstColumn="0" w:lastRowLastColumn="0"/>
            <w:tcW w:w="1512" w:type="dxa"/>
          </w:tcPr>
          <w:p w14:paraId="216C394A" w14:textId="77777777" w:rsidR="00DE2F73" w:rsidRPr="00571E6C" w:rsidRDefault="00DE2F73" w:rsidP="00A0449E">
            <w:pPr>
              <w:spacing w:after="0"/>
              <w:jc w:val="center"/>
              <w:rPr>
                <w:b/>
                <w:bCs/>
                <w:szCs w:val="20"/>
              </w:rPr>
            </w:pPr>
            <w:r w:rsidRPr="00571E6C">
              <w:rPr>
                <w:b/>
                <w:bCs/>
                <w:szCs w:val="20"/>
              </w:rPr>
              <w:t>Total</w:t>
            </w:r>
          </w:p>
        </w:tc>
        <w:tc>
          <w:tcPr>
            <w:tcW w:w="1489" w:type="dxa"/>
            <w:vAlign w:val="bottom"/>
          </w:tcPr>
          <w:p w14:paraId="4FDE8820" w14:textId="07851021"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216</w:t>
            </w:r>
          </w:p>
        </w:tc>
        <w:tc>
          <w:tcPr>
            <w:tcW w:w="1345" w:type="dxa"/>
            <w:vAlign w:val="bottom"/>
          </w:tcPr>
          <w:p w14:paraId="27190EF7" w14:textId="21A89AEA"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102</w:t>
            </w:r>
          </w:p>
        </w:tc>
        <w:tc>
          <w:tcPr>
            <w:tcW w:w="1379" w:type="dxa"/>
            <w:vAlign w:val="bottom"/>
          </w:tcPr>
          <w:p w14:paraId="075FDD52" w14:textId="641F711E"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61</w:t>
            </w:r>
          </w:p>
        </w:tc>
        <w:tc>
          <w:tcPr>
            <w:tcW w:w="1339" w:type="dxa"/>
            <w:vAlign w:val="bottom"/>
          </w:tcPr>
          <w:p w14:paraId="03BA4020" w14:textId="265DACED"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24</w:t>
            </w:r>
          </w:p>
        </w:tc>
        <w:tc>
          <w:tcPr>
            <w:tcW w:w="1348" w:type="dxa"/>
            <w:vAlign w:val="bottom"/>
          </w:tcPr>
          <w:p w14:paraId="1B3ABAFB" w14:textId="45213D79"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13</w:t>
            </w:r>
          </w:p>
        </w:tc>
        <w:tc>
          <w:tcPr>
            <w:tcW w:w="1227" w:type="dxa"/>
            <w:vAlign w:val="bottom"/>
          </w:tcPr>
          <w:p w14:paraId="6CCFEDC1" w14:textId="767B2CCA" w:rsidR="00DE2F73" w:rsidRPr="00571E6C" w:rsidRDefault="00DE2F73" w:rsidP="00A0449E">
            <w:pPr>
              <w:spacing w:after="0"/>
              <w:jc w:val="center"/>
              <w:cnfStyle w:val="000000000000" w:firstRow="0" w:lastRow="0" w:firstColumn="0" w:lastColumn="0" w:oddVBand="0" w:evenVBand="0" w:oddHBand="0" w:evenHBand="0" w:firstRowFirstColumn="0" w:firstRowLastColumn="0" w:lastRowFirstColumn="0" w:lastRowLastColumn="0"/>
              <w:rPr>
                <w:b/>
                <w:bCs/>
                <w:szCs w:val="20"/>
              </w:rPr>
            </w:pPr>
            <w:r w:rsidRPr="00571E6C">
              <w:rPr>
                <w:b/>
                <w:bCs/>
                <w:szCs w:val="20"/>
              </w:rPr>
              <w:t>7</w:t>
            </w:r>
          </w:p>
        </w:tc>
      </w:tr>
    </w:tbl>
    <w:p w14:paraId="7B500A4C" w14:textId="77777777" w:rsidR="00DE2F73" w:rsidRPr="00A0449E" w:rsidRDefault="00DE2F73" w:rsidP="00DE2F73">
      <w:pPr>
        <w:rPr>
          <w:b/>
          <w:bCs/>
        </w:rPr>
      </w:pPr>
    </w:p>
    <w:p w14:paraId="0DCF5710" w14:textId="5F10E698" w:rsidR="00B41EEA" w:rsidRDefault="00ED7891" w:rsidP="00ED7891">
      <w:r>
        <w:t xml:space="preserve">We have approached this task of summarisation and presentation of </w:t>
      </w:r>
      <w:r w:rsidR="00085E61">
        <w:t xml:space="preserve">key </w:t>
      </w:r>
      <w:r>
        <w:t xml:space="preserve">results from </w:t>
      </w:r>
      <w:r w:rsidR="00085E61">
        <w:t>two</w:t>
      </w:r>
      <w:r>
        <w:t xml:space="preserve"> complementary perspectives.</w:t>
      </w:r>
      <w:r w:rsidR="00085E61">
        <w:t xml:space="preserve"> First, we present lists of all host</w:t>
      </w:r>
      <w:r w:rsidR="00092034">
        <w:t>/pathogen</w:t>
      </w:r>
      <w:r w:rsidR="00085E61">
        <w:t xml:space="preserve"> combinations that were assessed as being of High or Extreme Risk </w:t>
      </w:r>
      <w:r w:rsidR="00C76B59">
        <w:t xml:space="preserve">for conservation </w:t>
      </w:r>
      <w:r w:rsidR="00910877">
        <w:t>or</w:t>
      </w:r>
      <w:r w:rsidR="00C76B59">
        <w:t xml:space="preserve"> economic risks. </w:t>
      </w:r>
      <w:r w:rsidR="004E4D26">
        <w:t xml:space="preserve">For each major class of vertebrate wildlife (mammals, birds, reptiles, amphibians), we have identified the top-ranking host/pathogen complexes. These high-risk items have been identified from conservation and economic points of view (based on the risk </w:t>
      </w:r>
      <m:oMath>
        <m:r>
          <w:rPr>
            <w:rFonts w:ascii="Cambria Math" w:hAnsi="Cambria Math"/>
          </w:rPr>
          <m:t>×</m:t>
        </m:r>
      </m:oMath>
      <w:r w:rsidR="004E4D26">
        <w:t xml:space="preserve"> consequence approach). This approach provides useful lists of high-risk high-consequence host/pathogen complexes that managers and policy makers can use for response planning, which may include management actions intended to prevent establishment of exotic diseases, mitigate impacts of established diseases or achieve eradication. </w:t>
      </w:r>
      <w:r w:rsidR="00C76B59">
        <w:t xml:space="preserve">These results are presented in Tables </w:t>
      </w:r>
      <w:r w:rsidR="00092034">
        <w:t>9</w:t>
      </w:r>
      <w:r w:rsidR="00C76B59">
        <w:t xml:space="preserve"> and </w:t>
      </w:r>
      <w:r w:rsidR="00092034">
        <w:t>10</w:t>
      </w:r>
      <w:r w:rsidR="00C76B59">
        <w:t xml:space="preserve">. </w:t>
      </w:r>
    </w:p>
    <w:p w14:paraId="2F9E9738" w14:textId="3A0C9719" w:rsidR="00086B02" w:rsidRDefault="00B41EEA" w:rsidP="00ED7891">
      <w:r>
        <w:t xml:space="preserve">Second, to provide insight into the risks that disease presents to listed (Flora and Fauna Guarantee, FFG) threatened species in Victoria, we have identified </w:t>
      </w:r>
      <w:r w:rsidR="00E13D0C">
        <w:t>all diseases that represent an Extreme</w:t>
      </w:r>
      <w:r w:rsidR="00E83C5F">
        <w:t xml:space="preserve"> or High conservation</w:t>
      </w:r>
      <w:r w:rsidR="00E13D0C">
        <w:t xml:space="preserve"> risk to FFG</w:t>
      </w:r>
      <w:r w:rsidR="004F119F">
        <w:t>-</w:t>
      </w:r>
      <w:r w:rsidR="00E13D0C">
        <w:t>listed mammal</w:t>
      </w:r>
      <w:r w:rsidR="004F119F">
        <w:t>s</w:t>
      </w:r>
      <w:r w:rsidR="00E13D0C">
        <w:t>, bird</w:t>
      </w:r>
      <w:r w:rsidR="004F119F">
        <w:t>s</w:t>
      </w:r>
      <w:r w:rsidR="00E13D0C">
        <w:t xml:space="preserve">, </w:t>
      </w:r>
      <w:r w:rsidR="004F56B8">
        <w:t>reptile</w:t>
      </w:r>
      <w:r w:rsidR="004F119F">
        <w:t>s</w:t>
      </w:r>
      <w:r w:rsidR="004F56B8">
        <w:t xml:space="preserve"> and </w:t>
      </w:r>
      <w:r w:rsidR="00521664">
        <w:t>amphibians</w:t>
      </w:r>
      <w:r w:rsidR="004F56B8">
        <w:t xml:space="preserve"> in Victoria</w:t>
      </w:r>
      <w:r w:rsidR="00A817BE">
        <w:t xml:space="preserve"> with a conservation status of either </w:t>
      </w:r>
      <w:r w:rsidR="007A1D70">
        <w:t>Endangered (EN) or Critically Endangered (CR)</w:t>
      </w:r>
      <w:r w:rsidR="004F56B8">
        <w:t xml:space="preserve">. In some cases, these results replicate the more general results presented in Tables </w:t>
      </w:r>
      <w:r w:rsidR="00B412B1">
        <w:t xml:space="preserve">9 </w:t>
      </w:r>
      <w:r w:rsidR="004F119F">
        <w:t xml:space="preserve">and </w:t>
      </w:r>
      <w:r w:rsidR="00B412B1">
        <w:t>10</w:t>
      </w:r>
      <w:r w:rsidR="004F119F">
        <w:t>;</w:t>
      </w:r>
      <w:r w:rsidR="004F56B8">
        <w:t xml:space="preserve"> however, </w:t>
      </w:r>
      <w:r w:rsidR="05F0E9AD">
        <w:t xml:space="preserve">due to the </w:t>
      </w:r>
      <w:r w:rsidR="02F2841B">
        <w:t xml:space="preserve">sheer </w:t>
      </w:r>
      <w:r w:rsidR="11A327D0">
        <w:t xml:space="preserve">volume of </w:t>
      </w:r>
      <w:r w:rsidR="004F56B8">
        <w:t>assessments</w:t>
      </w:r>
      <w:r w:rsidR="11A327D0">
        <w:t xml:space="preserve">, </w:t>
      </w:r>
      <w:r w:rsidR="0CDA83D3">
        <w:t>many</w:t>
      </w:r>
      <w:r w:rsidR="004F56B8">
        <w:t xml:space="preserve"> were done</w:t>
      </w:r>
      <w:r w:rsidR="00E41231">
        <w:t xml:space="preserve"> generically</w:t>
      </w:r>
      <w:r w:rsidR="004F56B8">
        <w:t xml:space="preserve"> at taxonomic levels higher than the species</w:t>
      </w:r>
      <w:r w:rsidR="00B44F26">
        <w:t xml:space="preserve"> (e.g. </w:t>
      </w:r>
      <w:r w:rsidR="004F119F">
        <w:t>‘</w:t>
      </w:r>
      <w:r w:rsidR="00B44F26">
        <w:t>gulls, terns and waders</w:t>
      </w:r>
      <w:r w:rsidR="004F119F">
        <w:t>’</w:t>
      </w:r>
      <w:r w:rsidR="00B44F26">
        <w:t xml:space="preserve"> or </w:t>
      </w:r>
      <w:r w:rsidR="004F119F">
        <w:t>‘</w:t>
      </w:r>
      <w:r w:rsidR="001744C6">
        <w:t>skinks</w:t>
      </w:r>
      <w:r w:rsidR="004F119F">
        <w:t>’</w:t>
      </w:r>
      <w:r w:rsidR="001744C6">
        <w:t>)</w:t>
      </w:r>
      <w:r w:rsidR="272735C7">
        <w:t>. Therefore,</w:t>
      </w:r>
      <w:r w:rsidR="00754A58">
        <w:t xml:space="preserve"> </w:t>
      </w:r>
      <w:r w:rsidR="00637E3A">
        <w:t xml:space="preserve">specifically listing likely Extreme </w:t>
      </w:r>
      <w:r w:rsidR="001744C6">
        <w:t xml:space="preserve">or High </w:t>
      </w:r>
      <w:r w:rsidR="00637E3A">
        <w:t>conservation risks</w:t>
      </w:r>
      <w:r w:rsidR="001744C6">
        <w:t xml:space="preserve"> to FFG</w:t>
      </w:r>
      <w:r w:rsidR="004F119F">
        <w:t>-</w:t>
      </w:r>
      <w:r w:rsidR="001744C6">
        <w:t>listed species serves to</w:t>
      </w:r>
      <w:r w:rsidR="00E45F9E">
        <w:t xml:space="preserve"> highlights </w:t>
      </w:r>
      <w:r w:rsidR="006A64C3">
        <w:t>diseases with the greatest potential to cause declines in the conservation status of species whic</w:t>
      </w:r>
      <w:r w:rsidR="004B5DEB">
        <w:t xml:space="preserve">h </w:t>
      </w:r>
      <w:r w:rsidR="004B5DEB">
        <w:lastRenderedPageBreak/>
        <w:t>are most at risk of extinction from all causes, including disea</w:t>
      </w:r>
      <w:r w:rsidR="00DE2C28">
        <w:t>se</w:t>
      </w:r>
      <w:r w:rsidR="006E590E">
        <w:t xml:space="preserve">. These results are presented in Tables </w:t>
      </w:r>
      <w:r w:rsidR="00B412B1">
        <w:t>11</w:t>
      </w:r>
      <w:r w:rsidR="004F119F">
        <w:t>–</w:t>
      </w:r>
      <w:r w:rsidR="00995D75">
        <w:t xml:space="preserve">14 </w:t>
      </w:r>
      <w:r w:rsidR="006E590E">
        <w:t xml:space="preserve">for </w:t>
      </w:r>
      <w:r w:rsidR="00207304">
        <w:t>FFG</w:t>
      </w:r>
      <w:r w:rsidR="004F119F">
        <w:t>-</w:t>
      </w:r>
      <w:r w:rsidR="00207304">
        <w:t xml:space="preserve">listed </w:t>
      </w:r>
      <w:r w:rsidR="006E590E">
        <w:t>mammals, birds, reptiles</w:t>
      </w:r>
      <w:r w:rsidR="00207304">
        <w:t xml:space="preserve"> and </w:t>
      </w:r>
      <w:r w:rsidR="00521664">
        <w:t>amphibians</w:t>
      </w:r>
      <w:r w:rsidR="004F119F">
        <w:t>,</w:t>
      </w:r>
      <w:r w:rsidR="00DE2C28">
        <w:t xml:space="preserve"> respectively. </w:t>
      </w:r>
    </w:p>
    <w:p w14:paraId="418C100B" w14:textId="15D4C3AC" w:rsidR="00F05975" w:rsidRDefault="00F05975" w:rsidP="007351A8">
      <w:pPr>
        <w:pStyle w:val="Heading2-Numbered"/>
      </w:pPr>
      <w:bookmarkStart w:id="62" w:name="_Toc198634108"/>
      <w:r>
        <w:t>Conservation risks</w:t>
      </w:r>
      <w:bookmarkEnd w:id="62"/>
    </w:p>
    <w:p w14:paraId="291ECACD" w14:textId="440C747F" w:rsidR="00017CEA" w:rsidRDefault="00521664" w:rsidP="00ED7891">
      <w:r>
        <w:t>A</w:t>
      </w:r>
      <w:r w:rsidR="00A7533B">
        <w:t xml:space="preserve"> total of </w:t>
      </w:r>
      <w:r w:rsidR="00AA0F8D">
        <w:t>9</w:t>
      </w:r>
      <w:r w:rsidR="000E3BA4">
        <w:t xml:space="preserve"> Extreme and 1</w:t>
      </w:r>
      <w:r w:rsidR="00AA0F8D">
        <w:t>1</w:t>
      </w:r>
      <w:r w:rsidR="000E3BA4">
        <w:t xml:space="preserve"> High risk </w:t>
      </w:r>
      <w:r w:rsidR="00DE2C28">
        <w:t>host/</w:t>
      </w:r>
      <w:r w:rsidR="00995D75">
        <w:t>pathogen</w:t>
      </w:r>
      <w:r w:rsidR="00DE2C28">
        <w:t xml:space="preserve"> combinations</w:t>
      </w:r>
      <w:r w:rsidR="000E3BA4">
        <w:t xml:space="preserve"> were identified (Table </w:t>
      </w:r>
      <w:r w:rsidR="00995D75">
        <w:t>7</w:t>
      </w:r>
      <w:r w:rsidR="000E3BA4">
        <w:t xml:space="preserve">). </w:t>
      </w:r>
      <w:r w:rsidR="006B086C">
        <w:t xml:space="preserve">The </w:t>
      </w:r>
      <w:r w:rsidR="00A552FB">
        <w:t xml:space="preserve">diseases that were assessed as being </w:t>
      </w:r>
      <w:r w:rsidR="006B086C">
        <w:t>Extreme conservation risk</w:t>
      </w:r>
      <w:r w:rsidR="00A552FB">
        <w:t>s</w:t>
      </w:r>
      <w:r w:rsidR="006B086C">
        <w:t xml:space="preserve"> included </w:t>
      </w:r>
      <w:r w:rsidR="005B67C9">
        <w:t xml:space="preserve">several </w:t>
      </w:r>
      <w:r w:rsidR="009E51FD">
        <w:t>diseases</w:t>
      </w:r>
      <w:r w:rsidR="00A552FB">
        <w:t xml:space="preserve"> affecting</w:t>
      </w:r>
      <w:r w:rsidR="009E51FD">
        <w:t xml:space="preserve"> </w:t>
      </w:r>
      <w:r w:rsidR="0081123D">
        <w:t xml:space="preserve">frogs, </w:t>
      </w:r>
      <w:r w:rsidR="009E51FD">
        <w:t>mammals,</w:t>
      </w:r>
      <w:r w:rsidR="0081123D">
        <w:t xml:space="preserve"> and</w:t>
      </w:r>
      <w:r w:rsidR="009E51FD">
        <w:t xml:space="preserve"> birds</w:t>
      </w:r>
      <w:r w:rsidR="00431AF7">
        <w:t xml:space="preserve">. </w:t>
      </w:r>
      <w:r w:rsidR="00DB1379">
        <w:t>Four</w:t>
      </w:r>
      <w:r w:rsidR="009E51FD">
        <w:t xml:space="preserve"> species of frogs were evaluated as having extreme conservation risks due to the impacts of the global</w:t>
      </w:r>
      <w:r w:rsidR="0069713B">
        <w:t xml:space="preserve">ly significant </w:t>
      </w:r>
      <w:r>
        <w:t>a</w:t>
      </w:r>
      <w:r w:rsidR="009E51FD">
        <w:t xml:space="preserve">mphibian </w:t>
      </w:r>
      <w:r>
        <w:t>c</w:t>
      </w:r>
      <w:r w:rsidR="009E51FD">
        <w:t xml:space="preserve">hytrid </w:t>
      </w:r>
      <w:r>
        <w:t>f</w:t>
      </w:r>
      <w:r w:rsidR="009E51FD">
        <w:t>ungus</w:t>
      </w:r>
      <w:r w:rsidR="00AF4368">
        <w:t xml:space="preserve">, </w:t>
      </w:r>
      <w:r w:rsidR="00AF4368">
        <w:rPr>
          <w:i/>
          <w:iCs/>
        </w:rPr>
        <w:t>Batrachochytrium dendrobatidis</w:t>
      </w:r>
      <w:r w:rsidR="00A164DF">
        <w:rPr>
          <w:i/>
          <w:iCs/>
        </w:rPr>
        <w:t xml:space="preserve"> </w:t>
      </w:r>
      <w:r w:rsidR="00A164DF">
        <w:t>(</w:t>
      </w:r>
      <w:r w:rsidR="00A164DF" w:rsidRPr="00A164DF">
        <w:rPr>
          <w:i/>
          <w:iCs/>
        </w:rPr>
        <w:t>Bd</w:t>
      </w:r>
      <w:r w:rsidR="00A164DF">
        <w:t>)</w:t>
      </w:r>
      <w:r w:rsidR="009E51FD">
        <w:t>.</w:t>
      </w:r>
      <w:r w:rsidR="00DB1379">
        <w:t xml:space="preserve"> These were the Spotted Tree Frog</w:t>
      </w:r>
      <w:r w:rsidR="004F119F">
        <w:t xml:space="preserve"> (</w:t>
      </w:r>
      <w:proofErr w:type="spellStart"/>
      <w:r w:rsidR="004F119F" w:rsidRPr="00DA5824">
        <w:rPr>
          <w:i/>
          <w:iCs/>
        </w:rPr>
        <w:t>Litoria</w:t>
      </w:r>
      <w:proofErr w:type="spellEnd"/>
      <w:r w:rsidR="004F119F" w:rsidRPr="00DA5824">
        <w:rPr>
          <w:i/>
          <w:iCs/>
        </w:rPr>
        <w:t xml:space="preserve"> </w:t>
      </w:r>
      <w:proofErr w:type="spellStart"/>
      <w:r w:rsidR="004F119F" w:rsidRPr="00DA5824">
        <w:rPr>
          <w:i/>
          <w:iCs/>
        </w:rPr>
        <w:t>spenceri</w:t>
      </w:r>
      <w:proofErr w:type="spellEnd"/>
      <w:r w:rsidR="004F119F">
        <w:t>)</w:t>
      </w:r>
      <w:r w:rsidR="00DB1379">
        <w:t xml:space="preserve">, Baw </w:t>
      </w:r>
      <w:proofErr w:type="spellStart"/>
      <w:r w:rsidR="00DB1379">
        <w:t>Baw</w:t>
      </w:r>
      <w:proofErr w:type="spellEnd"/>
      <w:r w:rsidR="00DB1379">
        <w:t xml:space="preserve"> Frog</w:t>
      </w:r>
      <w:r w:rsidR="004F119F">
        <w:t xml:space="preserve"> (</w:t>
      </w:r>
      <w:proofErr w:type="spellStart"/>
      <w:r w:rsidR="004F119F" w:rsidRPr="00DA5824">
        <w:rPr>
          <w:i/>
          <w:iCs/>
        </w:rPr>
        <w:t>Philoria</w:t>
      </w:r>
      <w:proofErr w:type="spellEnd"/>
      <w:r w:rsidR="004F119F" w:rsidRPr="00DA5824">
        <w:rPr>
          <w:i/>
          <w:iCs/>
        </w:rPr>
        <w:t xml:space="preserve"> </w:t>
      </w:r>
      <w:proofErr w:type="spellStart"/>
      <w:r w:rsidR="004F119F" w:rsidRPr="00DA5824">
        <w:rPr>
          <w:i/>
          <w:iCs/>
        </w:rPr>
        <w:t>frosti</w:t>
      </w:r>
      <w:proofErr w:type="spellEnd"/>
      <w:r w:rsidR="004F119F">
        <w:t>)</w:t>
      </w:r>
      <w:r w:rsidR="00DB1379">
        <w:t xml:space="preserve">, Brown Toadlet </w:t>
      </w:r>
      <w:r w:rsidR="004F119F">
        <w:t>(</w:t>
      </w:r>
      <w:proofErr w:type="spellStart"/>
      <w:r w:rsidR="004F119F" w:rsidRPr="00DA5824">
        <w:rPr>
          <w:i/>
          <w:iCs/>
        </w:rPr>
        <w:t>Pseudophryne</w:t>
      </w:r>
      <w:proofErr w:type="spellEnd"/>
      <w:r w:rsidR="004F119F" w:rsidRPr="00DA5824">
        <w:rPr>
          <w:i/>
          <w:iCs/>
        </w:rPr>
        <w:t xml:space="preserve"> </w:t>
      </w:r>
      <w:proofErr w:type="spellStart"/>
      <w:r w:rsidR="004F119F" w:rsidRPr="00DA5824">
        <w:rPr>
          <w:i/>
          <w:iCs/>
        </w:rPr>
        <w:t>bibronii</w:t>
      </w:r>
      <w:proofErr w:type="spellEnd"/>
      <w:r w:rsidR="004F119F">
        <w:t xml:space="preserve">) </w:t>
      </w:r>
      <w:r w:rsidR="00DB1379">
        <w:t>and Alpine Tree Frog</w:t>
      </w:r>
      <w:r w:rsidR="004F119F">
        <w:t xml:space="preserve"> (</w:t>
      </w:r>
      <w:proofErr w:type="spellStart"/>
      <w:r w:rsidR="004F119F" w:rsidRPr="00DA5824">
        <w:rPr>
          <w:i/>
          <w:iCs/>
        </w:rPr>
        <w:t>Litoria</w:t>
      </w:r>
      <w:proofErr w:type="spellEnd"/>
      <w:r w:rsidR="004F119F" w:rsidRPr="00DA5824">
        <w:rPr>
          <w:i/>
          <w:iCs/>
        </w:rPr>
        <w:t xml:space="preserve"> </w:t>
      </w:r>
      <w:proofErr w:type="spellStart"/>
      <w:r w:rsidR="004F119F" w:rsidRPr="00DA5824">
        <w:rPr>
          <w:i/>
          <w:iCs/>
        </w:rPr>
        <w:t>verreauxii</w:t>
      </w:r>
      <w:proofErr w:type="spellEnd"/>
      <w:r w:rsidR="004F119F">
        <w:t>)</w:t>
      </w:r>
      <w:r w:rsidR="00995D75">
        <w:t xml:space="preserve"> (Table 9)</w:t>
      </w:r>
      <w:r w:rsidR="00DB1379">
        <w:t>.</w:t>
      </w:r>
      <w:r w:rsidR="00BE3EC4">
        <w:t xml:space="preserve"> </w:t>
      </w:r>
      <w:r w:rsidR="00D046A6">
        <w:t>Extreme conservation risks to mammals were limited to a single species</w:t>
      </w:r>
      <w:r>
        <w:t>,</w:t>
      </w:r>
      <w:r w:rsidR="00D046A6">
        <w:t xml:space="preserve"> </w:t>
      </w:r>
      <w:r>
        <w:t xml:space="preserve">the </w:t>
      </w:r>
      <w:r w:rsidR="00D046A6">
        <w:t>Southern Bent</w:t>
      </w:r>
      <w:r w:rsidR="00286995">
        <w:t>-w</w:t>
      </w:r>
      <w:r w:rsidR="00D046A6">
        <w:t>ing Bat</w:t>
      </w:r>
      <w:r>
        <w:t>,</w:t>
      </w:r>
      <w:r w:rsidR="00D046A6">
        <w:t xml:space="preserve"> which was assessed as being at risk from </w:t>
      </w:r>
      <w:r w:rsidR="003D7A02">
        <w:t xml:space="preserve">a </w:t>
      </w:r>
      <w:r w:rsidR="007B10C4">
        <w:t xml:space="preserve">possible future </w:t>
      </w:r>
      <w:r w:rsidR="003D7A02">
        <w:t>incursion</w:t>
      </w:r>
      <w:r w:rsidR="007B10C4">
        <w:t xml:space="preserve"> of</w:t>
      </w:r>
      <w:r w:rsidR="00D046A6">
        <w:t xml:space="preserve"> </w:t>
      </w:r>
      <w:r w:rsidR="00E07B96">
        <w:t>White Nose Syndrome</w:t>
      </w:r>
      <w:r w:rsidR="007B10C4">
        <w:t>, a</w:t>
      </w:r>
      <w:r w:rsidR="00F73D23">
        <w:t>n</w:t>
      </w:r>
      <w:r w:rsidR="007B10C4">
        <w:t xml:space="preserve"> </w:t>
      </w:r>
      <w:r w:rsidR="00F73D23">
        <w:t xml:space="preserve">emerging </w:t>
      </w:r>
      <w:r w:rsidR="007B10C4">
        <w:t xml:space="preserve">fungal disease of cave-roosting bats that has caused devastating impacts </w:t>
      </w:r>
      <w:r w:rsidR="00AF4368">
        <w:t>on</w:t>
      </w:r>
      <w:r w:rsidR="007B10C4">
        <w:t xml:space="preserve"> bat populations in North America</w:t>
      </w:r>
      <w:r w:rsidR="00017CEA">
        <w:t xml:space="preserve">, </w:t>
      </w:r>
      <w:r w:rsidR="00F73D23">
        <w:t xml:space="preserve">but </w:t>
      </w:r>
      <w:r w:rsidR="00017CEA">
        <w:t xml:space="preserve">which has </w:t>
      </w:r>
      <w:r w:rsidR="00F73D23">
        <w:t xml:space="preserve">never </w:t>
      </w:r>
      <w:r w:rsidR="00017CEA">
        <w:t>been recorded in Australia</w:t>
      </w:r>
      <w:r w:rsidR="00534715">
        <w:t xml:space="preserve"> </w:t>
      </w:r>
      <w:r w:rsidR="00534715">
        <w:fldChar w:fldCharType="begin"/>
      </w:r>
      <w:r w:rsidR="009F541F">
        <w:instrText xml:space="preserve"> ADDIN ZOTERO_ITEM CSL_CITATION {"citationID":"ZoOu4znb","properties":{"formattedCitation":"(Holz {\\i{}et al.} 2018)","plainCitation":"(Holz et al. 2018)","noteIndex":0},"citationItems":[{"id":9610,"uris":["http://zotero.org/users/634364/items/DGWFCAUT"],"itemData":{"id":9610,"type":"article-journal","abstract":"Fungi are increasingly being documented as causing disease in a wide range of faunal species, including Pseudogymnoascus destructans, the fungus responsible for white nose syndrome which is having a devastating impact on bats in North America. The population size of the Australian southern bent-winged bat (Miniopterus orianae bassanii), a critically endangered subspecies, has declined over the past 50 years. As part of a larger study to determine whether disease could be a contributing factor to this decline, southern bentwinged bats were tested for the presence of a range of potentially pathogenic fungi: P. destructans, dermatophytes and Histoplasma capsulatum (a potential human pathogen commonly associated with caves inhabited by bats). Results were compared with those obtained for the more common eastern bent-winged bat (M. orianae oceanensis). All bats and their environment were negative for P. destructans. A large number of fungi were found on the skin and fur of bats, most of which were environmental or plant associated, and none of which were likely to be of significant pathogenicity for bats. A 0–19% prevalence of H.","container-title":"PLOS ONE","DOI":"10.1371/journal.pone.0204282","ISSN":"1932-6203","issue":"10","journalAbbreviation":"PLoS ONE","language":"en","page":"e0204282","source":"DOI.org (Crossref)","title":"Two subspecies of bent-winged bats (Miniopterus orianae bassanii and oceanensis) in southern Australia have diverse fungal skin flora but not Pseudogymnoascus destructans","volume":"13","author":[{"family":"Holz","given":"Peter H."},{"family":"Lumsden","given":"Linda F."},{"family":"Marenda","given":"Marc S."},{"family":"Browning","given":"Glenn F."},{"family":"Hufschmid","given":"Jasmin"}],"editor":[{"family":"Baker","given":"Michelle L."}],"issued":{"date-parts":[["2018",10,10]]}}}],"schema":"https://github.com/citation-style-language/schema/raw/master/csl-citation.json"} </w:instrText>
      </w:r>
      <w:r w:rsidR="00534715">
        <w:fldChar w:fldCharType="separate"/>
      </w:r>
      <w:r w:rsidR="009F541F" w:rsidRPr="009F541F">
        <w:t>(Holz</w:t>
      </w:r>
      <w:r w:rsidR="009F541F" w:rsidRPr="00C17323">
        <w:t xml:space="preserve"> </w:t>
      </w:r>
      <w:r w:rsidR="009F541F" w:rsidRPr="00DA5824">
        <w:t>et al</w:t>
      </w:r>
      <w:r w:rsidR="009F541F" w:rsidRPr="009F541F">
        <w:rPr>
          <w:i/>
          <w:iCs/>
        </w:rPr>
        <w:t>.</w:t>
      </w:r>
      <w:r w:rsidR="009F541F" w:rsidRPr="009F541F">
        <w:t xml:space="preserve"> 2018)</w:t>
      </w:r>
      <w:r w:rsidR="00534715">
        <w:fldChar w:fldCharType="end"/>
      </w:r>
      <w:r w:rsidR="00995D75">
        <w:t xml:space="preserve"> (Table 9)</w:t>
      </w:r>
      <w:r w:rsidR="007B10C4">
        <w:t xml:space="preserve">. </w:t>
      </w:r>
    </w:p>
    <w:p w14:paraId="54680332" w14:textId="2CDE0F0B" w:rsidR="00286995" w:rsidRDefault="005F6FEB" w:rsidP="00ED7891">
      <w:r>
        <w:t>Several diseases</w:t>
      </w:r>
      <w:r w:rsidR="007B10C4">
        <w:t xml:space="preserve"> of birds </w:t>
      </w:r>
      <w:r>
        <w:t xml:space="preserve">were </w:t>
      </w:r>
      <w:r w:rsidR="007B10C4">
        <w:t xml:space="preserve">evaluated as </w:t>
      </w:r>
      <w:r>
        <w:t xml:space="preserve">representing Extreme conservation risks. These included </w:t>
      </w:r>
      <w:r w:rsidR="00E07B96">
        <w:t>High Pathogenic Avian Influenza</w:t>
      </w:r>
      <w:r w:rsidR="00423874">
        <w:t xml:space="preserve"> (HPAI)</w:t>
      </w:r>
      <w:r w:rsidR="00C17323">
        <w:t>,</w:t>
      </w:r>
      <w:r w:rsidR="00423874">
        <w:t xml:space="preserve"> which </w:t>
      </w:r>
      <w:r w:rsidR="00017CEA">
        <w:t>was assessed as</w:t>
      </w:r>
      <w:r w:rsidR="00423874">
        <w:t xml:space="preserve"> an Extreme Risk to populations of numerous species of gulls, terns, waders, ducks, swans and geese</w:t>
      </w:r>
      <w:r w:rsidR="00995D75">
        <w:t xml:space="preserve"> (Table 9)</w:t>
      </w:r>
      <w:r w:rsidR="00423874">
        <w:t>.</w:t>
      </w:r>
      <w:r w:rsidR="00017CEA">
        <w:t xml:space="preserve"> Assessments of the conservation risk of HPAI to </w:t>
      </w:r>
      <w:r w:rsidR="006A202E">
        <w:t xml:space="preserve">most </w:t>
      </w:r>
      <w:r w:rsidR="00017CEA">
        <w:t xml:space="preserve">birds were made at higher taxonomic levels than species, meaning that granular assessments of risk to individual species were </w:t>
      </w:r>
      <w:r w:rsidR="00AD6034">
        <w:t>generally unavailable</w:t>
      </w:r>
      <w:r w:rsidR="008375C6">
        <w:t>. As at the time of assessment</w:t>
      </w:r>
      <w:r w:rsidR="00C17323">
        <w:t>,</w:t>
      </w:r>
      <w:r w:rsidR="008375C6">
        <w:t xml:space="preserve"> HPAI </w:t>
      </w:r>
      <w:r w:rsidR="00C17323">
        <w:t xml:space="preserve">had </w:t>
      </w:r>
      <w:r w:rsidR="008375C6">
        <w:t xml:space="preserve">not been detected in </w:t>
      </w:r>
      <w:r w:rsidR="0042555F">
        <w:t xml:space="preserve">wild birds in </w:t>
      </w:r>
      <w:r w:rsidR="008375C6">
        <w:t>Australia</w:t>
      </w:r>
      <w:r w:rsidR="00286995">
        <w:t xml:space="preserve"> </w:t>
      </w:r>
      <w:r w:rsidR="0042555F">
        <w:t>with information on likely impacts to individual species in Australia being essentially non-existent. T</w:t>
      </w:r>
      <w:r w:rsidR="00C17323">
        <w:t>herefore</w:t>
      </w:r>
      <w:r w:rsidR="008375C6">
        <w:t xml:space="preserve">, </w:t>
      </w:r>
      <w:r w:rsidR="00E91758">
        <w:t>assessment</w:t>
      </w:r>
      <w:r w:rsidR="008375C6">
        <w:t>s</w:t>
      </w:r>
      <w:r w:rsidR="00E91758">
        <w:t xml:space="preserve"> </w:t>
      </w:r>
      <w:r w:rsidR="008375C6">
        <w:t>were made</w:t>
      </w:r>
      <w:r w:rsidR="00E91758">
        <w:t xml:space="preserve"> </w:t>
      </w:r>
      <w:proofErr w:type="gramStart"/>
      <w:r w:rsidR="00E91758">
        <w:t>on the basis of</w:t>
      </w:r>
      <w:proofErr w:type="gramEnd"/>
      <w:r w:rsidR="00E91758">
        <w:t xml:space="preserve"> observed severe impacts of outbreaks on related species groups (e.g. wade</w:t>
      </w:r>
      <w:r w:rsidR="00C66D5F">
        <w:t>rs and waterfowl) overseas, notably in Europe and South America</w:t>
      </w:r>
      <w:r w:rsidR="00292A1C">
        <w:t>.</w:t>
      </w:r>
      <w:r w:rsidR="00E52D77">
        <w:t xml:space="preserve"> </w:t>
      </w:r>
      <w:r w:rsidR="004C177A">
        <w:t xml:space="preserve">Two additional </w:t>
      </w:r>
      <w:r w:rsidR="00604EC3">
        <w:t xml:space="preserve">avian </w:t>
      </w:r>
      <w:r w:rsidR="004C177A">
        <w:t>diseases (</w:t>
      </w:r>
      <w:r w:rsidR="00C17323">
        <w:t>Pacheco’s Disease</w:t>
      </w:r>
      <w:r w:rsidR="004C177A">
        <w:t xml:space="preserve"> and </w:t>
      </w:r>
      <w:r w:rsidR="00C17323">
        <w:t>Beak and Feather Disease</w:t>
      </w:r>
      <w:r w:rsidR="004C177A">
        <w:t>) were assessed as Extreme</w:t>
      </w:r>
      <w:r w:rsidR="00853D95">
        <w:t xml:space="preserve"> conservation</w:t>
      </w:r>
      <w:r w:rsidR="004C177A">
        <w:t xml:space="preserve"> risks to </w:t>
      </w:r>
      <w:r w:rsidR="00F12965">
        <w:t xml:space="preserve">Victorian </w:t>
      </w:r>
      <w:r w:rsidR="00604EC3">
        <w:t>parrot</w:t>
      </w:r>
      <w:r w:rsidR="00521664">
        <w:t>s</w:t>
      </w:r>
      <w:r w:rsidR="000D70BA">
        <w:t xml:space="preserve"> (all species)</w:t>
      </w:r>
      <w:r w:rsidR="00604EC3">
        <w:t>, and to the Orange Bellied Parrot</w:t>
      </w:r>
      <w:r w:rsidR="00C17323">
        <w:t xml:space="preserve"> (</w:t>
      </w:r>
      <w:proofErr w:type="spellStart"/>
      <w:r w:rsidR="00C17323" w:rsidRPr="00DA5824">
        <w:rPr>
          <w:i/>
          <w:iCs/>
        </w:rPr>
        <w:t>Neophema</w:t>
      </w:r>
      <w:proofErr w:type="spellEnd"/>
      <w:r w:rsidR="00C17323" w:rsidRPr="00DA5824">
        <w:rPr>
          <w:i/>
          <w:iCs/>
        </w:rPr>
        <w:t xml:space="preserve"> chrysogaster</w:t>
      </w:r>
      <w:r w:rsidR="00C17323">
        <w:t>),</w:t>
      </w:r>
      <w:r w:rsidR="00604EC3">
        <w:t xml:space="preserve"> </w:t>
      </w:r>
      <w:r w:rsidR="00292A1C">
        <w:t>respectively</w:t>
      </w:r>
      <w:r w:rsidR="00995D75">
        <w:t xml:space="preserve"> (Table 9)</w:t>
      </w:r>
      <w:r w:rsidR="00604EC3">
        <w:t>.</w:t>
      </w:r>
      <w:r w:rsidR="00126A5D">
        <w:t xml:space="preserve"> </w:t>
      </w:r>
    </w:p>
    <w:p w14:paraId="08AAD352" w14:textId="3F3062F6" w:rsidR="00853D95" w:rsidRDefault="00853D95" w:rsidP="00467E90">
      <w:pPr>
        <w:pStyle w:val="Heading2-Numbered"/>
      </w:pPr>
      <w:bookmarkStart w:id="63" w:name="_Toc198634109"/>
      <w:r>
        <w:t>Economic risks</w:t>
      </w:r>
      <w:bookmarkEnd w:id="63"/>
      <w:r>
        <w:t xml:space="preserve"> </w:t>
      </w:r>
    </w:p>
    <w:p w14:paraId="6F1EB8F7" w14:textId="0B60D8D5" w:rsidR="00853D95" w:rsidRDefault="00AA0F8D" w:rsidP="00ED7891">
      <w:r>
        <w:t>Seven</w:t>
      </w:r>
      <w:r w:rsidR="007C2446">
        <w:t xml:space="preserve"> </w:t>
      </w:r>
      <w:r w:rsidR="00C01089">
        <w:t>host/disease combination</w:t>
      </w:r>
      <w:r w:rsidR="00286995">
        <w:t>s</w:t>
      </w:r>
      <w:r w:rsidR="00C01089">
        <w:t xml:space="preserve"> were assessed as representing Extreme economic risks in Victoria, with a further 1</w:t>
      </w:r>
      <w:r w:rsidR="00995D75">
        <w:t>3</w:t>
      </w:r>
      <w:r w:rsidR="00C01089">
        <w:t xml:space="preserve"> being assessed as High risk (Table </w:t>
      </w:r>
      <w:r w:rsidR="00683231">
        <w:t>8</w:t>
      </w:r>
      <w:r w:rsidR="00291D79">
        <w:t xml:space="preserve">). </w:t>
      </w:r>
      <w:r w:rsidR="00560B89">
        <w:t xml:space="preserve">Diseases assessed as representing </w:t>
      </w:r>
      <w:r w:rsidR="00F8172D">
        <w:t xml:space="preserve">particularly </w:t>
      </w:r>
      <w:r w:rsidR="00291D79">
        <w:t>Extreme</w:t>
      </w:r>
      <w:r w:rsidR="00560B89">
        <w:t xml:space="preserve"> risks</w:t>
      </w:r>
      <w:r w:rsidR="00291D79">
        <w:t xml:space="preserve"> were </w:t>
      </w:r>
      <w:r w:rsidR="00FA35F4">
        <w:t>HPAI (</w:t>
      </w:r>
      <w:r w:rsidR="00560B89">
        <w:t xml:space="preserve">due to </w:t>
      </w:r>
      <w:r w:rsidR="00311008">
        <w:t xml:space="preserve">likely </w:t>
      </w:r>
      <w:r w:rsidR="00403119">
        <w:t>spillover of disease from</w:t>
      </w:r>
      <w:r w:rsidR="00560B89">
        <w:t xml:space="preserve"> </w:t>
      </w:r>
      <w:r w:rsidR="00311008">
        <w:t>g</w:t>
      </w:r>
      <w:r w:rsidR="00CF6A90">
        <w:t>ulls, terns, wader</w:t>
      </w:r>
      <w:r w:rsidR="00F8172D">
        <w:t>s, ducks, swans, geese</w:t>
      </w:r>
      <w:r w:rsidR="00CF6A90">
        <w:t>,</w:t>
      </w:r>
      <w:r w:rsidR="00F8172D">
        <w:t xml:space="preserve"> penguins and</w:t>
      </w:r>
      <w:r w:rsidR="00CF6A90">
        <w:t xml:space="preserve"> other birds</w:t>
      </w:r>
      <w:r w:rsidR="00403119">
        <w:t xml:space="preserve"> to domestic poultry</w:t>
      </w:r>
      <w:r w:rsidR="00967ADF">
        <w:t xml:space="preserve"> as well as direct effects on tourism</w:t>
      </w:r>
      <w:r w:rsidR="00FA35F4">
        <w:t>)</w:t>
      </w:r>
      <w:r w:rsidR="00F8172D">
        <w:t xml:space="preserve"> and</w:t>
      </w:r>
      <w:r w:rsidR="00DE03EC">
        <w:t xml:space="preserve"> </w:t>
      </w:r>
      <w:r w:rsidR="00C17323">
        <w:t>FMD (</w:t>
      </w:r>
      <w:r w:rsidR="00F8172D">
        <w:t xml:space="preserve">infecting wild populations of </w:t>
      </w:r>
      <w:r w:rsidR="00560B89">
        <w:t>deer, goats, pigs</w:t>
      </w:r>
      <w:r w:rsidR="00F8172D">
        <w:t xml:space="preserve">, with likely high risk of infection spreading to </w:t>
      </w:r>
      <w:r w:rsidR="00FC2A37">
        <w:t>domestic ungulates</w:t>
      </w:r>
      <w:r w:rsidR="00FA35F4">
        <w:t>)</w:t>
      </w:r>
      <w:r w:rsidR="00995D75">
        <w:t xml:space="preserve"> (Table 10)</w:t>
      </w:r>
      <w:r w:rsidR="006639A3">
        <w:t>.</w:t>
      </w:r>
      <w:r w:rsidR="00B353A1">
        <w:t xml:space="preserve"> </w:t>
      </w:r>
      <w:r w:rsidR="00FC5E2F">
        <w:t>Disease</w:t>
      </w:r>
      <w:r w:rsidR="005E05B5">
        <w:t>s</w:t>
      </w:r>
      <w:r w:rsidR="00FC5E2F">
        <w:t xml:space="preserve"> judged to be of high economic risk included </w:t>
      </w:r>
      <w:r w:rsidR="005E05B5">
        <w:t>HPAI infecting various native and introduced mammals</w:t>
      </w:r>
      <w:r w:rsidR="00967ADF">
        <w:t xml:space="preserve"> with subsequent economic effects on biosecurity, tourism and health,</w:t>
      </w:r>
      <w:r w:rsidR="005E05B5">
        <w:t xml:space="preserve"> and Coronavirus in waterfowl and shorebirds posing risks to domestic poultry. In addition, </w:t>
      </w:r>
      <w:r w:rsidR="00FC5E2F" w:rsidRPr="00FC5E2F">
        <w:t xml:space="preserve">Malignant </w:t>
      </w:r>
      <w:r w:rsidR="00C17323">
        <w:t>C</w:t>
      </w:r>
      <w:r w:rsidR="00FC5E2F" w:rsidRPr="00FC5E2F">
        <w:t xml:space="preserve">atarrhal </w:t>
      </w:r>
      <w:r w:rsidR="00C17323">
        <w:t>F</w:t>
      </w:r>
      <w:r w:rsidR="00FC5E2F" w:rsidRPr="00FC5E2F">
        <w:t>ever</w:t>
      </w:r>
      <w:r w:rsidR="00FC5E2F">
        <w:t>, African</w:t>
      </w:r>
      <w:r w:rsidR="00EE07FF">
        <w:t xml:space="preserve"> Swine Fever and Classical Swine Fever</w:t>
      </w:r>
      <w:r w:rsidR="007844EF">
        <w:t xml:space="preserve"> in </w:t>
      </w:r>
      <w:r w:rsidR="00E548AE">
        <w:t>Feral Pig</w:t>
      </w:r>
      <w:r w:rsidR="007844EF">
        <w:t>s</w:t>
      </w:r>
      <w:r w:rsidR="00AE35F5">
        <w:t xml:space="preserve"> </w:t>
      </w:r>
      <w:r w:rsidR="00AE35F5" w:rsidRPr="00AE35F5">
        <w:t>(</w:t>
      </w:r>
      <w:r w:rsidR="00AE35F5" w:rsidRPr="00DA5824">
        <w:rPr>
          <w:i/>
          <w:iCs/>
        </w:rPr>
        <w:t>Sus scrofa</w:t>
      </w:r>
      <w:r w:rsidR="00AE35F5" w:rsidRPr="00AE35F5">
        <w:t>)</w:t>
      </w:r>
      <w:r w:rsidR="007844EF">
        <w:t xml:space="preserve"> </w:t>
      </w:r>
      <w:r w:rsidR="005E05B5">
        <w:t xml:space="preserve">were judged to be High risk for the </w:t>
      </w:r>
      <w:r w:rsidR="00C020F2">
        <w:t>potential</w:t>
      </w:r>
      <w:r w:rsidR="00C17323">
        <w:t xml:space="preserve"> to</w:t>
      </w:r>
      <w:r w:rsidR="00C020F2">
        <w:t xml:space="preserve"> </w:t>
      </w:r>
      <w:r w:rsidR="00FB1F79">
        <w:t>spill over</w:t>
      </w:r>
      <w:r w:rsidR="00C020F2">
        <w:t xml:space="preserve"> into domestic livestock</w:t>
      </w:r>
      <w:r w:rsidR="00995D75">
        <w:t xml:space="preserve"> (Table 10).</w:t>
      </w:r>
    </w:p>
    <w:p w14:paraId="72625D49" w14:textId="77777777" w:rsidR="00B41EEA" w:rsidRDefault="00B41EEA" w:rsidP="00ED7891"/>
    <w:p w14:paraId="24CC32BB" w14:textId="77777777" w:rsidR="004A4A5B" w:rsidRPr="00243764" w:rsidRDefault="004A4A5B" w:rsidP="00DC3852"/>
    <w:p w14:paraId="16394588" w14:textId="77777777" w:rsidR="002A6AA5" w:rsidRDefault="002A6AA5" w:rsidP="00DC3852"/>
    <w:p w14:paraId="40A7063D" w14:textId="77777777" w:rsidR="00190460" w:rsidRDefault="00190460" w:rsidP="0071429D">
      <w:pPr>
        <w:rPr>
          <w:lang w:val="en-US"/>
        </w:rPr>
        <w:sectPr w:rsidR="00190460" w:rsidSect="00AA37A9">
          <w:footerReference w:type="first" r:id="rId42"/>
          <w:pgSz w:w="11907" w:h="16840" w:code="9"/>
          <w:pgMar w:top="1134" w:right="1134" w:bottom="1134" w:left="1134" w:header="709" w:footer="567" w:gutter="0"/>
          <w:cols w:space="708"/>
          <w:formProt w:val="0"/>
          <w:titlePg/>
          <w:docGrid w:linePitch="360"/>
        </w:sectPr>
      </w:pPr>
    </w:p>
    <w:p w14:paraId="1C8DE2FD" w14:textId="23B0C9CB" w:rsidR="00F8337D" w:rsidRPr="007E3CDB" w:rsidRDefault="00F8337D" w:rsidP="001F5B18">
      <w:pPr>
        <w:pStyle w:val="Caption-Table"/>
      </w:pPr>
      <w:bookmarkStart w:id="64" w:name="_Ref369876320"/>
      <w:bookmarkStart w:id="65" w:name="_Toc409798455"/>
      <w:bookmarkStart w:id="66" w:name="_Toc152362465"/>
      <w:bookmarkStart w:id="67" w:name="_Toc198634141"/>
      <w:bookmarkStart w:id="68" w:name="_Ref284443344"/>
      <w:bookmarkStart w:id="69" w:name="_Ref284426386"/>
      <w:r w:rsidRPr="007E3CDB">
        <w:lastRenderedPageBreak/>
        <w:t xml:space="preserve">Table </w:t>
      </w:r>
      <w:bookmarkEnd w:id="64"/>
      <w:r w:rsidR="00B412B1">
        <w:t>9</w:t>
      </w:r>
      <w:r w:rsidRPr="007E3CDB">
        <w:t xml:space="preserve">. </w:t>
      </w:r>
      <w:bookmarkEnd w:id="65"/>
      <w:bookmarkEnd w:id="66"/>
      <w:r w:rsidR="003C519E">
        <w:t xml:space="preserve">Diseases </w:t>
      </w:r>
      <w:r w:rsidR="00543AFA">
        <w:t xml:space="preserve">with Extreme and High conservation risk ratings in the </w:t>
      </w:r>
      <w:r w:rsidR="00004981">
        <w:t>disease risk assessment.</w:t>
      </w:r>
      <w:bookmarkEnd w:id="67"/>
    </w:p>
    <w:bookmarkEnd w:id="68"/>
    <w:bookmarkEnd w:id="69"/>
    <w:p w14:paraId="0A49B644" w14:textId="6AA977EC" w:rsidR="00796EA3" w:rsidRPr="00243764" w:rsidRDefault="00543AFA" w:rsidP="00712979">
      <w:pPr>
        <w:pStyle w:val="Legend-Table"/>
        <w:rPr>
          <w:b/>
        </w:rPr>
      </w:pPr>
      <w:r>
        <w:t xml:space="preserve">All other assessments </w:t>
      </w:r>
      <w:r w:rsidR="00CB60D8">
        <w:t>had risk ratings of</w:t>
      </w:r>
      <w:r>
        <w:t xml:space="preserve"> </w:t>
      </w:r>
      <w:r w:rsidR="001A3A98">
        <w:t>Moderate or lower</w:t>
      </w:r>
      <w:r w:rsidR="00CB60D8">
        <w:t>.</w:t>
      </w:r>
      <w:r w:rsidR="001A3A98">
        <w:t xml:space="preserve"> </w:t>
      </w:r>
      <w:r w:rsidR="00701869">
        <w:t>The f</w:t>
      </w:r>
      <w:r w:rsidR="001A3A98">
        <w:t xml:space="preserve">ull </w:t>
      </w:r>
      <w:r w:rsidR="0051146F">
        <w:t>W</w:t>
      </w:r>
      <w:r w:rsidR="00701869">
        <w:t xml:space="preserve">DRA </w:t>
      </w:r>
      <w:r w:rsidR="001A3A98">
        <w:t xml:space="preserve">results can be found in the </w:t>
      </w:r>
      <w:r w:rsidR="00C942D5">
        <w:t>supplementary a</w:t>
      </w:r>
      <w:r w:rsidR="001A3A98">
        <w:t>ppendix</w:t>
      </w:r>
      <w:r w:rsidR="0051146F">
        <w:t>.</w:t>
      </w:r>
    </w:p>
    <w:tbl>
      <w:tblPr>
        <w:tblStyle w:val="TableGrid10"/>
        <w:tblW w:w="0" w:type="auto"/>
        <w:tblLayout w:type="fixed"/>
        <w:tblLook w:val="01E0" w:firstRow="1" w:lastRow="1" w:firstColumn="1" w:lastColumn="1" w:noHBand="0" w:noVBand="0"/>
      </w:tblPr>
      <w:tblGrid>
        <w:gridCol w:w="2582"/>
        <w:gridCol w:w="1098"/>
        <w:gridCol w:w="3529"/>
        <w:gridCol w:w="2096"/>
        <w:gridCol w:w="1043"/>
        <w:gridCol w:w="992"/>
        <w:gridCol w:w="1276"/>
        <w:gridCol w:w="1134"/>
        <w:gridCol w:w="822"/>
      </w:tblGrid>
      <w:tr w:rsidR="0051146F" w:rsidRPr="00243764" w14:paraId="1828A3AF" w14:textId="3CD9558C" w:rsidTr="00DA58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Pr>
          <w:p w14:paraId="48E20494" w14:textId="4EA995BC" w:rsidR="00B14429" w:rsidRPr="00E65688" w:rsidRDefault="002D7AEC" w:rsidP="000675CA">
            <w:pPr>
              <w:pStyle w:val="Tableheadingtext"/>
              <w:rPr>
                <w:rFonts w:ascii="Arial Narrow" w:hAnsi="Arial Narrow"/>
                <w:sz w:val="18"/>
                <w:szCs w:val="18"/>
              </w:rPr>
            </w:pPr>
            <w:r w:rsidRPr="00E65688">
              <w:rPr>
                <w:rFonts w:ascii="Arial Narrow" w:hAnsi="Arial Narrow"/>
                <w:sz w:val="18"/>
                <w:szCs w:val="18"/>
              </w:rPr>
              <w:t>Pathogen</w:t>
            </w:r>
          </w:p>
        </w:tc>
        <w:tc>
          <w:tcPr>
            <w:cnfStyle w:val="000010000000" w:firstRow="0" w:lastRow="0" w:firstColumn="0" w:lastColumn="0" w:oddVBand="1" w:evenVBand="0" w:oddHBand="0" w:evenHBand="0" w:firstRowFirstColumn="0" w:firstRowLastColumn="0" w:lastRowFirstColumn="0" w:lastRowLastColumn="0"/>
            <w:tcW w:w="0" w:type="dxa"/>
          </w:tcPr>
          <w:p w14:paraId="21D66C3F" w14:textId="72B3BBFA" w:rsidR="00B14429" w:rsidRPr="00E65688" w:rsidRDefault="002D7AEC" w:rsidP="000675CA">
            <w:pPr>
              <w:pStyle w:val="Tableheadingtext"/>
              <w:rPr>
                <w:rFonts w:ascii="Arial Narrow" w:hAnsi="Arial Narrow"/>
                <w:sz w:val="18"/>
                <w:szCs w:val="18"/>
              </w:rPr>
            </w:pPr>
            <w:r w:rsidRPr="00E65688">
              <w:rPr>
                <w:rFonts w:ascii="Arial Narrow" w:hAnsi="Arial Narrow"/>
                <w:sz w:val="18"/>
                <w:szCs w:val="18"/>
              </w:rPr>
              <w:t>Pathogen type</w:t>
            </w:r>
          </w:p>
        </w:tc>
        <w:tc>
          <w:tcPr>
            <w:tcW w:w="0" w:type="dxa"/>
          </w:tcPr>
          <w:p w14:paraId="3A03757E" w14:textId="7ED796F8" w:rsidR="00B14429" w:rsidRPr="00E65688" w:rsidRDefault="002D7AEC" w:rsidP="000675CA">
            <w:pPr>
              <w:pStyle w:val="Tableheadingtext"/>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E65688">
              <w:rPr>
                <w:rFonts w:ascii="Arial Narrow" w:hAnsi="Arial Narrow"/>
                <w:sz w:val="18"/>
                <w:szCs w:val="18"/>
              </w:rPr>
              <w:t>Disease</w:t>
            </w:r>
          </w:p>
        </w:tc>
        <w:tc>
          <w:tcPr>
            <w:cnfStyle w:val="000010000000" w:firstRow="0" w:lastRow="0" w:firstColumn="0" w:lastColumn="0" w:oddVBand="1" w:evenVBand="0" w:oddHBand="0" w:evenHBand="0" w:firstRowFirstColumn="0" w:firstRowLastColumn="0" w:lastRowFirstColumn="0" w:lastRowLastColumn="0"/>
            <w:tcW w:w="0" w:type="dxa"/>
          </w:tcPr>
          <w:p w14:paraId="31BF3CFD" w14:textId="4B56BD49" w:rsidR="00B14429" w:rsidRPr="00E65688" w:rsidRDefault="002D7AEC" w:rsidP="000675CA">
            <w:pPr>
              <w:pStyle w:val="Tableheadingtext"/>
              <w:rPr>
                <w:rFonts w:ascii="Arial Narrow" w:hAnsi="Arial Narrow"/>
                <w:sz w:val="18"/>
                <w:szCs w:val="18"/>
              </w:rPr>
            </w:pPr>
            <w:r w:rsidRPr="00E65688">
              <w:rPr>
                <w:rFonts w:ascii="Arial Narrow" w:hAnsi="Arial Narrow"/>
                <w:sz w:val="18"/>
                <w:szCs w:val="18"/>
              </w:rPr>
              <w:t>Host species</w:t>
            </w:r>
          </w:p>
        </w:tc>
        <w:tc>
          <w:tcPr>
            <w:tcW w:w="0" w:type="dxa"/>
          </w:tcPr>
          <w:p w14:paraId="10938410" w14:textId="39882E0B" w:rsidR="00B14429" w:rsidRPr="00E65688" w:rsidRDefault="002D7AEC" w:rsidP="000675CA">
            <w:pPr>
              <w:pStyle w:val="Tableheadingtext"/>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E65688">
              <w:rPr>
                <w:rFonts w:ascii="Arial Narrow" w:hAnsi="Arial Narrow"/>
                <w:sz w:val="18"/>
                <w:szCs w:val="18"/>
              </w:rPr>
              <w:t>Group</w:t>
            </w:r>
          </w:p>
        </w:tc>
        <w:tc>
          <w:tcPr>
            <w:cnfStyle w:val="000010000000" w:firstRow="0" w:lastRow="0" w:firstColumn="0" w:lastColumn="0" w:oddVBand="1" w:evenVBand="0" w:oddHBand="0" w:evenHBand="0" w:firstRowFirstColumn="0" w:firstRowLastColumn="0" w:lastRowFirstColumn="0" w:lastRowLastColumn="0"/>
            <w:tcW w:w="0" w:type="dxa"/>
          </w:tcPr>
          <w:p w14:paraId="063E1E9A" w14:textId="08130781" w:rsidR="00B14429" w:rsidRPr="00E65688" w:rsidRDefault="002D7AEC" w:rsidP="007C2462">
            <w:pPr>
              <w:pStyle w:val="Tableheadingtext"/>
              <w:jc w:val="center"/>
              <w:rPr>
                <w:rFonts w:ascii="Arial Narrow" w:hAnsi="Arial Narrow"/>
                <w:sz w:val="18"/>
                <w:szCs w:val="18"/>
              </w:rPr>
            </w:pPr>
            <w:r w:rsidRPr="00E65688">
              <w:rPr>
                <w:rFonts w:ascii="Arial Narrow" w:hAnsi="Arial Narrow"/>
                <w:sz w:val="18"/>
                <w:szCs w:val="18"/>
              </w:rPr>
              <w:t>Likelihood</w:t>
            </w:r>
          </w:p>
        </w:tc>
        <w:tc>
          <w:tcPr>
            <w:tcW w:w="1276" w:type="dxa"/>
          </w:tcPr>
          <w:p w14:paraId="36E8DBF4" w14:textId="43CF8ED5" w:rsidR="00B14429" w:rsidRPr="00E65688" w:rsidRDefault="00E50B56" w:rsidP="007C2462">
            <w:pPr>
              <w:pStyle w:val="Tableheadingtext"/>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Pr>
                <w:rFonts w:ascii="Arial Narrow" w:hAnsi="Arial Narrow"/>
                <w:sz w:val="18"/>
                <w:szCs w:val="18"/>
              </w:rPr>
              <w:t>C</w:t>
            </w:r>
            <w:r w:rsidR="002D7AEC" w:rsidRPr="00E65688">
              <w:rPr>
                <w:rFonts w:ascii="Arial Narrow" w:hAnsi="Arial Narrow"/>
                <w:sz w:val="18"/>
                <w:szCs w:val="18"/>
              </w:rPr>
              <w:t>onsequence</w:t>
            </w:r>
          </w:p>
        </w:tc>
        <w:tc>
          <w:tcPr>
            <w:cnfStyle w:val="000010000000" w:firstRow="0" w:lastRow="0" w:firstColumn="0" w:lastColumn="0" w:oddVBand="1" w:evenVBand="0" w:oddHBand="0" w:evenHBand="0" w:firstRowFirstColumn="0" w:firstRowLastColumn="0" w:lastRowFirstColumn="0" w:lastRowLastColumn="0"/>
            <w:tcW w:w="1134" w:type="dxa"/>
          </w:tcPr>
          <w:p w14:paraId="08756710" w14:textId="2E149941" w:rsidR="00B14429" w:rsidRPr="00E65688" w:rsidRDefault="002D7AEC" w:rsidP="007C2462">
            <w:pPr>
              <w:pStyle w:val="Tableheadingtext"/>
              <w:jc w:val="center"/>
              <w:rPr>
                <w:rFonts w:ascii="Arial Narrow" w:hAnsi="Arial Narrow"/>
                <w:sz w:val="18"/>
                <w:szCs w:val="18"/>
              </w:rPr>
            </w:pPr>
            <w:r w:rsidRPr="00E65688">
              <w:rPr>
                <w:rFonts w:ascii="Arial Narrow" w:hAnsi="Arial Narrow"/>
                <w:sz w:val="18"/>
                <w:szCs w:val="18"/>
              </w:rPr>
              <w:t>Uncertainty</w:t>
            </w:r>
          </w:p>
        </w:tc>
        <w:tc>
          <w:tcPr>
            <w:tcW w:w="0" w:type="dxa"/>
          </w:tcPr>
          <w:p w14:paraId="78B3A9EE" w14:textId="7D52CD7E" w:rsidR="00B14429" w:rsidRPr="00E65688" w:rsidRDefault="002D7AEC" w:rsidP="000675CA">
            <w:pPr>
              <w:pStyle w:val="Tableheadingtext"/>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E65688">
              <w:rPr>
                <w:rFonts w:ascii="Arial Narrow" w:hAnsi="Arial Narrow"/>
                <w:sz w:val="18"/>
                <w:szCs w:val="18"/>
              </w:rPr>
              <w:t>Risk</w:t>
            </w:r>
          </w:p>
        </w:tc>
      </w:tr>
      <w:tr w:rsidR="0051146F" w:rsidRPr="002D7AEC" w14:paraId="475EB01E"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4D6A436D"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00A9967A"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04FE6CB0" w14:textId="551FCC2D"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2F9C4F6A"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Alpine Tree Frog</w:t>
            </w:r>
          </w:p>
        </w:tc>
        <w:tc>
          <w:tcPr>
            <w:tcW w:w="1043" w:type="dxa"/>
            <w:noWrap/>
            <w:hideMark/>
          </w:tcPr>
          <w:p w14:paraId="1A9F72AE" w14:textId="66D3550E"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71FF373D"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6</w:t>
            </w:r>
          </w:p>
        </w:tc>
        <w:tc>
          <w:tcPr>
            <w:tcW w:w="1276" w:type="dxa"/>
            <w:noWrap/>
            <w:hideMark/>
          </w:tcPr>
          <w:p w14:paraId="66F7264B"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3284E888"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2FD988B7" w14:textId="592AB602"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4D70F89E"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16974E5C"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45A5E2A2"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07F43812" w14:textId="610CDC4D"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3F17CE80"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 xml:space="preserve">Baw </w:t>
            </w:r>
            <w:proofErr w:type="spellStart"/>
            <w:r w:rsidRPr="002D7AEC">
              <w:rPr>
                <w:rFonts w:ascii="Arial Narrow" w:hAnsi="Arial Narrow" w:cs="Calibri"/>
                <w:color w:val="000000"/>
                <w:sz w:val="18"/>
                <w:szCs w:val="18"/>
              </w:rPr>
              <w:t>Baw</w:t>
            </w:r>
            <w:proofErr w:type="spellEnd"/>
            <w:r w:rsidRPr="002D7AEC">
              <w:rPr>
                <w:rFonts w:ascii="Arial Narrow" w:hAnsi="Arial Narrow" w:cs="Calibri"/>
                <w:color w:val="000000"/>
                <w:sz w:val="18"/>
                <w:szCs w:val="18"/>
              </w:rPr>
              <w:t xml:space="preserve"> Frog</w:t>
            </w:r>
          </w:p>
        </w:tc>
        <w:tc>
          <w:tcPr>
            <w:tcW w:w="1043" w:type="dxa"/>
            <w:noWrap/>
            <w:hideMark/>
          </w:tcPr>
          <w:p w14:paraId="0F59D4AD" w14:textId="5472F0B2"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0440B1F7"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6</w:t>
            </w:r>
          </w:p>
        </w:tc>
        <w:tc>
          <w:tcPr>
            <w:tcW w:w="1276" w:type="dxa"/>
            <w:noWrap/>
            <w:hideMark/>
          </w:tcPr>
          <w:p w14:paraId="40F7FE4A"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04E32125"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187B4E21" w14:textId="43684F8E"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7B76A71F"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01FE9AD2"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1F862077"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77983538" w14:textId="69B9F3A7"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253E9AD5"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Brown Toadlet</w:t>
            </w:r>
          </w:p>
        </w:tc>
        <w:tc>
          <w:tcPr>
            <w:tcW w:w="1043" w:type="dxa"/>
            <w:noWrap/>
            <w:hideMark/>
          </w:tcPr>
          <w:p w14:paraId="6DC6B006" w14:textId="5888CB1B"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7A5BBD6D"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6</w:t>
            </w:r>
          </w:p>
        </w:tc>
        <w:tc>
          <w:tcPr>
            <w:tcW w:w="1276" w:type="dxa"/>
            <w:noWrap/>
            <w:hideMark/>
          </w:tcPr>
          <w:p w14:paraId="2C7F0A7E"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20C23C0C"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56865BA5" w14:textId="7EAF764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79BEE501"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11F65CD5"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33540191"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38CCD545" w14:textId="30F6877A"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251E7762"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Spotted Tree Frog</w:t>
            </w:r>
          </w:p>
        </w:tc>
        <w:tc>
          <w:tcPr>
            <w:tcW w:w="1043" w:type="dxa"/>
            <w:noWrap/>
            <w:hideMark/>
          </w:tcPr>
          <w:p w14:paraId="1CD6B0BD" w14:textId="12E4C0F9"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7346F6BC"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6</w:t>
            </w:r>
          </w:p>
        </w:tc>
        <w:tc>
          <w:tcPr>
            <w:tcW w:w="1276" w:type="dxa"/>
            <w:noWrap/>
            <w:hideMark/>
          </w:tcPr>
          <w:p w14:paraId="04746D5B"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0193F4A2"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241CA3A6" w14:textId="2D2E4A01"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5FA05C95"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2B644A91" w14:textId="4E582BDA" w:rsidR="002D7AEC" w:rsidRPr="002D7AEC" w:rsidRDefault="00DD622F"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Psittacine circoviral disease</w:t>
            </w:r>
            <w:r w:rsidRPr="002D7AEC">
              <w:rPr>
                <w:rFonts w:ascii="Arial Narrow" w:hAnsi="Arial Narrow" w:cs="Calibri"/>
                <w:i/>
                <w:iCs/>
                <w:color w:val="000000"/>
                <w:sz w:val="18"/>
                <w:szCs w:val="18"/>
              </w:rPr>
              <w:t xml:space="preserve"> </w:t>
            </w:r>
            <w:r w:rsidR="002D7AEC" w:rsidRPr="002D7AEC">
              <w:rPr>
                <w:rFonts w:ascii="Arial Narrow" w:hAnsi="Arial Narrow" w:cs="Calibri"/>
                <w:color w:val="000000"/>
                <w:sz w:val="18"/>
                <w:szCs w:val="18"/>
              </w:rPr>
              <w:t xml:space="preserve">virus </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418D6DD3"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Viral</w:t>
            </w:r>
          </w:p>
        </w:tc>
        <w:tc>
          <w:tcPr>
            <w:tcW w:w="3529" w:type="dxa"/>
            <w:noWrap/>
            <w:hideMark/>
          </w:tcPr>
          <w:p w14:paraId="69BB06A0" w14:textId="6CCBD517" w:rsidR="002D7AEC" w:rsidRPr="002D7AEC" w:rsidRDefault="00C17323"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Beak and Feather Disease</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46FA1333"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Orange-bellied Parrot</w:t>
            </w:r>
          </w:p>
        </w:tc>
        <w:tc>
          <w:tcPr>
            <w:tcW w:w="1043" w:type="dxa"/>
            <w:noWrap/>
            <w:hideMark/>
          </w:tcPr>
          <w:p w14:paraId="02BF54A9" w14:textId="62BABBE1"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011F95AA" w14:textId="5FDD0452"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w:t>
            </w:r>
            <w:r w:rsidR="003F3FB2" w:rsidRPr="00E65688">
              <w:rPr>
                <w:rFonts w:ascii="Arial Narrow" w:hAnsi="Arial Narrow" w:cs="Calibri"/>
                <w:color w:val="000000"/>
                <w:sz w:val="18"/>
                <w:szCs w:val="18"/>
              </w:rPr>
              <w:t>7</w:t>
            </w:r>
          </w:p>
        </w:tc>
        <w:tc>
          <w:tcPr>
            <w:tcW w:w="1276" w:type="dxa"/>
            <w:noWrap/>
            <w:hideMark/>
          </w:tcPr>
          <w:p w14:paraId="33BD4C10"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001BE038"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487585F1" w14:textId="68FE531A"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205EED3C"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260CB17F"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 xml:space="preserve">Pseudogymnoascus </w:t>
            </w:r>
            <w:proofErr w:type="spellStart"/>
            <w:r w:rsidRPr="002D7AEC">
              <w:rPr>
                <w:rFonts w:ascii="Arial Narrow" w:hAnsi="Arial Narrow" w:cs="Calibri"/>
                <w:i/>
                <w:iCs/>
                <w:color w:val="000000"/>
                <w:sz w:val="18"/>
                <w:szCs w:val="18"/>
              </w:rPr>
              <w:t>destructans</w:t>
            </w:r>
            <w:proofErr w:type="spellEnd"/>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50022828"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7DCB6A42" w14:textId="30C68F90" w:rsidR="002D7AEC" w:rsidRPr="002D7AEC" w:rsidRDefault="00E07B96"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White Nose Syndrome</w:t>
            </w:r>
            <w:r w:rsidR="002D7AEC" w:rsidRPr="002D7AEC">
              <w:rPr>
                <w:rFonts w:ascii="Arial Narrow" w:hAnsi="Arial Narrow" w:cs="Calibri"/>
                <w:color w:val="000000"/>
                <w:sz w:val="18"/>
                <w:szCs w:val="18"/>
              </w:rPr>
              <w:t> </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7FB85D1C"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Southern Bent-winged Bat</w:t>
            </w:r>
          </w:p>
        </w:tc>
        <w:tc>
          <w:tcPr>
            <w:tcW w:w="1043" w:type="dxa"/>
            <w:noWrap/>
            <w:hideMark/>
          </w:tcPr>
          <w:p w14:paraId="5ED8F42E" w14:textId="4C7E6592"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441C700A" w14:textId="1DF16AC3"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5.3</w:t>
            </w:r>
          </w:p>
        </w:tc>
        <w:tc>
          <w:tcPr>
            <w:tcW w:w="1276" w:type="dxa"/>
            <w:noWrap/>
            <w:hideMark/>
          </w:tcPr>
          <w:p w14:paraId="1202F59E"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16957AE7"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7F98B4D9" w14:textId="26F5A406"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52B4198D"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74BFC8C5" w14:textId="762EADF9"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 xml:space="preserve">HPAI </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7C8633AF"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Viral</w:t>
            </w:r>
          </w:p>
        </w:tc>
        <w:tc>
          <w:tcPr>
            <w:tcW w:w="3529" w:type="dxa"/>
            <w:noWrap/>
            <w:hideMark/>
          </w:tcPr>
          <w:p w14:paraId="4379C62C" w14:textId="280B7F36"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 xml:space="preserve">Avian </w:t>
            </w:r>
            <w:r w:rsidR="0051146F">
              <w:rPr>
                <w:rFonts w:ascii="Arial Narrow" w:hAnsi="Arial Narrow" w:cs="Calibri"/>
                <w:color w:val="000000"/>
                <w:sz w:val="18"/>
                <w:szCs w:val="18"/>
              </w:rPr>
              <w:t>I</w:t>
            </w:r>
            <w:r w:rsidRPr="002D7AEC">
              <w:rPr>
                <w:rFonts w:ascii="Arial Narrow" w:hAnsi="Arial Narrow" w:cs="Calibri"/>
                <w:color w:val="000000"/>
                <w:sz w:val="18"/>
                <w:szCs w:val="18"/>
              </w:rPr>
              <w:t>nfluenza</w:t>
            </w:r>
            <w:r w:rsidR="00417BB5">
              <w:rPr>
                <w:rFonts w:ascii="Arial Narrow" w:hAnsi="Arial Narrow" w:cs="Calibri"/>
                <w:color w:val="000000"/>
                <w:sz w:val="18"/>
                <w:szCs w:val="18"/>
              </w:rPr>
              <w:t xml:space="preserve"> (highly pathogenic strain)</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31B45ABB"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Gulls, terns and waders</w:t>
            </w:r>
          </w:p>
        </w:tc>
        <w:tc>
          <w:tcPr>
            <w:tcW w:w="1043" w:type="dxa"/>
            <w:noWrap/>
            <w:hideMark/>
          </w:tcPr>
          <w:p w14:paraId="6F097C1E" w14:textId="5C1C070B"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59EB6FFA" w14:textId="51997E33"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5.3</w:t>
            </w:r>
          </w:p>
        </w:tc>
        <w:tc>
          <w:tcPr>
            <w:tcW w:w="1276" w:type="dxa"/>
            <w:noWrap/>
            <w:hideMark/>
          </w:tcPr>
          <w:p w14:paraId="3833A502"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304E19BD"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3F3E4399" w14:textId="0E73F97E"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28DFD5F4"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62450F50" w14:textId="195F6119"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 xml:space="preserve">HPAI </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0E6948C8"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Viral</w:t>
            </w:r>
          </w:p>
        </w:tc>
        <w:tc>
          <w:tcPr>
            <w:tcW w:w="3529" w:type="dxa"/>
            <w:noWrap/>
            <w:hideMark/>
          </w:tcPr>
          <w:p w14:paraId="7819D687" w14:textId="3A471553"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 xml:space="preserve">Avian </w:t>
            </w:r>
            <w:r w:rsidR="0051146F">
              <w:rPr>
                <w:rFonts w:ascii="Arial Narrow" w:hAnsi="Arial Narrow" w:cs="Calibri"/>
                <w:color w:val="000000"/>
                <w:sz w:val="18"/>
                <w:szCs w:val="18"/>
              </w:rPr>
              <w:t>I</w:t>
            </w:r>
            <w:r w:rsidRPr="002D7AEC">
              <w:rPr>
                <w:rFonts w:ascii="Arial Narrow" w:hAnsi="Arial Narrow" w:cs="Calibri"/>
                <w:color w:val="000000"/>
                <w:sz w:val="18"/>
                <w:szCs w:val="18"/>
              </w:rPr>
              <w:t>nfluenza</w:t>
            </w:r>
            <w:r w:rsidR="00417BB5">
              <w:rPr>
                <w:rFonts w:ascii="Arial Narrow" w:hAnsi="Arial Narrow" w:cs="Calibri"/>
                <w:color w:val="000000"/>
                <w:sz w:val="18"/>
                <w:szCs w:val="18"/>
              </w:rPr>
              <w:t xml:space="preserve"> (highly pathogenic strain)</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1247E9E3"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Ducks, swans, geese</w:t>
            </w:r>
          </w:p>
        </w:tc>
        <w:tc>
          <w:tcPr>
            <w:tcW w:w="1043" w:type="dxa"/>
            <w:noWrap/>
            <w:hideMark/>
          </w:tcPr>
          <w:p w14:paraId="6BE47238" w14:textId="5409F34F"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5FEB67F" w14:textId="088B4FAF"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5.3</w:t>
            </w:r>
          </w:p>
        </w:tc>
        <w:tc>
          <w:tcPr>
            <w:tcW w:w="1276" w:type="dxa"/>
            <w:noWrap/>
            <w:hideMark/>
          </w:tcPr>
          <w:p w14:paraId="07ABEC33"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69910DA2"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7CC4E706" w14:textId="7BE34D08"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4B9C677B"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2E1FC663" w14:textId="0E2402F7" w:rsidR="002D7AEC" w:rsidRPr="002D7AEC" w:rsidRDefault="002D7AEC" w:rsidP="002D7AEC">
            <w:pPr>
              <w:spacing w:after="0"/>
              <w:rPr>
                <w:rFonts w:ascii="Arial Narrow" w:hAnsi="Arial Narrow" w:cs="Calibri"/>
                <w:color w:val="000000"/>
                <w:sz w:val="18"/>
                <w:szCs w:val="18"/>
              </w:rPr>
            </w:pPr>
            <w:proofErr w:type="spellStart"/>
            <w:r w:rsidRPr="002D7AEC">
              <w:rPr>
                <w:rFonts w:ascii="Arial Narrow" w:hAnsi="Arial Narrow" w:cs="Calibri"/>
                <w:color w:val="000000"/>
                <w:sz w:val="18"/>
                <w:szCs w:val="18"/>
              </w:rPr>
              <w:t>Psittacid</w:t>
            </w:r>
            <w:proofErr w:type="spellEnd"/>
            <w:r w:rsidRPr="002D7AEC">
              <w:rPr>
                <w:rFonts w:ascii="Arial Narrow" w:hAnsi="Arial Narrow" w:cs="Calibri"/>
                <w:color w:val="000000"/>
                <w:sz w:val="18"/>
                <w:szCs w:val="18"/>
              </w:rPr>
              <w:t xml:space="preserve"> </w:t>
            </w:r>
            <w:r w:rsidR="0067499D">
              <w:rPr>
                <w:rFonts w:ascii="Arial Narrow" w:hAnsi="Arial Narrow" w:cs="Calibri"/>
                <w:color w:val="000000"/>
                <w:sz w:val="18"/>
                <w:szCs w:val="18"/>
              </w:rPr>
              <w:t>alpha</w:t>
            </w:r>
            <w:r w:rsidRPr="002D7AEC">
              <w:rPr>
                <w:rFonts w:ascii="Arial Narrow" w:hAnsi="Arial Narrow" w:cs="Calibri"/>
                <w:color w:val="000000"/>
                <w:sz w:val="18"/>
                <w:szCs w:val="18"/>
              </w:rPr>
              <w:t>herpesvirus-1</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140A8827"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Viral</w:t>
            </w:r>
          </w:p>
        </w:tc>
        <w:tc>
          <w:tcPr>
            <w:tcW w:w="3529" w:type="dxa"/>
            <w:noWrap/>
            <w:hideMark/>
          </w:tcPr>
          <w:p w14:paraId="7315FEE1" w14:textId="1CC7F598" w:rsidR="002D7AEC" w:rsidRPr="002D7AEC" w:rsidRDefault="00C17323"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2DDFFF37"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Parrots</w:t>
            </w:r>
          </w:p>
        </w:tc>
        <w:tc>
          <w:tcPr>
            <w:tcW w:w="1043" w:type="dxa"/>
            <w:noWrap/>
            <w:hideMark/>
          </w:tcPr>
          <w:p w14:paraId="054EB607" w14:textId="3E257E2B"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7A9E43D"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w:t>
            </w:r>
          </w:p>
        </w:tc>
        <w:tc>
          <w:tcPr>
            <w:tcW w:w="1276" w:type="dxa"/>
            <w:noWrap/>
            <w:hideMark/>
          </w:tcPr>
          <w:p w14:paraId="0BA5CCC2"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72ACE4B9"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6DCF7A86" w14:textId="72EE5E9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Extreme</w:t>
            </w:r>
          </w:p>
        </w:tc>
      </w:tr>
      <w:tr w:rsidR="0051146F" w:rsidRPr="002D7AEC" w14:paraId="2605A747"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329BAD73"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1959F331"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2AD34D2F" w14:textId="3CE65AE4"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0744C843"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Southern Toadlet</w:t>
            </w:r>
          </w:p>
        </w:tc>
        <w:tc>
          <w:tcPr>
            <w:tcW w:w="1043" w:type="dxa"/>
            <w:noWrap/>
            <w:hideMark/>
          </w:tcPr>
          <w:p w14:paraId="74C3710D" w14:textId="3F660912"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08D50134"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6</w:t>
            </w:r>
          </w:p>
        </w:tc>
        <w:tc>
          <w:tcPr>
            <w:tcW w:w="1276" w:type="dxa"/>
            <w:noWrap/>
            <w:hideMark/>
          </w:tcPr>
          <w:p w14:paraId="6E9BD692"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6B837F18"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2</w:t>
            </w:r>
          </w:p>
        </w:tc>
        <w:tc>
          <w:tcPr>
            <w:tcW w:w="822" w:type="dxa"/>
            <w:noWrap/>
            <w:hideMark/>
          </w:tcPr>
          <w:p w14:paraId="2EAFB6D4" w14:textId="797E199D"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7C85800A"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41EF147A"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0BF16351"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467BC97B" w14:textId="7CFF1157"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15ED5039"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Southern Barred Frog</w:t>
            </w:r>
          </w:p>
        </w:tc>
        <w:tc>
          <w:tcPr>
            <w:tcW w:w="1043" w:type="dxa"/>
            <w:noWrap/>
            <w:hideMark/>
          </w:tcPr>
          <w:p w14:paraId="4C2B5AB2" w14:textId="4876BC06"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6433D26" w14:textId="4051162B"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w:t>
            </w:r>
            <w:r w:rsidR="003F3FB2" w:rsidRPr="00E65688">
              <w:rPr>
                <w:rFonts w:ascii="Arial Narrow" w:hAnsi="Arial Narrow" w:cs="Calibri"/>
                <w:color w:val="000000"/>
                <w:sz w:val="18"/>
                <w:szCs w:val="18"/>
              </w:rPr>
              <w:t>7</w:t>
            </w:r>
          </w:p>
        </w:tc>
        <w:tc>
          <w:tcPr>
            <w:tcW w:w="1276" w:type="dxa"/>
            <w:noWrap/>
            <w:hideMark/>
          </w:tcPr>
          <w:p w14:paraId="4C8DB684"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739FCC61"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54708AB1" w14:textId="60A67091"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126CC6E6"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288DF45F"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68E4BA59"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29CDE05E" w14:textId="75666252"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5A254F89" w14:textId="77777777" w:rsidR="002D7AEC" w:rsidRPr="002D7AEC" w:rsidRDefault="002D7AEC" w:rsidP="002D7AEC">
            <w:pPr>
              <w:spacing w:after="0"/>
              <w:rPr>
                <w:rFonts w:ascii="Arial Narrow" w:hAnsi="Arial Narrow" w:cs="Calibri"/>
                <w:color w:val="000000"/>
                <w:sz w:val="18"/>
                <w:szCs w:val="18"/>
              </w:rPr>
            </w:pPr>
            <w:proofErr w:type="spellStart"/>
            <w:r w:rsidRPr="002D7AEC">
              <w:rPr>
                <w:rFonts w:ascii="Arial Narrow" w:hAnsi="Arial Narrow" w:cs="Calibri"/>
                <w:color w:val="000000"/>
                <w:sz w:val="18"/>
                <w:szCs w:val="18"/>
              </w:rPr>
              <w:t>Booroolong</w:t>
            </w:r>
            <w:proofErr w:type="spellEnd"/>
            <w:r w:rsidRPr="002D7AEC">
              <w:rPr>
                <w:rFonts w:ascii="Arial Narrow" w:hAnsi="Arial Narrow" w:cs="Calibri"/>
                <w:color w:val="000000"/>
                <w:sz w:val="18"/>
                <w:szCs w:val="18"/>
              </w:rPr>
              <w:t xml:space="preserve"> Tree Frog</w:t>
            </w:r>
          </w:p>
        </w:tc>
        <w:tc>
          <w:tcPr>
            <w:tcW w:w="1043" w:type="dxa"/>
            <w:noWrap/>
            <w:hideMark/>
          </w:tcPr>
          <w:p w14:paraId="64692F5B" w14:textId="0E180CC5"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24AA82D" w14:textId="1627FA29"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w:t>
            </w:r>
            <w:r w:rsidR="003F3FB2" w:rsidRPr="00E65688">
              <w:rPr>
                <w:rFonts w:ascii="Arial Narrow" w:hAnsi="Arial Narrow" w:cs="Calibri"/>
                <w:color w:val="000000"/>
                <w:sz w:val="18"/>
                <w:szCs w:val="18"/>
              </w:rPr>
              <w:t>7</w:t>
            </w:r>
          </w:p>
        </w:tc>
        <w:tc>
          <w:tcPr>
            <w:tcW w:w="1276" w:type="dxa"/>
            <w:noWrap/>
            <w:hideMark/>
          </w:tcPr>
          <w:p w14:paraId="75229252"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4A545B09"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2</w:t>
            </w:r>
          </w:p>
        </w:tc>
        <w:tc>
          <w:tcPr>
            <w:tcW w:w="822" w:type="dxa"/>
            <w:noWrap/>
            <w:hideMark/>
          </w:tcPr>
          <w:p w14:paraId="21353CDE" w14:textId="5A47F1FD"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21D895B6"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72172C82"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Batrachochytrium dendrobatidis</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7E1377F3"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4BEDA7E1" w14:textId="143D8CE3" w:rsidR="002D7AEC" w:rsidRPr="002D7AEC" w:rsidRDefault="000E0BE1"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774E2D4A"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Giant Burrowing Frog</w:t>
            </w:r>
          </w:p>
        </w:tc>
        <w:tc>
          <w:tcPr>
            <w:tcW w:w="1043" w:type="dxa"/>
            <w:noWrap/>
            <w:hideMark/>
          </w:tcPr>
          <w:p w14:paraId="0D2C65D3" w14:textId="4BAEAC32"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Frogs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7B4AFF87" w14:textId="2F0C83C1"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w:t>
            </w:r>
            <w:r w:rsidR="003F3FB2" w:rsidRPr="00E65688">
              <w:rPr>
                <w:rFonts w:ascii="Arial Narrow" w:hAnsi="Arial Narrow" w:cs="Calibri"/>
                <w:color w:val="000000"/>
                <w:sz w:val="18"/>
                <w:szCs w:val="18"/>
              </w:rPr>
              <w:t>7</w:t>
            </w:r>
          </w:p>
        </w:tc>
        <w:tc>
          <w:tcPr>
            <w:tcW w:w="1276" w:type="dxa"/>
            <w:noWrap/>
            <w:hideMark/>
          </w:tcPr>
          <w:p w14:paraId="0739E0DF"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5274842E"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2</w:t>
            </w:r>
          </w:p>
        </w:tc>
        <w:tc>
          <w:tcPr>
            <w:tcW w:w="822" w:type="dxa"/>
            <w:noWrap/>
            <w:hideMark/>
          </w:tcPr>
          <w:p w14:paraId="5AFFC940" w14:textId="0D5ACE32"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1A7CF4A9"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0CF42B75"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 xml:space="preserve">Pseudogymnoascus </w:t>
            </w:r>
            <w:proofErr w:type="spellStart"/>
            <w:r w:rsidRPr="002D7AEC">
              <w:rPr>
                <w:rFonts w:ascii="Arial Narrow" w:hAnsi="Arial Narrow" w:cs="Calibri"/>
                <w:i/>
                <w:iCs/>
                <w:color w:val="000000"/>
                <w:sz w:val="18"/>
                <w:szCs w:val="18"/>
              </w:rPr>
              <w:t>destructans</w:t>
            </w:r>
            <w:proofErr w:type="spellEnd"/>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0E33CDCC"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746AB79D" w14:textId="0710D0B6" w:rsidR="002D7AEC" w:rsidRPr="002D7AEC" w:rsidRDefault="00E07B96"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White Nose Syndrome</w:t>
            </w:r>
            <w:r w:rsidR="002D7AEC" w:rsidRPr="002D7AEC">
              <w:rPr>
                <w:rFonts w:ascii="Arial Narrow" w:hAnsi="Arial Narrow" w:cs="Calibri"/>
                <w:color w:val="000000"/>
                <w:sz w:val="18"/>
                <w:szCs w:val="18"/>
              </w:rPr>
              <w:t> </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3D12FE31"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Common Bent-wing Bat</w:t>
            </w:r>
          </w:p>
        </w:tc>
        <w:tc>
          <w:tcPr>
            <w:tcW w:w="1043" w:type="dxa"/>
            <w:noWrap/>
            <w:hideMark/>
          </w:tcPr>
          <w:p w14:paraId="1CAE76E5" w14:textId="2B2381BA"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6C13E18A" w14:textId="0E2742CE"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5.3</w:t>
            </w:r>
          </w:p>
        </w:tc>
        <w:tc>
          <w:tcPr>
            <w:tcW w:w="1276" w:type="dxa"/>
            <w:noWrap/>
            <w:hideMark/>
          </w:tcPr>
          <w:p w14:paraId="51C06DBB"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5E3E8FD9"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21216DC5" w14:textId="0AA8C056"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4FCEC617"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46C2C5EB" w14:textId="77777777" w:rsidR="002D7AEC" w:rsidRPr="002D7AEC" w:rsidRDefault="002D7AEC" w:rsidP="002D7AEC">
            <w:pPr>
              <w:spacing w:after="0"/>
              <w:rPr>
                <w:rFonts w:ascii="Arial Narrow" w:hAnsi="Arial Narrow" w:cs="Calibri"/>
                <w:i/>
                <w:iCs/>
                <w:color w:val="000000"/>
                <w:sz w:val="18"/>
                <w:szCs w:val="18"/>
              </w:rPr>
            </w:pPr>
            <w:r w:rsidRPr="002D7AEC">
              <w:rPr>
                <w:rFonts w:ascii="Arial Narrow" w:hAnsi="Arial Narrow" w:cs="Calibri"/>
                <w:i/>
                <w:iCs/>
                <w:color w:val="000000"/>
                <w:sz w:val="18"/>
                <w:szCs w:val="18"/>
              </w:rPr>
              <w:t xml:space="preserve">Pseudogymnoascus </w:t>
            </w:r>
            <w:proofErr w:type="spellStart"/>
            <w:r w:rsidRPr="002D7AEC">
              <w:rPr>
                <w:rFonts w:ascii="Arial Narrow" w:hAnsi="Arial Narrow" w:cs="Calibri"/>
                <w:i/>
                <w:iCs/>
                <w:color w:val="000000"/>
                <w:sz w:val="18"/>
                <w:szCs w:val="18"/>
              </w:rPr>
              <w:t>destructans</w:t>
            </w:r>
            <w:proofErr w:type="spellEnd"/>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392FAFFF"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3529" w:type="dxa"/>
            <w:noWrap/>
            <w:hideMark/>
          </w:tcPr>
          <w:p w14:paraId="757FAB7D" w14:textId="0C348B79" w:rsidR="002D7AEC" w:rsidRPr="002D7AEC" w:rsidRDefault="00E07B96"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White Nose Syndrome</w:t>
            </w:r>
            <w:r w:rsidR="002D7AEC" w:rsidRPr="002D7AEC">
              <w:rPr>
                <w:rFonts w:ascii="Arial Narrow" w:hAnsi="Arial Narrow" w:cs="Calibri"/>
                <w:color w:val="000000"/>
                <w:sz w:val="18"/>
                <w:szCs w:val="18"/>
              </w:rPr>
              <w:t> </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3DE2E328"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Eastern Horseshoe Bat</w:t>
            </w:r>
          </w:p>
        </w:tc>
        <w:tc>
          <w:tcPr>
            <w:tcW w:w="1043" w:type="dxa"/>
            <w:noWrap/>
            <w:hideMark/>
          </w:tcPr>
          <w:p w14:paraId="44313C0A" w14:textId="56D75EB2"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2FD9228D" w14:textId="133A9B73"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5.3</w:t>
            </w:r>
          </w:p>
        </w:tc>
        <w:tc>
          <w:tcPr>
            <w:tcW w:w="1276" w:type="dxa"/>
            <w:noWrap/>
            <w:hideMark/>
          </w:tcPr>
          <w:p w14:paraId="380F49AC"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3D8A2C24"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78CC470D" w14:textId="6E0DBD46"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374C0DB7"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4A9250AC"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HPAI</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6A2DBB09"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Viral</w:t>
            </w:r>
          </w:p>
        </w:tc>
        <w:tc>
          <w:tcPr>
            <w:tcW w:w="3529" w:type="dxa"/>
            <w:noWrap/>
            <w:hideMark/>
          </w:tcPr>
          <w:p w14:paraId="776D3F54" w14:textId="1F58C648"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 xml:space="preserve">Avian </w:t>
            </w:r>
            <w:r w:rsidR="0051146F">
              <w:rPr>
                <w:rFonts w:ascii="Arial Narrow" w:hAnsi="Arial Narrow" w:cs="Calibri"/>
                <w:color w:val="000000"/>
                <w:sz w:val="18"/>
                <w:szCs w:val="18"/>
              </w:rPr>
              <w:t>I</w:t>
            </w:r>
            <w:r w:rsidRPr="002D7AEC">
              <w:rPr>
                <w:rFonts w:ascii="Arial Narrow" w:hAnsi="Arial Narrow" w:cs="Calibri"/>
                <w:color w:val="000000"/>
                <w:sz w:val="18"/>
                <w:szCs w:val="18"/>
              </w:rPr>
              <w:t>nfluenza</w:t>
            </w:r>
            <w:r w:rsidR="00417BB5">
              <w:rPr>
                <w:rFonts w:ascii="Arial Narrow" w:hAnsi="Arial Narrow" w:cs="Calibri"/>
                <w:color w:val="000000"/>
                <w:sz w:val="18"/>
                <w:szCs w:val="18"/>
              </w:rPr>
              <w:t xml:space="preserve"> (highly pathogenic strain)</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35236B68"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Seals</w:t>
            </w:r>
          </w:p>
        </w:tc>
        <w:tc>
          <w:tcPr>
            <w:tcW w:w="1043" w:type="dxa"/>
            <w:noWrap/>
            <w:hideMark/>
          </w:tcPr>
          <w:p w14:paraId="2ADC5238" w14:textId="2BBB760C"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614AF539" w14:textId="4A6A509C"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5.3</w:t>
            </w:r>
          </w:p>
        </w:tc>
        <w:tc>
          <w:tcPr>
            <w:tcW w:w="1276" w:type="dxa"/>
            <w:noWrap/>
            <w:hideMark/>
          </w:tcPr>
          <w:p w14:paraId="13AE8578"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29430671"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1</w:t>
            </w:r>
          </w:p>
        </w:tc>
        <w:tc>
          <w:tcPr>
            <w:tcW w:w="822" w:type="dxa"/>
            <w:noWrap/>
            <w:hideMark/>
          </w:tcPr>
          <w:p w14:paraId="0B5AD939" w14:textId="1F3466B3"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211CEA7B" w14:textId="77777777" w:rsidTr="0051146F">
        <w:trPr>
          <w:trHeight w:val="300"/>
        </w:trPr>
        <w:tc>
          <w:tcPr>
            <w:cnfStyle w:val="001000000000" w:firstRow="0" w:lastRow="0" w:firstColumn="1" w:lastColumn="0" w:oddVBand="0" w:evenVBand="0" w:oddHBand="0" w:evenHBand="0" w:firstRowFirstColumn="0" w:firstRowLastColumn="0" w:lastRowFirstColumn="0" w:lastRowLastColumn="0"/>
            <w:tcW w:w="2582" w:type="dxa"/>
            <w:noWrap/>
            <w:hideMark/>
          </w:tcPr>
          <w:p w14:paraId="7BB6ED2F" w14:textId="2219FB9F"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HPAI</w:t>
            </w:r>
            <w:r w:rsidR="00417BB5">
              <w:rPr>
                <w:rFonts w:ascii="Arial Narrow" w:hAnsi="Arial Narrow" w:cs="Calibri"/>
                <w:color w:val="000000"/>
                <w:sz w:val="18"/>
                <w:szCs w:val="18"/>
              </w:rPr>
              <w:t xml:space="preserve"> </w:t>
            </w:r>
          </w:p>
        </w:tc>
        <w:tc>
          <w:tcPr>
            <w:cnfStyle w:val="000010000000" w:firstRow="0" w:lastRow="0" w:firstColumn="0" w:lastColumn="0" w:oddVBand="1" w:evenVBand="0" w:oddHBand="0" w:evenHBand="0" w:firstRowFirstColumn="0" w:firstRowLastColumn="0" w:lastRowFirstColumn="0" w:lastRowLastColumn="0"/>
            <w:tcW w:w="1098" w:type="dxa"/>
            <w:noWrap/>
            <w:hideMark/>
          </w:tcPr>
          <w:p w14:paraId="33B61DC2"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Viral</w:t>
            </w:r>
          </w:p>
        </w:tc>
        <w:tc>
          <w:tcPr>
            <w:tcW w:w="3529" w:type="dxa"/>
            <w:noWrap/>
            <w:hideMark/>
          </w:tcPr>
          <w:p w14:paraId="6CA074B7" w14:textId="51AC858C"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 xml:space="preserve">Avian </w:t>
            </w:r>
            <w:r w:rsidR="0051146F">
              <w:rPr>
                <w:rFonts w:ascii="Arial Narrow" w:hAnsi="Arial Narrow" w:cs="Calibri"/>
                <w:color w:val="000000"/>
                <w:sz w:val="18"/>
                <w:szCs w:val="18"/>
              </w:rPr>
              <w:t>I</w:t>
            </w:r>
            <w:r w:rsidRPr="002D7AEC">
              <w:rPr>
                <w:rFonts w:ascii="Arial Narrow" w:hAnsi="Arial Narrow" w:cs="Calibri"/>
                <w:color w:val="000000"/>
                <w:sz w:val="18"/>
                <w:szCs w:val="18"/>
              </w:rPr>
              <w:t>nfluenza</w:t>
            </w:r>
            <w:r w:rsidR="00417BB5">
              <w:rPr>
                <w:rFonts w:ascii="Arial Narrow" w:hAnsi="Arial Narrow" w:cs="Calibri"/>
                <w:color w:val="000000"/>
                <w:sz w:val="18"/>
                <w:szCs w:val="18"/>
              </w:rPr>
              <w:t xml:space="preserve"> (highly pathogenic strain)</w:t>
            </w:r>
          </w:p>
        </w:tc>
        <w:tc>
          <w:tcPr>
            <w:cnfStyle w:val="000010000000" w:firstRow="0" w:lastRow="0" w:firstColumn="0" w:lastColumn="0" w:oddVBand="1" w:evenVBand="0" w:oddHBand="0" w:evenHBand="0" w:firstRowFirstColumn="0" w:firstRowLastColumn="0" w:lastRowFirstColumn="0" w:lastRowLastColumn="0"/>
            <w:tcW w:w="2096" w:type="dxa"/>
            <w:noWrap/>
            <w:hideMark/>
          </w:tcPr>
          <w:p w14:paraId="62AA7721" w14:textId="77777777" w:rsidR="002D7AEC" w:rsidRPr="002D7AEC" w:rsidRDefault="002D7AEC" w:rsidP="002D7AEC">
            <w:pPr>
              <w:spacing w:after="0"/>
              <w:rPr>
                <w:rFonts w:ascii="Arial Narrow" w:hAnsi="Arial Narrow" w:cs="Calibri"/>
                <w:color w:val="000000"/>
                <w:sz w:val="18"/>
                <w:szCs w:val="18"/>
              </w:rPr>
            </w:pPr>
            <w:r w:rsidRPr="002D7AEC">
              <w:rPr>
                <w:rFonts w:ascii="Arial Narrow" w:hAnsi="Arial Narrow" w:cs="Calibri"/>
                <w:color w:val="000000"/>
                <w:sz w:val="18"/>
                <w:szCs w:val="18"/>
              </w:rPr>
              <w:t>Penguins</w:t>
            </w:r>
          </w:p>
        </w:tc>
        <w:tc>
          <w:tcPr>
            <w:tcW w:w="1043" w:type="dxa"/>
            <w:noWrap/>
            <w:hideMark/>
          </w:tcPr>
          <w:p w14:paraId="40A9277F" w14:textId="628C27DF"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45D0C4D" w14:textId="6BA35599"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5.3</w:t>
            </w:r>
          </w:p>
        </w:tc>
        <w:tc>
          <w:tcPr>
            <w:tcW w:w="1276" w:type="dxa"/>
            <w:noWrap/>
            <w:hideMark/>
          </w:tcPr>
          <w:p w14:paraId="70ADC5A7"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134" w:type="dxa"/>
            <w:noWrap/>
            <w:hideMark/>
          </w:tcPr>
          <w:p w14:paraId="55849625" w14:textId="77777777" w:rsidR="002D7AEC" w:rsidRPr="002D7AEC" w:rsidRDefault="002D7AEC" w:rsidP="007C2462">
            <w:pPr>
              <w:spacing w:after="0"/>
              <w:jc w:val="center"/>
              <w:rPr>
                <w:rFonts w:ascii="Arial Narrow" w:hAnsi="Arial Narrow" w:cs="Calibri"/>
                <w:color w:val="000000"/>
                <w:sz w:val="18"/>
                <w:szCs w:val="18"/>
              </w:rPr>
            </w:pPr>
            <w:r w:rsidRPr="002D7AEC">
              <w:rPr>
                <w:rFonts w:ascii="Arial Narrow" w:hAnsi="Arial Narrow" w:cs="Calibri"/>
                <w:color w:val="000000"/>
                <w:sz w:val="18"/>
                <w:szCs w:val="18"/>
              </w:rPr>
              <w:t>2</w:t>
            </w:r>
          </w:p>
        </w:tc>
        <w:tc>
          <w:tcPr>
            <w:tcW w:w="822" w:type="dxa"/>
            <w:noWrap/>
            <w:hideMark/>
          </w:tcPr>
          <w:p w14:paraId="5A80FAA8" w14:textId="08023274"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7CDE9FBE" w14:textId="77777777" w:rsidTr="00DA582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14:paraId="6D5C364A" w14:textId="77777777" w:rsidR="002D7AEC" w:rsidRPr="002D7AEC" w:rsidRDefault="002D7AEC" w:rsidP="002D7AEC">
            <w:pPr>
              <w:spacing w:after="0"/>
              <w:rPr>
                <w:rFonts w:ascii="Arial Narrow" w:hAnsi="Arial Narrow" w:cs="Calibri"/>
                <w:i/>
                <w:iCs/>
                <w:color w:val="000000"/>
                <w:sz w:val="18"/>
                <w:szCs w:val="18"/>
              </w:rPr>
            </w:pPr>
            <w:proofErr w:type="spellStart"/>
            <w:r w:rsidRPr="002D7AEC">
              <w:rPr>
                <w:rFonts w:ascii="Arial Narrow" w:hAnsi="Arial Narrow" w:cs="Calibri"/>
                <w:i/>
                <w:iCs/>
                <w:color w:val="000000"/>
                <w:sz w:val="18"/>
                <w:szCs w:val="18"/>
              </w:rPr>
              <w:t>Nannizziopsis</w:t>
            </w:r>
            <w:proofErr w:type="spellEnd"/>
            <w:r w:rsidRPr="002D7AEC">
              <w:rPr>
                <w:rFonts w:ascii="Arial Narrow" w:hAnsi="Arial Narrow" w:cs="Calibri"/>
                <w:i/>
                <w:iCs/>
                <w:color w:val="000000"/>
                <w:sz w:val="18"/>
                <w:szCs w:val="18"/>
              </w:rPr>
              <w:t xml:space="preserve"> </w:t>
            </w:r>
            <w:proofErr w:type="spellStart"/>
            <w:r w:rsidRPr="002D7AEC">
              <w:rPr>
                <w:rFonts w:ascii="Arial Narrow" w:hAnsi="Arial Narrow" w:cs="Calibri"/>
                <w:i/>
                <w:iCs/>
                <w:color w:val="000000"/>
                <w:sz w:val="18"/>
                <w:szCs w:val="18"/>
              </w:rPr>
              <w:t>barbatae</w:t>
            </w:r>
            <w:proofErr w:type="spellEnd"/>
          </w:p>
        </w:tc>
        <w:tc>
          <w:tcPr>
            <w:tcW w:w="0" w:type="dxa"/>
            <w:shd w:val="clear" w:color="auto" w:fill="CCDBEA"/>
            <w:noWrap/>
            <w:hideMark/>
          </w:tcPr>
          <w:p w14:paraId="059BAB46"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0" w:type="dxa"/>
            <w:shd w:val="clear" w:color="auto" w:fill="auto"/>
            <w:noWrap/>
            <w:hideMark/>
          </w:tcPr>
          <w:p w14:paraId="40064F9B" w14:textId="35E271F3"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 xml:space="preserve">Lizard Fungal </w:t>
            </w:r>
            <w:r w:rsidR="0051146F">
              <w:rPr>
                <w:rFonts w:ascii="Arial Narrow" w:hAnsi="Arial Narrow" w:cs="Calibri"/>
                <w:color w:val="000000"/>
                <w:sz w:val="18"/>
                <w:szCs w:val="18"/>
              </w:rPr>
              <w:t>D</w:t>
            </w:r>
            <w:r w:rsidRPr="002D7AEC">
              <w:rPr>
                <w:rFonts w:ascii="Arial Narrow" w:hAnsi="Arial Narrow" w:cs="Calibri"/>
                <w:color w:val="000000"/>
                <w:sz w:val="18"/>
                <w:szCs w:val="18"/>
              </w:rPr>
              <w:t>isease</w:t>
            </w:r>
          </w:p>
        </w:tc>
        <w:tc>
          <w:tcPr>
            <w:tcW w:w="0" w:type="dxa"/>
            <w:shd w:val="clear" w:color="auto" w:fill="CCDBEA"/>
            <w:noWrap/>
            <w:hideMark/>
          </w:tcPr>
          <w:p w14:paraId="4D28C978"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Dragons</w:t>
            </w:r>
          </w:p>
        </w:tc>
        <w:tc>
          <w:tcPr>
            <w:tcW w:w="0" w:type="dxa"/>
            <w:shd w:val="clear" w:color="auto" w:fill="auto"/>
            <w:noWrap/>
            <w:hideMark/>
          </w:tcPr>
          <w:p w14:paraId="30C5EA78" w14:textId="4B3A4C3F" w:rsidR="002D7AEC" w:rsidRPr="002D7AEC" w:rsidRDefault="0051146F"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R</w:t>
            </w:r>
            <w:r w:rsidR="002D7AEC" w:rsidRPr="002D7AEC">
              <w:rPr>
                <w:rFonts w:ascii="Arial Narrow" w:hAnsi="Arial Narrow" w:cs="Calibri"/>
                <w:color w:val="000000"/>
                <w:sz w:val="18"/>
                <w:szCs w:val="18"/>
              </w:rPr>
              <w:t>eptiles</w:t>
            </w:r>
          </w:p>
        </w:tc>
        <w:tc>
          <w:tcPr>
            <w:tcW w:w="0" w:type="dxa"/>
            <w:shd w:val="clear" w:color="auto" w:fill="CCDBEA"/>
            <w:noWrap/>
            <w:hideMark/>
          </w:tcPr>
          <w:p w14:paraId="33C0CA52" w14:textId="4E7EFCB2"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4.</w:t>
            </w:r>
            <w:r w:rsidR="003F3FB2" w:rsidRPr="00E65688">
              <w:rPr>
                <w:rFonts w:ascii="Arial Narrow" w:hAnsi="Arial Narrow" w:cs="Calibri"/>
                <w:color w:val="000000"/>
                <w:sz w:val="18"/>
                <w:szCs w:val="18"/>
              </w:rPr>
              <w:t>7</w:t>
            </w:r>
          </w:p>
        </w:tc>
        <w:tc>
          <w:tcPr>
            <w:tcW w:w="1276" w:type="dxa"/>
            <w:shd w:val="clear" w:color="auto" w:fill="auto"/>
            <w:noWrap/>
            <w:hideMark/>
          </w:tcPr>
          <w:p w14:paraId="061E85A2"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tcW w:w="1134" w:type="dxa"/>
            <w:shd w:val="clear" w:color="auto" w:fill="CCDBEA"/>
            <w:noWrap/>
            <w:hideMark/>
          </w:tcPr>
          <w:p w14:paraId="5BF94329"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3</w:t>
            </w:r>
          </w:p>
        </w:tc>
        <w:tc>
          <w:tcPr>
            <w:tcW w:w="822" w:type="dxa"/>
            <w:shd w:val="clear" w:color="auto" w:fill="auto"/>
            <w:noWrap/>
            <w:hideMark/>
          </w:tcPr>
          <w:p w14:paraId="0492554A" w14:textId="0BE0F914"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52D2399E" w14:textId="77777777" w:rsidTr="00DA582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14:paraId="03A32E25" w14:textId="77777777" w:rsidR="002D7AEC" w:rsidRPr="002D7AEC" w:rsidRDefault="002D7AEC" w:rsidP="002D7AEC">
            <w:pPr>
              <w:spacing w:after="0"/>
              <w:rPr>
                <w:rFonts w:ascii="Arial Narrow" w:hAnsi="Arial Narrow" w:cs="Calibri"/>
                <w:i/>
                <w:iCs/>
                <w:color w:val="000000"/>
                <w:sz w:val="18"/>
                <w:szCs w:val="18"/>
              </w:rPr>
            </w:pPr>
            <w:proofErr w:type="spellStart"/>
            <w:r w:rsidRPr="002D7AEC">
              <w:rPr>
                <w:rFonts w:ascii="Arial Narrow" w:hAnsi="Arial Narrow" w:cs="Calibri"/>
                <w:i/>
                <w:iCs/>
                <w:color w:val="000000"/>
                <w:sz w:val="18"/>
                <w:szCs w:val="18"/>
              </w:rPr>
              <w:t>Nannizziopsis</w:t>
            </w:r>
            <w:proofErr w:type="spellEnd"/>
            <w:r w:rsidRPr="002D7AEC">
              <w:rPr>
                <w:rFonts w:ascii="Arial Narrow" w:hAnsi="Arial Narrow" w:cs="Calibri"/>
                <w:i/>
                <w:iCs/>
                <w:color w:val="000000"/>
                <w:sz w:val="18"/>
                <w:szCs w:val="18"/>
              </w:rPr>
              <w:t xml:space="preserve"> </w:t>
            </w:r>
            <w:proofErr w:type="spellStart"/>
            <w:r w:rsidRPr="002D7AEC">
              <w:rPr>
                <w:rFonts w:ascii="Arial Narrow" w:hAnsi="Arial Narrow" w:cs="Calibri"/>
                <w:i/>
                <w:iCs/>
                <w:color w:val="000000"/>
                <w:sz w:val="18"/>
                <w:szCs w:val="18"/>
              </w:rPr>
              <w:t>barbatae</w:t>
            </w:r>
            <w:proofErr w:type="spellEnd"/>
          </w:p>
        </w:tc>
        <w:tc>
          <w:tcPr>
            <w:tcW w:w="0" w:type="dxa"/>
            <w:shd w:val="clear" w:color="auto" w:fill="CCDBEA"/>
            <w:noWrap/>
            <w:hideMark/>
          </w:tcPr>
          <w:p w14:paraId="262DE722"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0" w:type="dxa"/>
            <w:shd w:val="clear" w:color="auto" w:fill="auto"/>
            <w:noWrap/>
            <w:hideMark/>
          </w:tcPr>
          <w:p w14:paraId="4A08C4D7" w14:textId="168BE5FB"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 xml:space="preserve">Lizard Fungal </w:t>
            </w:r>
            <w:r w:rsidR="0051146F">
              <w:rPr>
                <w:rFonts w:ascii="Arial Narrow" w:hAnsi="Arial Narrow" w:cs="Calibri"/>
                <w:color w:val="000000"/>
                <w:sz w:val="18"/>
                <w:szCs w:val="18"/>
              </w:rPr>
              <w:t>D</w:t>
            </w:r>
            <w:r w:rsidRPr="002D7AEC">
              <w:rPr>
                <w:rFonts w:ascii="Arial Narrow" w:hAnsi="Arial Narrow" w:cs="Calibri"/>
                <w:color w:val="000000"/>
                <w:sz w:val="18"/>
                <w:szCs w:val="18"/>
              </w:rPr>
              <w:t>isease</w:t>
            </w:r>
          </w:p>
        </w:tc>
        <w:tc>
          <w:tcPr>
            <w:tcW w:w="0" w:type="dxa"/>
            <w:shd w:val="clear" w:color="auto" w:fill="CCDBEA"/>
            <w:noWrap/>
            <w:hideMark/>
          </w:tcPr>
          <w:p w14:paraId="4D743C81"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Skinks</w:t>
            </w:r>
          </w:p>
        </w:tc>
        <w:tc>
          <w:tcPr>
            <w:tcW w:w="0" w:type="dxa"/>
            <w:shd w:val="clear" w:color="auto" w:fill="auto"/>
            <w:noWrap/>
            <w:hideMark/>
          </w:tcPr>
          <w:p w14:paraId="7F41F6E1"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reptiles</w:t>
            </w:r>
          </w:p>
        </w:tc>
        <w:tc>
          <w:tcPr>
            <w:tcW w:w="0" w:type="dxa"/>
            <w:shd w:val="clear" w:color="auto" w:fill="CCDBEA"/>
            <w:noWrap/>
            <w:hideMark/>
          </w:tcPr>
          <w:p w14:paraId="20A903A9" w14:textId="3F0B0EE9"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4.</w:t>
            </w:r>
            <w:r w:rsidR="003F3FB2" w:rsidRPr="00E65688">
              <w:rPr>
                <w:rFonts w:ascii="Arial Narrow" w:hAnsi="Arial Narrow" w:cs="Calibri"/>
                <w:color w:val="000000"/>
                <w:sz w:val="18"/>
                <w:szCs w:val="18"/>
              </w:rPr>
              <w:t>7</w:t>
            </w:r>
          </w:p>
        </w:tc>
        <w:tc>
          <w:tcPr>
            <w:tcW w:w="1276" w:type="dxa"/>
            <w:shd w:val="clear" w:color="auto" w:fill="auto"/>
            <w:noWrap/>
            <w:hideMark/>
          </w:tcPr>
          <w:p w14:paraId="0EFE2FDB"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tcW w:w="1134" w:type="dxa"/>
            <w:shd w:val="clear" w:color="auto" w:fill="CCDBEA"/>
            <w:noWrap/>
            <w:hideMark/>
          </w:tcPr>
          <w:p w14:paraId="487EA6A5"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3</w:t>
            </w:r>
          </w:p>
        </w:tc>
        <w:tc>
          <w:tcPr>
            <w:tcW w:w="822" w:type="dxa"/>
            <w:shd w:val="clear" w:color="auto" w:fill="auto"/>
            <w:noWrap/>
            <w:hideMark/>
          </w:tcPr>
          <w:p w14:paraId="3DCBE9B9" w14:textId="38FBCDA3"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r w:rsidR="0051146F" w:rsidRPr="002D7AEC" w14:paraId="78FE994A" w14:textId="77777777" w:rsidTr="00DA582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14:paraId="65F95350" w14:textId="77777777" w:rsidR="002D7AEC" w:rsidRPr="002D7AEC" w:rsidRDefault="002D7AEC" w:rsidP="002D7AEC">
            <w:pPr>
              <w:spacing w:after="0"/>
              <w:rPr>
                <w:rFonts w:ascii="Arial Narrow" w:hAnsi="Arial Narrow" w:cs="Calibri"/>
                <w:i/>
                <w:iCs/>
                <w:color w:val="000000"/>
                <w:sz w:val="18"/>
                <w:szCs w:val="18"/>
              </w:rPr>
            </w:pPr>
            <w:proofErr w:type="spellStart"/>
            <w:r w:rsidRPr="002D7AEC">
              <w:rPr>
                <w:rFonts w:ascii="Arial Narrow" w:hAnsi="Arial Narrow" w:cs="Calibri"/>
                <w:i/>
                <w:iCs/>
                <w:color w:val="000000"/>
                <w:sz w:val="18"/>
                <w:szCs w:val="18"/>
              </w:rPr>
              <w:t>Paranannizziopsis</w:t>
            </w:r>
            <w:proofErr w:type="spellEnd"/>
            <w:r w:rsidRPr="002D7AEC">
              <w:rPr>
                <w:rFonts w:ascii="Arial Narrow" w:hAnsi="Arial Narrow" w:cs="Calibri"/>
                <w:i/>
                <w:iCs/>
                <w:color w:val="000000"/>
                <w:sz w:val="18"/>
                <w:szCs w:val="18"/>
              </w:rPr>
              <w:t xml:space="preserve"> </w:t>
            </w:r>
            <w:proofErr w:type="spellStart"/>
            <w:r w:rsidRPr="002D7AEC">
              <w:rPr>
                <w:rFonts w:ascii="Arial Narrow" w:hAnsi="Arial Narrow" w:cs="Calibri"/>
                <w:i/>
                <w:iCs/>
                <w:color w:val="000000"/>
                <w:sz w:val="18"/>
                <w:szCs w:val="18"/>
              </w:rPr>
              <w:t>australasiensis</w:t>
            </w:r>
            <w:proofErr w:type="spellEnd"/>
          </w:p>
        </w:tc>
        <w:tc>
          <w:tcPr>
            <w:tcW w:w="0" w:type="dxa"/>
            <w:shd w:val="clear" w:color="auto" w:fill="CCDBEA"/>
            <w:noWrap/>
            <w:hideMark/>
          </w:tcPr>
          <w:p w14:paraId="28FE1A00"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Fungal</w:t>
            </w:r>
          </w:p>
        </w:tc>
        <w:tc>
          <w:tcPr>
            <w:tcW w:w="0" w:type="dxa"/>
            <w:shd w:val="clear" w:color="auto" w:fill="auto"/>
            <w:noWrap/>
            <w:hideMark/>
          </w:tcPr>
          <w:p w14:paraId="37384818" w14:textId="4B09E402"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 xml:space="preserve">Snake </w:t>
            </w:r>
            <w:r w:rsidR="0051146F">
              <w:rPr>
                <w:rFonts w:ascii="Arial Narrow" w:hAnsi="Arial Narrow" w:cs="Calibri"/>
                <w:color w:val="000000"/>
                <w:sz w:val="18"/>
                <w:szCs w:val="18"/>
              </w:rPr>
              <w:t>F</w:t>
            </w:r>
            <w:r w:rsidRPr="002D7AEC">
              <w:rPr>
                <w:rFonts w:ascii="Arial Narrow" w:hAnsi="Arial Narrow" w:cs="Calibri"/>
                <w:color w:val="000000"/>
                <w:sz w:val="18"/>
                <w:szCs w:val="18"/>
              </w:rPr>
              <w:t xml:space="preserve">ungal </w:t>
            </w:r>
            <w:r w:rsidR="0051146F">
              <w:rPr>
                <w:rFonts w:ascii="Arial Narrow" w:hAnsi="Arial Narrow" w:cs="Calibri"/>
                <w:color w:val="000000"/>
                <w:sz w:val="18"/>
                <w:szCs w:val="18"/>
              </w:rPr>
              <w:t>D</w:t>
            </w:r>
            <w:r w:rsidRPr="002D7AEC">
              <w:rPr>
                <w:rFonts w:ascii="Arial Narrow" w:hAnsi="Arial Narrow" w:cs="Calibri"/>
                <w:color w:val="000000"/>
                <w:sz w:val="18"/>
                <w:szCs w:val="18"/>
              </w:rPr>
              <w:t>isease</w:t>
            </w:r>
          </w:p>
        </w:tc>
        <w:tc>
          <w:tcPr>
            <w:tcW w:w="0" w:type="dxa"/>
            <w:shd w:val="clear" w:color="auto" w:fill="CCDBEA"/>
            <w:noWrap/>
            <w:hideMark/>
          </w:tcPr>
          <w:p w14:paraId="05328F3F"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Reptiles</w:t>
            </w:r>
          </w:p>
        </w:tc>
        <w:tc>
          <w:tcPr>
            <w:tcW w:w="0" w:type="dxa"/>
            <w:shd w:val="clear" w:color="auto" w:fill="auto"/>
            <w:noWrap/>
            <w:hideMark/>
          </w:tcPr>
          <w:p w14:paraId="7FAE2525" w14:textId="77777777"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reptiles</w:t>
            </w:r>
          </w:p>
        </w:tc>
        <w:tc>
          <w:tcPr>
            <w:tcW w:w="0" w:type="dxa"/>
            <w:shd w:val="clear" w:color="auto" w:fill="CCDBEA"/>
            <w:noWrap/>
            <w:hideMark/>
          </w:tcPr>
          <w:p w14:paraId="56D404A9" w14:textId="2DF19495"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4.</w:t>
            </w:r>
            <w:r w:rsidR="003F3FB2" w:rsidRPr="00E65688">
              <w:rPr>
                <w:rFonts w:ascii="Arial Narrow" w:hAnsi="Arial Narrow" w:cs="Calibri"/>
                <w:color w:val="000000"/>
                <w:sz w:val="18"/>
                <w:szCs w:val="18"/>
              </w:rPr>
              <w:t>7</w:t>
            </w:r>
          </w:p>
        </w:tc>
        <w:tc>
          <w:tcPr>
            <w:tcW w:w="1276" w:type="dxa"/>
            <w:shd w:val="clear" w:color="auto" w:fill="auto"/>
            <w:noWrap/>
            <w:hideMark/>
          </w:tcPr>
          <w:p w14:paraId="1EC3A9ED"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5</w:t>
            </w:r>
          </w:p>
        </w:tc>
        <w:tc>
          <w:tcPr>
            <w:tcW w:w="1134" w:type="dxa"/>
            <w:shd w:val="clear" w:color="auto" w:fill="CCDBEA"/>
            <w:noWrap/>
            <w:hideMark/>
          </w:tcPr>
          <w:p w14:paraId="535ABD77" w14:textId="77777777" w:rsidR="002D7AEC" w:rsidRPr="002D7AEC" w:rsidRDefault="002D7AEC" w:rsidP="007C2462">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3</w:t>
            </w:r>
          </w:p>
        </w:tc>
        <w:tc>
          <w:tcPr>
            <w:tcW w:w="822" w:type="dxa"/>
            <w:shd w:val="clear" w:color="auto" w:fill="auto"/>
            <w:noWrap/>
            <w:hideMark/>
          </w:tcPr>
          <w:p w14:paraId="5B236C4C" w14:textId="1F27B069" w:rsidR="002D7AEC" w:rsidRPr="002D7AEC" w:rsidRDefault="002D7AEC" w:rsidP="002D7AEC">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D7AEC">
              <w:rPr>
                <w:rFonts w:ascii="Arial Narrow" w:hAnsi="Arial Narrow" w:cs="Calibri"/>
                <w:color w:val="000000"/>
                <w:sz w:val="18"/>
                <w:szCs w:val="18"/>
              </w:rPr>
              <w:t>High</w:t>
            </w:r>
          </w:p>
        </w:tc>
      </w:tr>
    </w:tbl>
    <w:p w14:paraId="6CA7C46D" w14:textId="77777777" w:rsidR="00796EA3" w:rsidRPr="00243764" w:rsidRDefault="00796EA3" w:rsidP="0071429D">
      <w:pPr>
        <w:pStyle w:val="Heading1"/>
        <w:sectPr w:rsidR="00796EA3" w:rsidRPr="00243764" w:rsidSect="00081EAB">
          <w:pgSz w:w="16840" w:h="11907" w:orient="landscape" w:code="9"/>
          <w:pgMar w:top="1134" w:right="1134" w:bottom="1134" w:left="1134" w:header="709" w:footer="567" w:gutter="0"/>
          <w:cols w:space="708"/>
          <w:formProt w:val="0"/>
          <w:titlePg/>
          <w:docGrid w:linePitch="360"/>
        </w:sectPr>
      </w:pPr>
    </w:p>
    <w:p w14:paraId="03DAB6F1" w14:textId="592424A3" w:rsidR="00CD74A7" w:rsidRPr="007E3CDB" w:rsidRDefault="00CD74A7" w:rsidP="00B0078C">
      <w:pPr>
        <w:pStyle w:val="Caption-Table"/>
      </w:pPr>
      <w:bookmarkStart w:id="70" w:name="_Toc198634142"/>
      <w:bookmarkStart w:id="71" w:name="_Ref369778966"/>
      <w:bookmarkStart w:id="72" w:name="_Toc409798415"/>
      <w:bookmarkStart w:id="73" w:name="_Toc286018768"/>
      <w:r w:rsidRPr="00B0078C">
        <w:lastRenderedPageBreak/>
        <w:t>Table</w:t>
      </w:r>
      <w:r w:rsidRPr="007E3CDB">
        <w:t xml:space="preserve"> </w:t>
      </w:r>
      <w:r w:rsidR="00B412B1">
        <w:t>10</w:t>
      </w:r>
      <w:r w:rsidRPr="007E3CDB">
        <w:t xml:space="preserve">. </w:t>
      </w:r>
      <w:r>
        <w:t xml:space="preserve">Diseases with Extreme and High </w:t>
      </w:r>
      <w:r w:rsidRPr="001F5B18">
        <w:t>economic</w:t>
      </w:r>
      <w:r>
        <w:t xml:space="preserve"> risk ratings in the </w:t>
      </w:r>
      <w:r w:rsidR="00C30F84">
        <w:t>disease risk assessment</w:t>
      </w:r>
      <w:bookmarkEnd w:id="70"/>
    </w:p>
    <w:p w14:paraId="12E159CA" w14:textId="085DAB79" w:rsidR="00480D00" w:rsidRPr="00646AE8" w:rsidRDefault="00CD74A7" w:rsidP="00CD74A7">
      <w:pPr>
        <w:pStyle w:val="Legend-Table"/>
      </w:pPr>
      <w:r>
        <w:t xml:space="preserve">All other assessments had risk ratings of Moderate or lower. The full </w:t>
      </w:r>
      <w:r w:rsidR="0051146F">
        <w:t>W</w:t>
      </w:r>
      <w:r>
        <w:t xml:space="preserve">DRA results can be found in the </w:t>
      </w:r>
      <w:r w:rsidR="00C942D5">
        <w:t>supplementary a</w:t>
      </w:r>
      <w:r>
        <w:t>ppendix</w:t>
      </w:r>
      <w:r w:rsidR="008D0AD4">
        <w:t>.</w:t>
      </w:r>
    </w:p>
    <w:tbl>
      <w:tblPr>
        <w:tblStyle w:val="TableGrid10"/>
        <w:tblW w:w="14855" w:type="dxa"/>
        <w:tblLayout w:type="fixed"/>
        <w:tblLook w:val="01E0" w:firstRow="1" w:lastRow="1" w:firstColumn="1" w:lastColumn="1" w:noHBand="0" w:noVBand="0"/>
      </w:tblPr>
      <w:tblGrid>
        <w:gridCol w:w="2523"/>
        <w:gridCol w:w="1364"/>
        <w:gridCol w:w="3314"/>
        <w:gridCol w:w="2410"/>
        <w:gridCol w:w="992"/>
        <w:gridCol w:w="992"/>
        <w:gridCol w:w="1271"/>
        <w:gridCol w:w="1038"/>
        <w:gridCol w:w="951"/>
      </w:tblGrid>
      <w:tr w:rsidR="00410D13" w:rsidRPr="00243764" w14:paraId="1403D5C0" w14:textId="77777777" w:rsidTr="00FB603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23" w:type="dxa"/>
          </w:tcPr>
          <w:p w14:paraId="028800FF" w14:textId="77777777" w:rsidR="00CD74A7" w:rsidRPr="00E65688" w:rsidRDefault="00CD74A7">
            <w:pPr>
              <w:pStyle w:val="Tableheadingtext"/>
              <w:rPr>
                <w:rFonts w:ascii="Arial Narrow" w:hAnsi="Arial Narrow"/>
                <w:sz w:val="18"/>
                <w:szCs w:val="18"/>
              </w:rPr>
            </w:pPr>
            <w:r w:rsidRPr="00E65688">
              <w:rPr>
                <w:rFonts w:ascii="Arial Narrow" w:hAnsi="Arial Narrow"/>
                <w:sz w:val="18"/>
                <w:szCs w:val="18"/>
              </w:rPr>
              <w:t>Pathogen</w:t>
            </w:r>
          </w:p>
        </w:tc>
        <w:tc>
          <w:tcPr>
            <w:cnfStyle w:val="000010000000" w:firstRow="0" w:lastRow="0" w:firstColumn="0" w:lastColumn="0" w:oddVBand="1" w:evenVBand="0" w:oddHBand="0" w:evenHBand="0" w:firstRowFirstColumn="0" w:firstRowLastColumn="0" w:lastRowFirstColumn="0" w:lastRowLastColumn="0"/>
            <w:tcW w:w="1364" w:type="dxa"/>
          </w:tcPr>
          <w:p w14:paraId="369AEDB6" w14:textId="77777777" w:rsidR="00CD74A7" w:rsidRPr="00E65688" w:rsidRDefault="00CD74A7">
            <w:pPr>
              <w:pStyle w:val="Tableheadingtext"/>
              <w:rPr>
                <w:rFonts w:ascii="Arial Narrow" w:hAnsi="Arial Narrow"/>
                <w:sz w:val="18"/>
                <w:szCs w:val="18"/>
              </w:rPr>
            </w:pPr>
            <w:r w:rsidRPr="00E65688">
              <w:rPr>
                <w:rFonts w:ascii="Arial Narrow" w:hAnsi="Arial Narrow"/>
                <w:sz w:val="18"/>
                <w:szCs w:val="18"/>
              </w:rPr>
              <w:t>Pathogen type</w:t>
            </w:r>
          </w:p>
        </w:tc>
        <w:tc>
          <w:tcPr>
            <w:tcW w:w="3314" w:type="dxa"/>
          </w:tcPr>
          <w:p w14:paraId="709E2600" w14:textId="77777777" w:rsidR="00CD74A7" w:rsidRPr="00E65688" w:rsidRDefault="00CD74A7">
            <w:pPr>
              <w:pStyle w:val="Tableheadingtext"/>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E65688">
              <w:rPr>
                <w:rFonts w:ascii="Arial Narrow" w:hAnsi="Arial Narrow"/>
                <w:sz w:val="18"/>
                <w:szCs w:val="18"/>
              </w:rPr>
              <w:t>Disease</w:t>
            </w:r>
          </w:p>
        </w:tc>
        <w:tc>
          <w:tcPr>
            <w:cnfStyle w:val="000010000000" w:firstRow="0" w:lastRow="0" w:firstColumn="0" w:lastColumn="0" w:oddVBand="1" w:evenVBand="0" w:oddHBand="0" w:evenHBand="0" w:firstRowFirstColumn="0" w:firstRowLastColumn="0" w:lastRowFirstColumn="0" w:lastRowLastColumn="0"/>
            <w:tcW w:w="2410" w:type="dxa"/>
          </w:tcPr>
          <w:p w14:paraId="7E24B865" w14:textId="77777777" w:rsidR="00CD74A7" w:rsidRPr="00E65688" w:rsidRDefault="00CD74A7">
            <w:pPr>
              <w:pStyle w:val="Tableheadingtext"/>
              <w:rPr>
                <w:rFonts w:ascii="Arial Narrow" w:hAnsi="Arial Narrow"/>
                <w:sz w:val="18"/>
                <w:szCs w:val="18"/>
              </w:rPr>
            </w:pPr>
            <w:r w:rsidRPr="00E65688">
              <w:rPr>
                <w:rFonts w:ascii="Arial Narrow" w:hAnsi="Arial Narrow"/>
                <w:sz w:val="18"/>
                <w:szCs w:val="18"/>
              </w:rPr>
              <w:t>Host species</w:t>
            </w:r>
          </w:p>
        </w:tc>
        <w:tc>
          <w:tcPr>
            <w:tcW w:w="992" w:type="dxa"/>
          </w:tcPr>
          <w:p w14:paraId="61C2F832" w14:textId="77777777" w:rsidR="00CD74A7" w:rsidRPr="00E65688" w:rsidRDefault="00CD74A7">
            <w:pPr>
              <w:pStyle w:val="Tableheadingtext"/>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E65688">
              <w:rPr>
                <w:rFonts w:ascii="Arial Narrow" w:hAnsi="Arial Narrow"/>
                <w:sz w:val="18"/>
                <w:szCs w:val="18"/>
              </w:rPr>
              <w:t>Group</w:t>
            </w:r>
          </w:p>
        </w:tc>
        <w:tc>
          <w:tcPr>
            <w:cnfStyle w:val="000010000000" w:firstRow="0" w:lastRow="0" w:firstColumn="0" w:lastColumn="0" w:oddVBand="1" w:evenVBand="0" w:oddHBand="0" w:evenHBand="0" w:firstRowFirstColumn="0" w:firstRowLastColumn="0" w:lastRowFirstColumn="0" w:lastRowLastColumn="0"/>
            <w:tcW w:w="992" w:type="dxa"/>
          </w:tcPr>
          <w:p w14:paraId="0FB87999" w14:textId="77777777" w:rsidR="00CD74A7" w:rsidRPr="00E65688" w:rsidRDefault="00CD74A7" w:rsidP="00FB603C">
            <w:pPr>
              <w:pStyle w:val="Tableheadingtext"/>
              <w:jc w:val="center"/>
              <w:rPr>
                <w:rFonts w:ascii="Arial Narrow" w:hAnsi="Arial Narrow"/>
                <w:sz w:val="18"/>
                <w:szCs w:val="18"/>
              </w:rPr>
            </w:pPr>
            <w:r w:rsidRPr="00E65688">
              <w:rPr>
                <w:rFonts w:ascii="Arial Narrow" w:hAnsi="Arial Narrow"/>
                <w:sz w:val="18"/>
                <w:szCs w:val="18"/>
              </w:rPr>
              <w:t>Likelihood</w:t>
            </w:r>
          </w:p>
        </w:tc>
        <w:tc>
          <w:tcPr>
            <w:tcW w:w="1271" w:type="dxa"/>
          </w:tcPr>
          <w:p w14:paraId="331D977C" w14:textId="77777777" w:rsidR="00CD74A7" w:rsidRPr="00E65688" w:rsidRDefault="00CD74A7" w:rsidP="00FB603C">
            <w:pPr>
              <w:pStyle w:val="Tableheadingtext"/>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Pr>
                <w:rFonts w:ascii="Arial Narrow" w:hAnsi="Arial Narrow"/>
                <w:sz w:val="18"/>
                <w:szCs w:val="18"/>
              </w:rPr>
              <w:t>C</w:t>
            </w:r>
            <w:r w:rsidRPr="00E65688">
              <w:rPr>
                <w:rFonts w:ascii="Arial Narrow" w:hAnsi="Arial Narrow"/>
                <w:sz w:val="18"/>
                <w:szCs w:val="18"/>
              </w:rPr>
              <w:t>onsequence</w:t>
            </w:r>
          </w:p>
        </w:tc>
        <w:tc>
          <w:tcPr>
            <w:cnfStyle w:val="000010000000" w:firstRow="0" w:lastRow="0" w:firstColumn="0" w:lastColumn="0" w:oddVBand="1" w:evenVBand="0" w:oddHBand="0" w:evenHBand="0" w:firstRowFirstColumn="0" w:firstRowLastColumn="0" w:lastRowFirstColumn="0" w:lastRowLastColumn="0"/>
            <w:tcW w:w="1038" w:type="dxa"/>
          </w:tcPr>
          <w:p w14:paraId="11492CAB" w14:textId="77777777" w:rsidR="00CD74A7" w:rsidRPr="00E65688" w:rsidRDefault="00CD74A7" w:rsidP="00FB603C">
            <w:pPr>
              <w:pStyle w:val="Tableheadingtext"/>
              <w:jc w:val="center"/>
              <w:rPr>
                <w:rFonts w:ascii="Arial Narrow" w:hAnsi="Arial Narrow"/>
                <w:sz w:val="18"/>
                <w:szCs w:val="18"/>
              </w:rPr>
            </w:pPr>
            <w:r w:rsidRPr="00E65688">
              <w:rPr>
                <w:rFonts w:ascii="Arial Narrow" w:hAnsi="Arial Narrow"/>
                <w:sz w:val="18"/>
                <w:szCs w:val="18"/>
              </w:rPr>
              <w:t>Uncertainty</w:t>
            </w:r>
          </w:p>
        </w:tc>
        <w:tc>
          <w:tcPr>
            <w:tcW w:w="951" w:type="dxa"/>
          </w:tcPr>
          <w:p w14:paraId="3F434D93" w14:textId="77777777" w:rsidR="00CD74A7" w:rsidRPr="00E65688" w:rsidRDefault="00CD74A7">
            <w:pPr>
              <w:pStyle w:val="Tableheadingtext"/>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E65688">
              <w:rPr>
                <w:rFonts w:ascii="Arial Narrow" w:hAnsi="Arial Narrow"/>
                <w:sz w:val="18"/>
                <w:szCs w:val="18"/>
              </w:rPr>
              <w:t>Risk</w:t>
            </w:r>
          </w:p>
        </w:tc>
      </w:tr>
      <w:tr w:rsidR="00BF35F9" w:rsidRPr="00357146" w14:paraId="5DCCE705"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5CD50672" w14:textId="77777777" w:rsidR="00BF35F9" w:rsidRPr="00357146" w:rsidRDefault="00BF35F9" w:rsidP="00357146">
            <w:pPr>
              <w:spacing w:after="0"/>
              <w:rPr>
                <w:rFonts w:ascii="Arial Narrow" w:hAnsi="Arial Narrow" w:cs="Calibri"/>
                <w:i/>
                <w:iCs/>
                <w:color w:val="000000"/>
                <w:sz w:val="18"/>
                <w:szCs w:val="18"/>
              </w:rPr>
            </w:pPr>
            <w:r w:rsidRPr="00357146">
              <w:rPr>
                <w:rFonts w:ascii="Arial Narrow" w:hAnsi="Arial Narrow" w:cs="Calibri"/>
                <w:i/>
                <w:iCs/>
                <w:color w:val="000000"/>
                <w:sz w:val="18"/>
                <w:szCs w:val="18"/>
              </w:rPr>
              <w:t xml:space="preserve">Aphthae </w:t>
            </w:r>
            <w:proofErr w:type="spellStart"/>
            <w:r w:rsidRPr="00357146">
              <w:rPr>
                <w:rFonts w:ascii="Arial Narrow" w:hAnsi="Arial Narrow" w:cs="Calibri"/>
                <w:i/>
                <w:iCs/>
                <w:color w:val="000000"/>
                <w:sz w:val="18"/>
                <w:szCs w:val="18"/>
              </w:rPr>
              <w:t>epizooticae</w:t>
            </w:r>
            <w:proofErr w:type="spellEnd"/>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73653800" w14:textId="77777777" w:rsidR="00BF35F9" w:rsidRPr="00357146" w:rsidRDefault="00BF35F9" w:rsidP="00357146">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0D224A1F" w14:textId="557CEB34" w:rsidR="00BF35F9" w:rsidRPr="00357146" w:rsidRDefault="00BF35F9" w:rsidP="0035714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Foot</w:t>
            </w:r>
            <w:r w:rsidR="0051146F">
              <w:rPr>
                <w:rFonts w:ascii="Arial Narrow" w:hAnsi="Arial Narrow" w:cs="Calibri"/>
                <w:color w:val="000000"/>
                <w:sz w:val="18"/>
                <w:szCs w:val="18"/>
              </w:rPr>
              <w:t xml:space="preserve"> and Mouth</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77822CF3" w14:textId="77777777" w:rsidR="00BF35F9" w:rsidRPr="00357146" w:rsidRDefault="00BF35F9" w:rsidP="00357146">
            <w:pPr>
              <w:spacing w:after="0"/>
              <w:rPr>
                <w:rFonts w:ascii="Arial Narrow" w:hAnsi="Arial Narrow" w:cs="Calibri"/>
                <w:color w:val="000000"/>
                <w:sz w:val="18"/>
                <w:szCs w:val="18"/>
              </w:rPr>
            </w:pPr>
            <w:r w:rsidRPr="00357146">
              <w:rPr>
                <w:rFonts w:ascii="Arial Narrow" w:hAnsi="Arial Narrow" w:cs="Calibri"/>
                <w:color w:val="000000"/>
                <w:sz w:val="18"/>
                <w:szCs w:val="18"/>
              </w:rPr>
              <w:t>Deer</w:t>
            </w:r>
          </w:p>
        </w:tc>
        <w:tc>
          <w:tcPr>
            <w:tcW w:w="992" w:type="dxa"/>
            <w:noWrap/>
            <w:hideMark/>
          </w:tcPr>
          <w:p w14:paraId="58034E20" w14:textId="345818DC" w:rsidR="00BF35F9" w:rsidRPr="00357146" w:rsidRDefault="00F0298E" w:rsidP="0035714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M</w:t>
            </w:r>
            <w:r w:rsidR="00BF35F9" w:rsidRPr="00357146">
              <w:rPr>
                <w:rFonts w:ascii="Arial Narrow" w:hAnsi="Arial Narrow" w:cs="Calibri"/>
                <w:color w:val="000000"/>
                <w:sz w:val="18"/>
                <w:szCs w:val="18"/>
              </w:rPr>
              <w:t>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11D9188A" w14:textId="77777777" w:rsidR="00BF35F9" w:rsidRPr="00357146" w:rsidRDefault="00BF35F9" w:rsidP="00FB603C">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4.</w:t>
            </w:r>
            <w:r>
              <w:rPr>
                <w:rFonts w:ascii="Arial Narrow" w:hAnsi="Arial Narrow" w:cs="Calibri"/>
                <w:color w:val="000000"/>
                <w:sz w:val="18"/>
                <w:szCs w:val="18"/>
              </w:rPr>
              <w:t>7</w:t>
            </w:r>
          </w:p>
        </w:tc>
        <w:tc>
          <w:tcPr>
            <w:tcW w:w="1271" w:type="dxa"/>
            <w:noWrap/>
            <w:hideMark/>
          </w:tcPr>
          <w:p w14:paraId="508F23B9" w14:textId="77777777" w:rsidR="00BF35F9" w:rsidRPr="00357146" w:rsidRDefault="00BF35F9" w:rsidP="00FB603C">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1E5A55E3" w14:textId="77777777" w:rsidR="00BF35F9" w:rsidRPr="00357146" w:rsidRDefault="00BF35F9" w:rsidP="00FB603C">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0A9DAB9A" w14:textId="77777777" w:rsidR="00BF35F9" w:rsidRPr="00357146" w:rsidRDefault="00BF35F9" w:rsidP="0035714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Extreme</w:t>
            </w:r>
          </w:p>
        </w:tc>
      </w:tr>
      <w:tr w:rsidR="00F0298E" w:rsidRPr="00357146" w14:paraId="10F58204"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18C78DE0" w14:textId="77777777" w:rsidR="00F0298E" w:rsidRPr="00357146" w:rsidRDefault="00F0298E" w:rsidP="00F0298E">
            <w:pPr>
              <w:spacing w:after="0"/>
              <w:rPr>
                <w:rFonts w:ascii="Arial Narrow" w:hAnsi="Arial Narrow" w:cs="Calibri"/>
                <w:i/>
                <w:iCs/>
                <w:color w:val="000000"/>
                <w:sz w:val="18"/>
                <w:szCs w:val="18"/>
              </w:rPr>
            </w:pPr>
            <w:r w:rsidRPr="00357146">
              <w:rPr>
                <w:rFonts w:ascii="Arial Narrow" w:hAnsi="Arial Narrow" w:cs="Calibri"/>
                <w:i/>
                <w:iCs/>
                <w:color w:val="000000"/>
                <w:sz w:val="18"/>
                <w:szCs w:val="18"/>
              </w:rPr>
              <w:t xml:space="preserve">Aphthae </w:t>
            </w:r>
            <w:proofErr w:type="spellStart"/>
            <w:r w:rsidRPr="00357146">
              <w:rPr>
                <w:rFonts w:ascii="Arial Narrow" w:hAnsi="Arial Narrow" w:cs="Calibri"/>
                <w:i/>
                <w:iCs/>
                <w:color w:val="000000"/>
                <w:sz w:val="18"/>
                <w:szCs w:val="18"/>
              </w:rPr>
              <w:t>epizooticae</w:t>
            </w:r>
            <w:proofErr w:type="spellEnd"/>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3A9A82CC"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54989D55" w14:textId="32BE8A23"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066B0">
              <w:rPr>
                <w:rFonts w:ascii="Arial Narrow" w:hAnsi="Arial Narrow" w:cs="Calibri"/>
                <w:color w:val="000000"/>
                <w:sz w:val="18"/>
                <w:szCs w:val="18"/>
              </w:rPr>
              <w:t>Foot and Mouth</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7DD89BD1"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Goats</w:t>
            </w:r>
          </w:p>
        </w:tc>
        <w:tc>
          <w:tcPr>
            <w:tcW w:w="992" w:type="dxa"/>
            <w:noWrap/>
            <w:hideMark/>
          </w:tcPr>
          <w:p w14:paraId="79DEAE3D" w14:textId="52C62EDD"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1019A0">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6ECF4A2D"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4.</w:t>
            </w:r>
            <w:r>
              <w:rPr>
                <w:rFonts w:ascii="Arial Narrow" w:hAnsi="Arial Narrow" w:cs="Calibri"/>
                <w:color w:val="000000"/>
                <w:sz w:val="18"/>
                <w:szCs w:val="18"/>
              </w:rPr>
              <w:t>7</w:t>
            </w:r>
          </w:p>
        </w:tc>
        <w:tc>
          <w:tcPr>
            <w:tcW w:w="1271" w:type="dxa"/>
            <w:noWrap/>
            <w:hideMark/>
          </w:tcPr>
          <w:p w14:paraId="215D8F78"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1D55B075"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7B5F4561"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Extreme</w:t>
            </w:r>
          </w:p>
        </w:tc>
      </w:tr>
      <w:tr w:rsidR="00F0298E" w:rsidRPr="00357146" w14:paraId="312C19C1"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35899CF5" w14:textId="77777777" w:rsidR="00F0298E" w:rsidRPr="00357146" w:rsidRDefault="00F0298E" w:rsidP="00F0298E">
            <w:pPr>
              <w:spacing w:after="0"/>
              <w:rPr>
                <w:rFonts w:ascii="Arial Narrow" w:hAnsi="Arial Narrow" w:cs="Calibri"/>
                <w:i/>
                <w:iCs/>
                <w:color w:val="000000"/>
                <w:sz w:val="18"/>
                <w:szCs w:val="18"/>
              </w:rPr>
            </w:pPr>
            <w:r w:rsidRPr="00357146">
              <w:rPr>
                <w:rFonts w:ascii="Arial Narrow" w:hAnsi="Arial Narrow" w:cs="Calibri"/>
                <w:i/>
                <w:iCs/>
                <w:color w:val="000000"/>
                <w:sz w:val="18"/>
                <w:szCs w:val="18"/>
              </w:rPr>
              <w:t xml:space="preserve">Aphthae </w:t>
            </w:r>
            <w:proofErr w:type="spellStart"/>
            <w:r w:rsidRPr="00357146">
              <w:rPr>
                <w:rFonts w:ascii="Arial Narrow" w:hAnsi="Arial Narrow" w:cs="Calibri"/>
                <w:i/>
                <w:iCs/>
                <w:color w:val="000000"/>
                <w:sz w:val="18"/>
                <w:szCs w:val="18"/>
              </w:rPr>
              <w:t>epizooticae</w:t>
            </w:r>
            <w:proofErr w:type="spellEnd"/>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7B57441C"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5DDCCF98" w14:textId="1800BF6F"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066B0">
              <w:rPr>
                <w:rFonts w:ascii="Arial Narrow" w:hAnsi="Arial Narrow" w:cs="Calibri"/>
                <w:color w:val="000000"/>
                <w:sz w:val="18"/>
                <w:szCs w:val="18"/>
              </w:rPr>
              <w:t>Foot and Mouth</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7B14E9EF"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Pigs</w:t>
            </w:r>
          </w:p>
        </w:tc>
        <w:tc>
          <w:tcPr>
            <w:tcW w:w="992" w:type="dxa"/>
            <w:noWrap/>
            <w:hideMark/>
          </w:tcPr>
          <w:p w14:paraId="6C5F6F5B" w14:textId="6FBCD56C"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1019A0">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243FE7E0"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4.</w:t>
            </w:r>
            <w:r>
              <w:rPr>
                <w:rFonts w:ascii="Arial Narrow" w:hAnsi="Arial Narrow" w:cs="Calibri"/>
                <w:color w:val="000000"/>
                <w:sz w:val="18"/>
                <w:szCs w:val="18"/>
              </w:rPr>
              <w:t>7</w:t>
            </w:r>
          </w:p>
        </w:tc>
        <w:tc>
          <w:tcPr>
            <w:tcW w:w="1271" w:type="dxa"/>
            <w:noWrap/>
            <w:hideMark/>
          </w:tcPr>
          <w:p w14:paraId="42AF52EB"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5B0CD357"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1614A5DF"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Extreme</w:t>
            </w:r>
          </w:p>
        </w:tc>
      </w:tr>
      <w:tr w:rsidR="00561089" w:rsidRPr="00357146" w14:paraId="1B7DF0F9"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27596A98" w14:textId="77777777" w:rsidR="00357146" w:rsidRPr="00357146" w:rsidRDefault="00357146" w:rsidP="00357146">
            <w:pPr>
              <w:spacing w:after="0"/>
              <w:rPr>
                <w:rFonts w:ascii="Arial Narrow" w:hAnsi="Arial Narrow" w:cs="Calibri"/>
                <w:color w:val="000000"/>
                <w:sz w:val="18"/>
                <w:szCs w:val="18"/>
              </w:rPr>
            </w:pPr>
            <w:r w:rsidRPr="00357146">
              <w:rPr>
                <w:rFonts w:ascii="Arial Narrow" w:hAnsi="Arial Narrow" w:cs="Calibri"/>
                <w:color w:val="000000"/>
                <w:sz w:val="18"/>
                <w:szCs w:val="18"/>
              </w:rPr>
              <w:t>HPAI (high pathogenic strain)</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2C5B0A8F" w14:textId="77777777" w:rsidR="00357146" w:rsidRPr="00357146" w:rsidRDefault="00357146" w:rsidP="00357146">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3BB0D269" w14:textId="3A5470BE" w:rsidR="00357146" w:rsidRPr="00357146" w:rsidRDefault="00357146" w:rsidP="0035714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 xml:space="preserve">Avian </w:t>
            </w:r>
            <w:r w:rsidR="0051146F">
              <w:rPr>
                <w:rFonts w:ascii="Arial Narrow" w:hAnsi="Arial Narrow" w:cs="Calibri"/>
                <w:color w:val="000000"/>
                <w:sz w:val="18"/>
                <w:szCs w:val="18"/>
              </w:rPr>
              <w:t>I</w:t>
            </w:r>
            <w:r w:rsidRPr="00357146">
              <w:rPr>
                <w:rFonts w:ascii="Arial Narrow" w:hAnsi="Arial Narrow" w:cs="Calibri"/>
                <w:color w:val="000000"/>
                <w:sz w:val="18"/>
                <w:szCs w:val="18"/>
              </w:rPr>
              <w:t>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0984E468" w14:textId="77777777" w:rsidR="00357146" w:rsidRPr="00357146" w:rsidRDefault="00357146" w:rsidP="00357146">
            <w:pPr>
              <w:spacing w:after="0"/>
              <w:rPr>
                <w:rFonts w:ascii="Arial Narrow" w:hAnsi="Arial Narrow" w:cs="Calibri"/>
                <w:color w:val="000000"/>
                <w:sz w:val="18"/>
                <w:szCs w:val="18"/>
              </w:rPr>
            </w:pPr>
            <w:r w:rsidRPr="00357146">
              <w:rPr>
                <w:rFonts w:ascii="Arial Narrow" w:hAnsi="Arial Narrow" w:cs="Calibri"/>
                <w:color w:val="000000"/>
                <w:sz w:val="18"/>
                <w:szCs w:val="18"/>
              </w:rPr>
              <w:t>Gulls, terns and waders</w:t>
            </w:r>
          </w:p>
        </w:tc>
        <w:tc>
          <w:tcPr>
            <w:tcW w:w="992" w:type="dxa"/>
            <w:noWrap/>
            <w:hideMark/>
          </w:tcPr>
          <w:p w14:paraId="4A3B3097" w14:textId="54760110" w:rsidR="00357146" w:rsidRPr="00357146" w:rsidRDefault="00F0298E" w:rsidP="0035714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w:t>
            </w:r>
            <w:r w:rsidR="00357146" w:rsidRPr="00357146">
              <w:rPr>
                <w:rFonts w:ascii="Arial Narrow" w:hAnsi="Arial Narrow" w:cs="Calibri"/>
                <w:color w:val="000000"/>
                <w:sz w:val="18"/>
                <w:szCs w:val="18"/>
              </w:rPr>
              <w:t>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5BC3DD48" w14:textId="4395EFDE" w:rsidR="00357146" w:rsidRPr="00357146" w:rsidRDefault="00357146" w:rsidP="00FB603C">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noWrap/>
            <w:hideMark/>
          </w:tcPr>
          <w:p w14:paraId="040CF77D" w14:textId="77777777" w:rsidR="00357146" w:rsidRPr="00357146" w:rsidRDefault="00357146" w:rsidP="00FB603C">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007F3235" w14:textId="77777777" w:rsidR="00357146" w:rsidRPr="00357146" w:rsidRDefault="00357146" w:rsidP="00FB603C">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2AB5CCC8" w14:textId="484C2429" w:rsidR="00357146" w:rsidRPr="00357146" w:rsidRDefault="00357146" w:rsidP="0035714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Extrem</w:t>
            </w:r>
            <w:r w:rsidR="00F76A77" w:rsidRPr="00F76A77">
              <w:rPr>
                <w:rFonts w:ascii="Arial Narrow" w:hAnsi="Arial Narrow" w:cs="Calibri"/>
                <w:color w:val="000000"/>
                <w:sz w:val="18"/>
                <w:szCs w:val="18"/>
              </w:rPr>
              <w:t>e</w:t>
            </w:r>
          </w:p>
        </w:tc>
      </w:tr>
      <w:tr w:rsidR="00F0298E" w:rsidRPr="00357146" w14:paraId="797667A4"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4992370B"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 (high pathogenic strain)</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09567422"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54B1F0F3" w14:textId="4E13AD0F"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1F62F0">
              <w:rPr>
                <w:rFonts w:ascii="Arial Narrow" w:hAnsi="Arial Narrow" w:cs="Calibri"/>
                <w:color w:val="000000"/>
                <w:sz w:val="18"/>
                <w:szCs w:val="18"/>
              </w:rPr>
              <w:t>Avian Influenza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497587BF"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Ducks, swans, geese</w:t>
            </w:r>
          </w:p>
        </w:tc>
        <w:tc>
          <w:tcPr>
            <w:tcW w:w="992" w:type="dxa"/>
            <w:noWrap/>
            <w:hideMark/>
          </w:tcPr>
          <w:p w14:paraId="3CE592B0" w14:textId="63E30804"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AF56A7">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4E393DC8" w14:textId="57A575CE"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w:t>
            </w:r>
            <w:r>
              <w:rPr>
                <w:rFonts w:ascii="Arial Narrow" w:hAnsi="Arial Narrow" w:cs="Calibri"/>
                <w:color w:val="000000"/>
                <w:sz w:val="18"/>
                <w:szCs w:val="18"/>
              </w:rPr>
              <w:t>3</w:t>
            </w:r>
          </w:p>
        </w:tc>
        <w:tc>
          <w:tcPr>
            <w:tcW w:w="1271" w:type="dxa"/>
            <w:noWrap/>
            <w:hideMark/>
          </w:tcPr>
          <w:p w14:paraId="05040551"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064C97DF"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436AF644" w14:textId="184231EE"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Extreme</w:t>
            </w:r>
          </w:p>
        </w:tc>
      </w:tr>
      <w:tr w:rsidR="00F0298E" w:rsidRPr="00357146" w14:paraId="5D4C9C3D"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4E72EFB8"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 (high pathogenic strain)</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2A634A79"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3E2CDBA0" w14:textId="17B76D0E"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1F62F0">
              <w:rPr>
                <w:rFonts w:ascii="Arial Narrow" w:hAnsi="Arial Narrow" w:cs="Calibri"/>
                <w:color w:val="000000"/>
                <w:sz w:val="18"/>
                <w:szCs w:val="18"/>
              </w:rPr>
              <w:t>Avian Influenza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59F25088"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Penguins</w:t>
            </w:r>
          </w:p>
        </w:tc>
        <w:tc>
          <w:tcPr>
            <w:tcW w:w="992" w:type="dxa"/>
            <w:noWrap/>
            <w:hideMark/>
          </w:tcPr>
          <w:p w14:paraId="40084F37" w14:textId="72DF5F44"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AF56A7">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19D3DAB5" w14:textId="01A533C2"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noWrap/>
            <w:hideMark/>
          </w:tcPr>
          <w:p w14:paraId="6F7A108B"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38D98694"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2</w:t>
            </w:r>
          </w:p>
        </w:tc>
        <w:tc>
          <w:tcPr>
            <w:tcW w:w="951" w:type="dxa"/>
            <w:noWrap/>
            <w:hideMark/>
          </w:tcPr>
          <w:p w14:paraId="0C0CACC4" w14:textId="243459A9"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Extreme</w:t>
            </w:r>
          </w:p>
        </w:tc>
      </w:tr>
      <w:tr w:rsidR="00F0298E" w:rsidRPr="00357146" w14:paraId="182E8858"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shd w:val="clear" w:color="auto" w:fill="auto"/>
            <w:noWrap/>
            <w:hideMark/>
          </w:tcPr>
          <w:p w14:paraId="5F12C379" w14:textId="77777777" w:rsidR="00F0298E" w:rsidRPr="002E7290" w:rsidRDefault="00F0298E" w:rsidP="00F0298E">
            <w:pPr>
              <w:spacing w:after="0"/>
              <w:rPr>
                <w:rFonts w:ascii="Arial Narrow" w:hAnsi="Arial Narrow" w:cs="Calibri"/>
                <w:color w:val="000000"/>
                <w:sz w:val="18"/>
                <w:szCs w:val="18"/>
              </w:rPr>
            </w:pPr>
            <w:r w:rsidRPr="002E7290">
              <w:rPr>
                <w:rFonts w:ascii="Arial Narrow" w:hAnsi="Arial Narrow" w:cs="Calibri"/>
                <w:color w:val="000000"/>
                <w:sz w:val="18"/>
                <w:szCs w:val="18"/>
              </w:rPr>
              <w:t>HPAI (high pathogenic strain)</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6DE1E7B3" w14:textId="77777777" w:rsidR="00F0298E" w:rsidRPr="002E7290" w:rsidRDefault="00F0298E" w:rsidP="00F0298E">
            <w:pPr>
              <w:spacing w:after="0"/>
              <w:rPr>
                <w:rFonts w:ascii="Arial Narrow" w:hAnsi="Arial Narrow" w:cs="Calibri"/>
                <w:color w:val="000000"/>
                <w:sz w:val="18"/>
                <w:szCs w:val="18"/>
              </w:rPr>
            </w:pPr>
            <w:r w:rsidRPr="002E7290">
              <w:rPr>
                <w:rFonts w:ascii="Arial Narrow" w:hAnsi="Arial Narrow" w:cs="Calibri"/>
                <w:color w:val="000000"/>
                <w:sz w:val="18"/>
                <w:szCs w:val="18"/>
              </w:rPr>
              <w:t>Viral</w:t>
            </w:r>
          </w:p>
        </w:tc>
        <w:tc>
          <w:tcPr>
            <w:tcW w:w="3314" w:type="dxa"/>
            <w:shd w:val="clear" w:color="auto" w:fill="auto"/>
            <w:noWrap/>
            <w:hideMark/>
          </w:tcPr>
          <w:p w14:paraId="0E82A9B4" w14:textId="7E56A1D8" w:rsidR="00F0298E" w:rsidRPr="002E7290"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1F62F0">
              <w:rPr>
                <w:rFonts w:ascii="Arial Narrow" w:hAnsi="Arial Narrow" w:cs="Calibri"/>
                <w:color w:val="000000"/>
                <w:sz w:val="18"/>
                <w:szCs w:val="18"/>
              </w:rPr>
              <w:t>Avian Influenza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45B5129E" w14:textId="77777777" w:rsidR="00F0298E" w:rsidRPr="002E7290" w:rsidRDefault="00F0298E" w:rsidP="00F0298E">
            <w:pPr>
              <w:spacing w:after="0"/>
              <w:rPr>
                <w:rFonts w:ascii="Arial Narrow" w:hAnsi="Arial Narrow" w:cs="Calibri"/>
                <w:color w:val="000000"/>
                <w:sz w:val="18"/>
                <w:szCs w:val="18"/>
              </w:rPr>
            </w:pPr>
            <w:r w:rsidRPr="002E7290">
              <w:rPr>
                <w:rFonts w:ascii="Arial Narrow" w:hAnsi="Arial Narrow" w:cs="Calibri"/>
                <w:color w:val="000000"/>
                <w:sz w:val="18"/>
                <w:szCs w:val="18"/>
              </w:rPr>
              <w:t>All other avian orders</w:t>
            </w:r>
          </w:p>
        </w:tc>
        <w:tc>
          <w:tcPr>
            <w:tcW w:w="992" w:type="dxa"/>
            <w:shd w:val="clear" w:color="auto" w:fill="auto"/>
            <w:noWrap/>
            <w:hideMark/>
          </w:tcPr>
          <w:p w14:paraId="4E980207" w14:textId="5C8BDC45" w:rsidR="00F0298E" w:rsidRPr="002E7290"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AF56A7">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8929D16" w14:textId="77777777" w:rsidR="00F0298E" w:rsidRPr="002E7290" w:rsidRDefault="00F0298E" w:rsidP="00F0298E">
            <w:pPr>
              <w:spacing w:after="0"/>
              <w:jc w:val="center"/>
              <w:rPr>
                <w:rFonts w:ascii="Arial Narrow" w:hAnsi="Arial Narrow" w:cs="Calibri"/>
                <w:color w:val="000000"/>
                <w:sz w:val="18"/>
                <w:szCs w:val="18"/>
              </w:rPr>
            </w:pPr>
            <w:r w:rsidRPr="002E7290">
              <w:rPr>
                <w:rFonts w:ascii="Arial Narrow" w:hAnsi="Arial Narrow" w:cs="Calibri"/>
                <w:color w:val="000000"/>
                <w:sz w:val="18"/>
                <w:szCs w:val="18"/>
              </w:rPr>
              <w:t>5</w:t>
            </w:r>
          </w:p>
        </w:tc>
        <w:tc>
          <w:tcPr>
            <w:tcW w:w="1271" w:type="dxa"/>
            <w:shd w:val="clear" w:color="auto" w:fill="auto"/>
            <w:noWrap/>
            <w:hideMark/>
          </w:tcPr>
          <w:p w14:paraId="6BA126F6" w14:textId="77777777" w:rsidR="00F0298E" w:rsidRPr="002E7290"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E7290">
              <w:rPr>
                <w:rFonts w:ascii="Arial Narrow" w:hAnsi="Arial Narrow" w:cs="Calibri"/>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2060A0A2" w14:textId="77777777" w:rsidR="00F0298E" w:rsidRPr="002E7290" w:rsidRDefault="00F0298E" w:rsidP="00F0298E">
            <w:pPr>
              <w:spacing w:after="0"/>
              <w:jc w:val="center"/>
              <w:rPr>
                <w:rFonts w:ascii="Arial Narrow" w:hAnsi="Arial Narrow" w:cs="Calibri"/>
                <w:color w:val="000000"/>
                <w:sz w:val="18"/>
                <w:szCs w:val="18"/>
              </w:rPr>
            </w:pPr>
            <w:r w:rsidRPr="002E7290">
              <w:rPr>
                <w:rFonts w:ascii="Arial Narrow" w:hAnsi="Arial Narrow" w:cs="Calibri"/>
                <w:color w:val="000000"/>
                <w:sz w:val="18"/>
                <w:szCs w:val="18"/>
              </w:rPr>
              <w:t>3</w:t>
            </w:r>
          </w:p>
        </w:tc>
        <w:tc>
          <w:tcPr>
            <w:tcW w:w="951" w:type="dxa"/>
            <w:shd w:val="clear" w:color="auto" w:fill="auto"/>
            <w:noWrap/>
            <w:hideMark/>
          </w:tcPr>
          <w:p w14:paraId="35FF24AB" w14:textId="1AB93D42" w:rsidR="00F0298E" w:rsidRPr="002E7290"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2E7290">
              <w:rPr>
                <w:rFonts w:ascii="Arial Narrow" w:hAnsi="Arial Narrow" w:cs="Calibri"/>
                <w:color w:val="000000"/>
                <w:sz w:val="18"/>
                <w:szCs w:val="18"/>
              </w:rPr>
              <w:t>Extreme</w:t>
            </w:r>
          </w:p>
        </w:tc>
      </w:tr>
      <w:tr w:rsidR="00F0298E" w:rsidRPr="00357146" w14:paraId="4AF65FFF"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44AD61D3"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i/>
                <w:iCs/>
                <w:color w:val="000000"/>
                <w:sz w:val="18"/>
                <w:szCs w:val="18"/>
              </w:rPr>
              <w:t xml:space="preserve">Coronavirus </w:t>
            </w:r>
            <w:r w:rsidRPr="00357146">
              <w:rPr>
                <w:rFonts w:ascii="Arial Narrow" w:hAnsi="Arial Narrow" w:cs="Calibri"/>
                <w:color w:val="000000"/>
                <w:sz w:val="18"/>
                <w:szCs w:val="18"/>
              </w:rPr>
              <w:t>spp.</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4A8EC274"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61C6BE12"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Coronaviruses</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2076A1E4" w14:textId="0ACF9A77" w:rsidR="00F0298E" w:rsidRPr="00357146" w:rsidRDefault="00F0298E" w:rsidP="00F0298E">
            <w:pPr>
              <w:spacing w:after="0"/>
              <w:rPr>
                <w:rFonts w:ascii="Arial Narrow" w:hAnsi="Arial Narrow" w:cs="Calibri"/>
                <w:color w:val="000000"/>
                <w:sz w:val="18"/>
                <w:szCs w:val="18"/>
              </w:rPr>
            </w:pPr>
            <w:r>
              <w:rPr>
                <w:rFonts w:ascii="Arial Narrow" w:hAnsi="Arial Narrow" w:cs="Calibri"/>
                <w:color w:val="000000"/>
                <w:sz w:val="18"/>
                <w:szCs w:val="18"/>
              </w:rPr>
              <w:t>Ducks,</w:t>
            </w:r>
            <w:r w:rsidRPr="00357146">
              <w:rPr>
                <w:rFonts w:ascii="Arial Narrow" w:hAnsi="Arial Narrow" w:cs="Calibri"/>
                <w:color w:val="000000"/>
                <w:sz w:val="18"/>
                <w:szCs w:val="18"/>
              </w:rPr>
              <w:t xml:space="preserve"> shorebirds</w:t>
            </w:r>
          </w:p>
        </w:tc>
        <w:tc>
          <w:tcPr>
            <w:tcW w:w="992" w:type="dxa"/>
            <w:noWrap/>
            <w:hideMark/>
          </w:tcPr>
          <w:p w14:paraId="022D6A25" w14:textId="7C8E2631"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AF56A7">
              <w:rPr>
                <w:rFonts w:ascii="Arial Narrow" w:hAnsi="Arial Narrow" w:cs="Calibri"/>
                <w:color w:val="000000"/>
                <w:sz w:val="18"/>
                <w:szCs w:val="18"/>
              </w:rPr>
              <w:t>Birds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234DB767" w14:textId="64F0A78C"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w:t>
            </w:r>
            <w:r>
              <w:rPr>
                <w:rFonts w:ascii="Arial Narrow" w:hAnsi="Arial Narrow" w:cs="Calibri"/>
                <w:color w:val="000000"/>
                <w:sz w:val="18"/>
                <w:szCs w:val="18"/>
              </w:rPr>
              <w:t>7</w:t>
            </w:r>
          </w:p>
        </w:tc>
        <w:tc>
          <w:tcPr>
            <w:tcW w:w="1271" w:type="dxa"/>
            <w:noWrap/>
            <w:hideMark/>
          </w:tcPr>
          <w:p w14:paraId="7781B977"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46B51346"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3</w:t>
            </w:r>
          </w:p>
        </w:tc>
        <w:tc>
          <w:tcPr>
            <w:tcW w:w="951" w:type="dxa"/>
            <w:noWrap/>
            <w:hideMark/>
          </w:tcPr>
          <w:p w14:paraId="2BB146D0" w14:textId="7AF5F516"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08785892" w14:textId="77777777" w:rsidTr="00270D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2523" w:type="dxa"/>
            <w:shd w:val="clear" w:color="auto" w:fill="auto"/>
            <w:noWrap/>
            <w:hideMark/>
          </w:tcPr>
          <w:p w14:paraId="68CD8995"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w:t>
            </w:r>
          </w:p>
        </w:tc>
        <w:tc>
          <w:tcPr>
            <w:tcW w:w="1364" w:type="dxa"/>
            <w:shd w:val="clear" w:color="auto" w:fill="CCDBEA"/>
            <w:noWrap/>
            <w:hideMark/>
          </w:tcPr>
          <w:p w14:paraId="30241211"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shd w:val="clear" w:color="auto" w:fill="auto"/>
            <w:noWrap/>
            <w:hideMark/>
          </w:tcPr>
          <w:p w14:paraId="72D5D018" w14:textId="745C31EA"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85A4B">
              <w:rPr>
                <w:rFonts w:ascii="Arial Narrow" w:hAnsi="Arial Narrow" w:cs="Calibri"/>
                <w:color w:val="000000"/>
                <w:sz w:val="18"/>
                <w:szCs w:val="18"/>
              </w:rPr>
              <w:t>Avian Influenza</w:t>
            </w:r>
          </w:p>
        </w:tc>
        <w:tc>
          <w:tcPr>
            <w:tcW w:w="2410" w:type="dxa"/>
            <w:shd w:val="clear" w:color="auto" w:fill="CCDBEA"/>
            <w:noWrap/>
            <w:hideMark/>
          </w:tcPr>
          <w:p w14:paraId="0F9D1239"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Seals</w:t>
            </w:r>
          </w:p>
        </w:tc>
        <w:tc>
          <w:tcPr>
            <w:tcW w:w="992" w:type="dxa"/>
            <w:shd w:val="clear" w:color="auto" w:fill="auto"/>
            <w:noWrap/>
            <w:hideMark/>
          </w:tcPr>
          <w:p w14:paraId="17D0BE98" w14:textId="0FF3D1A0"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tcW w:w="992" w:type="dxa"/>
            <w:shd w:val="clear" w:color="auto" w:fill="CCDBEA"/>
            <w:noWrap/>
            <w:hideMark/>
          </w:tcPr>
          <w:p w14:paraId="3E2C954D" w14:textId="7F58A2C3"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shd w:val="clear" w:color="auto" w:fill="auto"/>
            <w:noWrap/>
            <w:hideMark/>
          </w:tcPr>
          <w:p w14:paraId="4F687AC5"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tcW w:w="1038" w:type="dxa"/>
            <w:shd w:val="clear" w:color="auto" w:fill="CCDBEA"/>
            <w:noWrap/>
            <w:hideMark/>
          </w:tcPr>
          <w:p w14:paraId="763AC290"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shd w:val="clear" w:color="auto" w:fill="auto"/>
            <w:noWrap/>
            <w:hideMark/>
          </w:tcPr>
          <w:p w14:paraId="4746F6D6" w14:textId="48C8573C"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5AB3C161"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0BEA90F0"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40C70DFF"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2F70BC11" w14:textId="17BDA518"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85A4B">
              <w:rPr>
                <w:rFonts w:ascii="Arial Narrow" w:hAnsi="Arial Narrow" w:cs="Calibri"/>
                <w:color w:val="000000"/>
                <w:sz w:val="18"/>
                <w:szCs w:val="18"/>
              </w:rPr>
              <w:t>Avian Influenza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12EB9625"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Pigs</w:t>
            </w:r>
          </w:p>
        </w:tc>
        <w:tc>
          <w:tcPr>
            <w:tcW w:w="992" w:type="dxa"/>
            <w:noWrap/>
            <w:hideMark/>
          </w:tcPr>
          <w:p w14:paraId="72EBC53B" w14:textId="61734583"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59FA66B0" w14:textId="06690B2E"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noWrap/>
            <w:hideMark/>
          </w:tcPr>
          <w:p w14:paraId="76424A52"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682A2A91"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34AFE367" w14:textId="48C77795"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4C22C34E"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3D0E93B6"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73456F0D"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49C23FEE" w14:textId="1E3E8A7C"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85A4B">
              <w:rPr>
                <w:rFonts w:ascii="Arial Narrow" w:hAnsi="Arial Narrow" w:cs="Calibri"/>
                <w:color w:val="000000"/>
                <w:sz w:val="18"/>
                <w:szCs w:val="18"/>
              </w:rPr>
              <w:t>Avian Influenza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3C1B7131"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Red Fox</w:t>
            </w:r>
          </w:p>
        </w:tc>
        <w:tc>
          <w:tcPr>
            <w:tcW w:w="992" w:type="dxa"/>
            <w:noWrap/>
            <w:hideMark/>
          </w:tcPr>
          <w:p w14:paraId="03D23594" w14:textId="60536CFE"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25E1AE6" w14:textId="06DE8C6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noWrap/>
            <w:hideMark/>
          </w:tcPr>
          <w:p w14:paraId="5F3AC2DE"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6C52AC44"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3AA7A2F1" w14:textId="2743605A"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62B0B275"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6CAB5350"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03A804F3"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5FD28C82" w14:textId="7B894415"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85A4B">
              <w:rPr>
                <w:rFonts w:ascii="Arial Narrow" w:hAnsi="Arial Narrow" w:cs="Calibri"/>
                <w:color w:val="000000"/>
                <w:sz w:val="18"/>
                <w:szCs w:val="18"/>
              </w:rPr>
              <w:t>Avian Influenza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2B6533D7"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Cats</w:t>
            </w:r>
          </w:p>
        </w:tc>
        <w:tc>
          <w:tcPr>
            <w:tcW w:w="992" w:type="dxa"/>
            <w:noWrap/>
            <w:hideMark/>
          </w:tcPr>
          <w:p w14:paraId="64828610" w14:textId="5C05C47A"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7E5DEE2C" w14:textId="22BCF0BC"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noWrap/>
            <w:hideMark/>
          </w:tcPr>
          <w:p w14:paraId="7487106F"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7C8E554D"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7B6B6939" w14:textId="5ED432A3"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6EBC1274"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2FBB0AFF"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35A19FF8"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1482C3F0" w14:textId="644F570E"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85A4B">
              <w:rPr>
                <w:rFonts w:ascii="Arial Narrow" w:hAnsi="Arial Narrow" w:cs="Calibri"/>
                <w:color w:val="000000"/>
                <w:sz w:val="18"/>
                <w:szCs w:val="18"/>
              </w:rPr>
              <w:t>Avian Influenza</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77A395AB" w14:textId="52CBB303"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Dog/</w:t>
            </w:r>
            <w:r>
              <w:rPr>
                <w:rFonts w:ascii="Arial Narrow" w:hAnsi="Arial Narrow" w:cs="Calibri"/>
                <w:color w:val="000000"/>
                <w:sz w:val="18"/>
                <w:szCs w:val="18"/>
              </w:rPr>
              <w:t>d</w:t>
            </w:r>
            <w:r w:rsidRPr="00357146">
              <w:rPr>
                <w:rFonts w:ascii="Arial Narrow" w:hAnsi="Arial Narrow" w:cs="Calibri"/>
                <w:color w:val="000000"/>
                <w:sz w:val="18"/>
                <w:szCs w:val="18"/>
              </w:rPr>
              <w:t>ingo</w:t>
            </w:r>
          </w:p>
        </w:tc>
        <w:tc>
          <w:tcPr>
            <w:tcW w:w="992" w:type="dxa"/>
            <w:noWrap/>
            <w:hideMark/>
          </w:tcPr>
          <w:p w14:paraId="59B1A5E6" w14:textId="6B9F6EC0"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0F364E3C" w14:textId="456C214E"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noWrap/>
            <w:hideMark/>
          </w:tcPr>
          <w:p w14:paraId="316419EE"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684399E6"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0473EF9D" w14:textId="0DA77E2B"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6B29F4C0" w14:textId="77777777" w:rsidTr="00270D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2523" w:type="dxa"/>
            <w:shd w:val="clear" w:color="auto" w:fill="auto"/>
            <w:noWrap/>
            <w:hideMark/>
          </w:tcPr>
          <w:p w14:paraId="401CE3BA"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HPAI</w:t>
            </w:r>
          </w:p>
        </w:tc>
        <w:tc>
          <w:tcPr>
            <w:tcW w:w="1364" w:type="dxa"/>
            <w:shd w:val="clear" w:color="auto" w:fill="CCDBEA"/>
            <w:noWrap/>
            <w:hideMark/>
          </w:tcPr>
          <w:p w14:paraId="2F592C84"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shd w:val="clear" w:color="auto" w:fill="auto"/>
            <w:noWrap/>
            <w:hideMark/>
          </w:tcPr>
          <w:p w14:paraId="0B0D848B" w14:textId="71EE3D98"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85A4B">
              <w:rPr>
                <w:rFonts w:ascii="Arial Narrow" w:hAnsi="Arial Narrow" w:cs="Calibri"/>
                <w:color w:val="000000"/>
                <w:sz w:val="18"/>
                <w:szCs w:val="18"/>
              </w:rPr>
              <w:t>Avian Influenza</w:t>
            </w:r>
          </w:p>
        </w:tc>
        <w:tc>
          <w:tcPr>
            <w:tcW w:w="2410" w:type="dxa"/>
            <w:shd w:val="clear" w:color="auto" w:fill="CCDBEA"/>
            <w:noWrap/>
            <w:hideMark/>
          </w:tcPr>
          <w:p w14:paraId="20A29201"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Dolphins</w:t>
            </w:r>
          </w:p>
        </w:tc>
        <w:tc>
          <w:tcPr>
            <w:tcW w:w="992" w:type="dxa"/>
            <w:shd w:val="clear" w:color="auto" w:fill="auto"/>
            <w:noWrap/>
            <w:hideMark/>
          </w:tcPr>
          <w:p w14:paraId="17C7EB1C" w14:textId="5BBDF7D6"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tcW w:w="992" w:type="dxa"/>
            <w:shd w:val="clear" w:color="auto" w:fill="CCDBEA"/>
            <w:noWrap/>
            <w:hideMark/>
          </w:tcPr>
          <w:p w14:paraId="6B93543B" w14:textId="60469256"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5.3</w:t>
            </w:r>
          </w:p>
        </w:tc>
        <w:tc>
          <w:tcPr>
            <w:tcW w:w="1271" w:type="dxa"/>
            <w:shd w:val="clear" w:color="auto" w:fill="auto"/>
            <w:noWrap/>
            <w:hideMark/>
          </w:tcPr>
          <w:p w14:paraId="0E134B15"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tcW w:w="1038" w:type="dxa"/>
            <w:shd w:val="clear" w:color="auto" w:fill="CCDBEA"/>
            <w:noWrap/>
            <w:hideMark/>
          </w:tcPr>
          <w:p w14:paraId="15340A9F"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shd w:val="clear" w:color="auto" w:fill="auto"/>
            <w:noWrap/>
            <w:hideMark/>
          </w:tcPr>
          <w:p w14:paraId="08882CC3" w14:textId="6DA00120"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35AE0555" w14:textId="77777777" w:rsidTr="00270D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2523" w:type="dxa"/>
            <w:shd w:val="clear" w:color="auto" w:fill="auto"/>
            <w:noWrap/>
          </w:tcPr>
          <w:p w14:paraId="2CD5CF68" w14:textId="4EC04D8A" w:rsidR="00F0298E" w:rsidRPr="00357146" w:rsidRDefault="00F0298E" w:rsidP="00F0298E">
            <w:pPr>
              <w:spacing w:after="0"/>
              <w:rPr>
                <w:rFonts w:ascii="Arial Narrow" w:hAnsi="Arial Narrow" w:cs="Calibri"/>
                <w:color w:val="000000"/>
                <w:sz w:val="18"/>
                <w:szCs w:val="18"/>
              </w:rPr>
            </w:pPr>
            <w:r>
              <w:rPr>
                <w:rFonts w:ascii="Arial Narrow" w:hAnsi="Arial Narrow" w:cs="Calibri"/>
                <w:color w:val="000000"/>
                <w:sz w:val="18"/>
                <w:szCs w:val="18"/>
              </w:rPr>
              <w:t>HPAI</w:t>
            </w:r>
          </w:p>
        </w:tc>
        <w:tc>
          <w:tcPr>
            <w:tcW w:w="1364" w:type="dxa"/>
            <w:shd w:val="clear" w:color="auto" w:fill="CCDBEA"/>
            <w:noWrap/>
          </w:tcPr>
          <w:p w14:paraId="21828866" w14:textId="451A41EC"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Viral</w:t>
            </w:r>
          </w:p>
        </w:tc>
        <w:tc>
          <w:tcPr>
            <w:tcW w:w="3314" w:type="dxa"/>
            <w:shd w:val="clear" w:color="auto" w:fill="auto"/>
            <w:noWrap/>
          </w:tcPr>
          <w:p w14:paraId="27B76CB3" w14:textId="21D9C441"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85A4B">
              <w:rPr>
                <w:rFonts w:ascii="Arial Narrow" w:hAnsi="Arial Narrow" w:cs="Calibri"/>
                <w:color w:val="000000"/>
                <w:sz w:val="18"/>
                <w:szCs w:val="18"/>
              </w:rPr>
              <w:t>Avian Influenza</w:t>
            </w:r>
          </w:p>
        </w:tc>
        <w:tc>
          <w:tcPr>
            <w:tcW w:w="2410" w:type="dxa"/>
            <w:shd w:val="clear" w:color="auto" w:fill="CCDBEA"/>
            <w:noWrap/>
          </w:tcPr>
          <w:p w14:paraId="42D1D8FB" w14:textId="71273613"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Marsupial carnivores</w:t>
            </w:r>
          </w:p>
        </w:tc>
        <w:tc>
          <w:tcPr>
            <w:tcW w:w="992" w:type="dxa"/>
            <w:shd w:val="clear" w:color="auto" w:fill="auto"/>
            <w:noWrap/>
          </w:tcPr>
          <w:p w14:paraId="077DF9BE" w14:textId="3A4AC09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tcW w:w="992" w:type="dxa"/>
            <w:shd w:val="clear" w:color="auto" w:fill="CCDBEA"/>
            <w:noWrap/>
          </w:tcPr>
          <w:p w14:paraId="06E2985D" w14:textId="4AA6F8DD"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5.3</w:t>
            </w:r>
          </w:p>
        </w:tc>
        <w:tc>
          <w:tcPr>
            <w:tcW w:w="1271" w:type="dxa"/>
            <w:shd w:val="clear" w:color="auto" w:fill="auto"/>
            <w:noWrap/>
          </w:tcPr>
          <w:p w14:paraId="3DFBCCF3" w14:textId="6F460C98"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5</w:t>
            </w:r>
          </w:p>
        </w:tc>
        <w:tc>
          <w:tcPr>
            <w:tcW w:w="1038" w:type="dxa"/>
            <w:shd w:val="clear" w:color="auto" w:fill="CCDBEA"/>
            <w:noWrap/>
          </w:tcPr>
          <w:p w14:paraId="7FF263B6" w14:textId="49D1BC6D"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3</w:t>
            </w:r>
          </w:p>
        </w:tc>
        <w:tc>
          <w:tcPr>
            <w:tcW w:w="951" w:type="dxa"/>
            <w:shd w:val="clear" w:color="auto" w:fill="auto"/>
            <w:noWrap/>
          </w:tcPr>
          <w:p w14:paraId="10E82A5E" w14:textId="394A57C9"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F0298E" w:rsidRPr="00357146" w14:paraId="5ABC2E14"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439F67A1" w14:textId="77777777" w:rsidR="00F0298E" w:rsidRPr="00357146" w:rsidRDefault="00F0298E" w:rsidP="00F0298E">
            <w:pPr>
              <w:spacing w:after="0"/>
              <w:rPr>
                <w:rFonts w:ascii="Arial Narrow" w:hAnsi="Arial Narrow" w:cs="Calibri"/>
                <w:i/>
                <w:iCs/>
                <w:color w:val="000000"/>
                <w:sz w:val="18"/>
                <w:szCs w:val="18"/>
              </w:rPr>
            </w:pPr>
            <w:proofErr w:type="spellStart"/>
            <w:r w:rsidRPr="00357146">
              <w:rPr>
                <w:rFonts w:ascii="Arial Narrow" w:hAnsi="Arial Narrow" w:cs="Calibri"/>
                <w:i/>
                <w:iCs/>
                <w:color w:val="000000"/>
                <w:sz w:val="18"/>
                <w:szCs w:val="18"/>
              </w:rPr>
              <w:t>Gammaherpesvirus</w:t>
            </w:r>
            <w:proofErr w:type="spellEnd"/>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55576B52"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15BD0ED8" w14:textId="6C6CF4CE"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bookmarkStart w:id="74" w:name="_Hlk190179174"/>
            <w:r w:rsidRPr="00357146">
              <w:rPr>
                <w:rFonts w:ascii="Arial Narrow" w:hAnsi="Arial Narrow" w:cs="Calibri"/>
                <w:color w:val="000000"/>
                <w:sz w:val="18"/>
                <w:szCs w:val="18"/>
              </w:rPr>
              <w:t xml:space="preserve">Malignant </w:t>
            </w:r>
            <w:r>
              <w:rPr>
                <w:rFonts w:ascii="Arial Narrow" w:hAnsi="Arial Narrow" w:cs="Calibri"/>
                <w:color w:val="000000"/>
                <w:sz w:val="18"/>
                <w:szCs w:val="18"/>
              </w:rPr>
              <w:t>C</w:t>
            </w:r>
            <w:r w:rsidRPr="00357146">
              <w:rPr>
                <w:rFonts w:ascii="Arial Narrow" w:hAnsi="Arial Narrow" w:cs="Calibri"/>
                <w:color w:val="000000"/>
                <w:sz w:val="18"/>
                <w:szCs w:val="18"/>
              </w:rPr>
              <w:t xml:space="preserve">atarrhal </w:t>
            </w:r>
            <w:r>
              <w:rPr>
                <w:rFonts w:ascii="Arial Narrow" w:hAnsi="Arial Narrow" w:cs="Calibri"/>
                <w:color w:val="000000"/>
                <w:sz w:val="18"/>
                <w:szCs w:val="18"/>
              </w:rPr>
              <w:t>F</w:t>
            </w:r>
            <w:r w:rsidRPr="00357146">
              <w:rPr>
                <w:rFonts w:ascii="Arial Narrow" w:hAnsi="Arial Narrow" w:cs="Calibri"/>
                <w:color w:val="000000"/>
                <w:sz w:val="18"/>
                <w:szCs w:val="18"/>
              </w:rPr>
              <w:t>ever</w:t>
            </w:r>
            <w:bookmarkEnd w:id="74"/>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10EF3715"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Deer</w:t>
            </w:r>
          </w:p>
        </w:tc>
        <w:tc>
          <w:tcPr>
            <w:tcW w:w="992" w:type="dxa"/>
            <w:noWrap/>
            <w:hideMark/>
          </w:tcPr>
          <w:p w14:paraId="4420E676" w14:textId="2AF86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D3621CC"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5</w:t>
            </w:r>
          </w:p>
        </w:tc>
        <w:tc>
          <w:tcPr>
            <w:tcW w:w="1271" w:type="dxa"/>
            <w:noWrap/>
            <w:hideMark/>
          </w:tcPr>
          <w:p w14:paraId="60BB5C49"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0ED039CF"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2</w:t>
            </w:r>
          </w:p>
        </w:tc>
        <w:tc>
          <w:tcPr>
            <w:tcW w:w="951" w:type="dxa"/>
            <w:noWrap/>
            <w:hideMark/>
          </w:tcPr>
          <w:p w14:paraId="65467325" w14:textId="2E5809BC"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6F0AD775"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6D4D39F4" w14:textId="77777777" w:rsidR="00F0298E" w:rsidRPr="00357146" w:rsidRDefault="00F0298E" w:rsidP="00F0298E">
            <w:pPr>
              <w:spacing w:after="0"/>
              <w:rPr>
                <w:rFonts w:ascii="Arial Narrow" w:hAnsi="Arial Narrow" w:cs="Calibri"/>
                <w:color w:val="000000"/>
                <w:sz w:val="18"/>
                <w:szCs w:val="18"/>
              </w:rPr>
            </w:pPr>
            <w:proofErr w:type="spellStart"/>
            <w:r w:rsidRPr="00357146">
              <w:rPr>
                <w:rFonts w:ascii="Arial Narrow" w:hAnsi="Arial Narrow" w:cs="Calibri"/>
                <w:i/>
                <w:iCs/>
                <w:color w:val="000000"/>
                <w:sz w:val="18"/>
                <w:szCs w:val="18"/>
              </w:rPr>
              <w:t>Gammaherpesvirus</w:t>
            </w:r>
            <w:proofErr w:type="spellEnd"/>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46B538E1"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3153F7AA" w14:textId="16A617F9"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04176B">
              <w:rPr>
                <w:rFonts w:ascii="Arial Narrow" w:hAnsi="Arial Narrow" w:cs="Calibri"/>
                <w:color w:val="000000"/>
                <w:sz w:val="18"/>
                <w:szCs w:val="18"/>
              </w:rPr>
              <w:t>Malignant Catarrhal Fever</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7D510C1F"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Goats</w:t>
            </w:r>
          </w:p>
        </w:tc>
        <w:tc>
          <w:tcPr>
            <w:tcW w:w="992" w:type="dxa"/>
            <w:noWrap/>
            <w:hideMark/>
          </w:tcPr>
          <w:p w14:paraId="294AF986" w14:textId="7CF279D4"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C5351B0"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4.</w:t>
            </w:r>
            <w:r>
              <w:rPr>
                <w:rFonts w:ascii="Arial Narrow" w:hAnsi="Arial Narrow" w:cs="Calibri"/>
                <w:color w:val="000000"/>
                <w:sz w:val="18"/>
                <w:szCs w:val="18"/>
              </w:rPr>
              <w:t>7</w:t>
            </w:r>
          </w:p>
        </w:tc>
        <w:tc>
          <w:tcPr>
            <w:tcW w:w="1271" w:type="dxa"/>
            <w:noWrap/>
            <w:hideMark/>
          </w:tcPr>
          <w:p w14:paraId="637195C4"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178B6F53"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2</w:t>
            </w:r>
          </w:p>
        </w:tc>
        <w:tc>
          <w:tcPr>
            <w:tcW w:w="951" w:type="dxa"/>
            <w:noWrap/>
            <w:hideMark/>
          </w:tcPr>
          <w:p w14:paraId="5B3A84F0"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26201B00"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0DF88F67" w14:textId="77777777" w:rsidR="00F0298E" w:rsidRPr="00357146" w:rsidRDefault="00F0298E" w:rsidP="00F0298E">
            <w:pPr>
              <w:spacing w:after="0"/>
              <w:rPr>
                <w:rFonts w:ascii="Arial Narrow" w:hAnsi="Arial Narrow" w:cs="Calibri"/>
                <w:i/>
                <w:iCs/>
                <w:color w:val="000000"/>
                <w:sz w:val="18"/>
                <w:szCs w:val="18"/>
              </w:rPr>
            </w:pPr>
            <w:proofErr w:type="spellStart"/>
            <w:r w:rsidRPr="00357146">
              <w:rPr>
                <w:rFonts w:ascii="Arial Narrow" w:hAnsi="Arial Narrow" w:cs="Calibri"/>
                <w:i/>
                <w:iCs/>
                <w:color w:val="000000"/>
                <w:sz w:val="18"/>
                <w:szCs w:val="18"/>
              </w:rPr>
              <w:t>Gammaherpesvirus</w:t>
            </w:r>
            <w:proofErr w:type="spellEnd"/>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13A22B7A"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4F6A9E9E" w14:textId="7D38BA11"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04176B">
              <w:rPr>
                <w:rFonts w:ascii="Arial Narrow" w:hAnsi="Arial Narrow" w:cs="Calibri"/>
                <w:color w:val="000000"/>
                <w:sz w:val="18"/>
                <w:szCs w:val="18"/>
              </w:rPr>
              <w:t>Malignant Catarrhal Fever</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4853EF2F"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Pigs</w:t>
            </w:r>
          </w:p>
        </w:tc>
        <w:tc>
          <w:tcPr>
            <w:tcW w:w="992" w:type="dxa"/>
            <w:noWrap/>
            <w:hideMark/>
          </w:tcPr>
          <w:p w14:paraId="570BCB78" w14:textId="0447085A"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7A899BEC"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4.</w:t>
            </w:r>
            <w:r>
              <w:rPr>
                <w:rFonts w:ascii="Arial Narrow" w:hAnsi="Arial Narrow" w:cs="Calibri"/>
                <w:color w:val="000000"/>
                <w:sz w:val="18"/>
                <w:szCs w:val="18"/>
              </w:rPr>
              <w:t>7</w:t>
            </w:r>
          </w:p>
        </w:tc>
        <w:tc>
          <w:tcPr>
            <w:tcW w:w="1271" w:type="dxa"/>
            <w:noWrap/>
            <w:hideMark/>
          </w:tcPr>
          <w:p w14:paraId="0C2FAB11"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1BC2683F"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2</w:t>
            </w:r>
          </w:p>
        </w:tc>
        <w:tc>
          <w:tcPr>
            <w:tcW w:w="951" w:type="dxa"/>
            <w:noWrap/>
            <w:hideMark/>
          </w:tcPr>
          <w:p w14:paraId="0C25EDCA"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7E3BF0E8"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004094BA" w14:textId="77777777" w:rsidR="00F0298E" w:rsidRPr="00357146" w:rsidRDefault="00F0298E" w:rsidP="00F0298E">
            <w:pPr>
              <w:spacing w:after="0"/>
              <w:rPr>
                <w:rFonts w:ascii="Arial Narrow" w:hAnsi="Arial Narrow" w:cs="Calibri"/>
                <w:i/>
                <w:iCs/>
                <w:color w:val="000000"/>
                <w:sz w:val="18"/>
                <w:szCs w:val="18"/>
              </w:rPr>
            </w:pPr>
            <w:proofErr w:type="spellStart"/>
            <w:r w:rsidRPr="00357146">
              <w:rPr>
                <w:rFonts w:ascii="Arial Narrow" w:hAnsi="Arial Narrow" w:cs="Calibri"/>
                <w:i/>
                <w:iCs/>
                <w:color w:val="000000"/>
                <w:sz w:val="18"/>
                <w:szCs w:val="18"/>
              </w:rPr>
              <w:t>Pestivirus</w:t>
            </w:r>
            <w:proofErr w:type="spellEnd"/>
            <w:r w:rsidRPr="00357146">
              <w:rPr>
                <w:rFonts w:ascii="Arial Narrow" w:hAnsi="Arial Narrow" w:cs="Calibri"/>
                <w:i/>
                <w:iCs/>
                <w:color w:val="000000"/>
                <w:sz w:val="18"/>
                <w:szCs w:val="18"/>
              </w:rPr>
              <w:t xml:space="preserve"> </w:t>
            </w:r>
            <w:r w:rsidRPr="00357146">
              <w:rPr>
                <w:rFonts w:ascii="Arial Narrow" w:hAnsi="Arial Narrow" w:cs="Calibri"/>
                <w:color w:val="000000"/>
                <w:sz w:val="18"/>
                <w:szCs w:val="18"/>
              </w:rPr>
              <w:t>spp.</w:t>
            </w:r>
            <w:r w:rsidRPr="00357146">
              <w:rPr>
                <w:rFonts w:ascii="Arial Narrow" w:hAnsi="Arial Narrow" w:cs="Calibri"/>
                <w:i/>
                <w:iCs/>
                <w:color w:val="000000"/>
                <w:sz w:val="18"/>
                <w:szCs w:val="18"/>
              </w:rPr>
              <w:t xml:space="preserve"> </w:t>
            </w:r>
            <w:proofErr w:type="spellStart"/>
            <w:r w:rsidRPr="00357146">
              <w:rPr>
                <w:rFonts w:ascii="Arial Narrow" w:hAnsi="Arial Narrow" w:cs="Calibri"/>
                <w:i/>
                <w:iCs/>
                <w:color w:val="000000"/>
                <w:sz w:val="18"/>
                <w:szCs w:val="18"/>
              </w:rPr>
              <w:t>brescia</w:t>
            </w:r>
            <w:proofErr w:type="spellEnd"/>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489666C8"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4CF1DDE0" w14:textId="35E1E9C6"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 xml:space="preserve">Classical </w:t>
            </w:r>
            <w:r>
              <w:rPr>
                <w:rFonts w:ascii="Arial Narrow" w:hAnsi="Arial Narrow" w:cs="Calibri"/>
                <w:color w:val="000000"/>
                <w:sz w:val="18"/>
                <w:szCs w:val="18"/>
              </w:rPr>
              <w:t>S</w:t>
            </w:r>
            <w:r w:rsidRPr="00357146">
              <w:rPr>
                <w:rFonts w:ascii="Arial Narrow" w:hAnsi="Arial Narrow" w:cs="Calibri"/>
                <w:color w:val="000000"/>
                <w:sz w:val="18"/>
                <w:szCs w:val="18"/>
              </w:rPr>
              <w:t xml:space="preserve">wine </w:t>
            </w:r>
            <w:r>
              <w:rPr>
                <w:rFonts w:ascii="Arial Narrow" w:hAnsi="Arial Narrow" w:cs="Calibri"/>
                <w:color w:val="000000"/>
                <w:sz w:val="18"/>
                <w:szCs w:val="18"/>
              </w:rPr>
              <w:t>F</w:t>
            </w:r>
            <w:r w:rsidRPr="00357146">
              <w:rPr>
                <w:rFonts w:ascii="Arial Narrow" w:hAnsi="Arial Narrow" w:cs="Calibri"/>
                <w:color w:val="000000"/>
                <w:sz w:val="18"/>
                <w:szCs w:val="18"/>
              </w:rPr>
              <w:t xml:space="preserve">ever </w:t>
            </w:r>
            <w:r>
              <w:rPr>
                <w:rFonts w:ascii="Arial Narrow" w:hAnsi="Arial Narrow" w:cs="Calibri"/>
                <w:color w:val="000000"/>
                <w:sz w:val="18"/>
                <w:szCs w:val="18"/>
              </w:rPr>
              <w:t>V</w:t>
            </w:r>
            <w:r w:rsidRPr="00357146">
              <w:rPr>
                <w:rFonts w:ascii="Arial Narrow" w:hAnsi="Arial Narrow" w:cs="Calibri"/>
                <w:color w:val="000000"/>
                <w:sz w:val="18"/>
                <w:szCs w:val="18"/>
              </w:rPr>
              <w:t>irus (CSFV)</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75D9ACB8"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Pigs</w:t>
            </w:r>
          </w:p>
        </w:tc>
        <w:tc>
          <w:tcPr>
            <w:tcW w:w="992" w:type="dxa"/>
            <w:noWrap/>
            <w:hideMark/>
          </w:tcPr>
          <w:p w14:paraId="3AC40096" w14:textId="36D21C9C"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0C574A25" w14:textId="698F89EA"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4.</w:t>
            </w:r>
            <w:r>
              <w:rPr>
                <w:rFonts w:ascii="Arial Narrow" w:hAnsi="Arial Narrow" w:cs="Calibri"/>
                <w:color w:val="000000"/>
                <w:sz w:val="18"/>
                <w:szCs w:val="18"/>
              </w:rPr>
              <w:t>7</w:t>
            </w:r>
          </w:p>
        </w:tc>
        <w:tc>
          <w:tcPr>
            <w:tcW w:w="1271" w:type="dxa"/>
            <w:noWrap/>
            <w:hideMark/>
          </w:tcPr>
          <w:p w14:paraId="0BC42424"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7EAB437A"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0B48ADB0" w14:textId="027A345D"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r w:rsidR="00F0298E" w:rsidRPr="00357146" w14:paraId="007C0897"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5C95E86B"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ASFV</w:t>
            </w:r>
          </w:p>
        </w:tc>
        <w:tc>
          <w:tcPr>
            <w:cnfStyle w:val="000010000000" w:firstRow="0" w:lastRow="0" w:firstColumn="0" w:lastColumn="0" w:oddVBand="1" w:evenVBand="0" w:oddHBand="0" w:evenHBand="0" w:firstRowFirstColumn="0" w:firstRowLastColumn="0" w:lastRowFirstColumn="0" w:lastRowLastColumn="0"/>
            <w:tcW w:w="1364" w:type="dxa"/>
            <w:noWrap/>
            <w:hideMark/>
          </w:tcPr>
          <w:p w14:paraId="7E023FB0"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Viral</w:t>
            </w:r>
          </w:p>
        </w:tc>
        <w:tc>
          <w:tcPr>
            <w:tcW w:w="3314" w:type="dxa"/>
            <w:noWrap/>
            <w:hideMark/>
          </w:tcPr>
          <w:p w14:paraId="37523594" w14:textId="77777777"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African Swine Fever</w:t>
            </w:r>
          </w:p>
        </w:tc>
        <w:tc>
          <w:tcPr>
            <w:cnfStyle w:val="000010000000" w:firstRow="0" w:lastRow="0" w:firstColumn="0" w:lastColumn="0" w:oddVBand="1" w:evenVBand="0" w:oddHBand="0" w:evenHBand="0" w:firstRowFirstColumn="0" w:firstRowLastColumn="0" w:lastRowFirstColumn="0" w:lastRowLastColumn="0"/>
            <w:tcW w:w="2410" w:type="dxa"/>
            <w:noWrap/>
            <w:hideMark/>
          </w:tcPr>
          <w:p w14:paraId="67DE454E" w14:textId="77777777" w:rsidR="00F0298E" w:rsidRPr="00357146" w:rsidRDefault="00F0298E" w:rsidP="00F0298E">
            <w:pPr>
              <w:spacing w:after="0"/>
              <w:rPr>
                <w:rFonts w:ascii="Arial Narrow" w:hAnsi="Arial Narrow" w:cs="Calibri"/>
                <w:color w:val="000000"/>
                <w:sz w:val="18"/>
                <w:szCs w:val="18"/>
              </w:rPr>
            </w:pPr>
            <w:r w:rsidRPr="00357146">
              <w:rPr>
                <w:rFonts w:ascii="Arial Narrow" w:hAnsi="Arial Narrow" w:cs="Calibri"/>
                <w:color w:val="000000"/>
                <w:sz w:val="18"/>
                <w:szCs w:val="18"/>
              </w:rPr>
              <w:t>Pigs</w:t>
            </w:r>
          </w:p>
        </w:tc>
        <w:tc>
          <w:tcPr>
            <w:tcW w:w="992" w:type="dxa"/>
            <w:noWrap/>
            <w:hideMark/>
          </w:tcPr>
          <w:p w14:paraId="5515B9AB" w14:textId="35A051AF"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9C75F6">
              <w:rPr>
                <w:rFonts w:ascii="Arial Narrow" w:hAnsi="Arial Narrow" w:cs="Calibri"/>
                <w:color w:val="000000"/>
                <w:sz w:val="18"/>
                <w:szCs w:val="18"/>
              </w:rPr>
              <w:t>Mammals</w:t>
            </w:r>
          </w:p>
        </w:tc>
        <w:tc>
          <w:tcPr>
            <w:cnfStyle w:val="000010000000" w:firstRow="0" w:lastRow="0" w:firstColumn="0" w:lastColumn="0" w:oddVBand="1" w:evenVBand="0" w:oddHBand="0" w:evenHBand="0" w:firstRowFirstColumn="0" w:firstRowLastColumn="0" w:lastRowFirstColumn="0" w:lastRowLastColumn="0"/>
            <w:tcW w:w="992" w:type="dxa"/>
            <w:noWrap/>
            <w:hideMark/>
          </w:tcPr>
          <w:p w14:paraId="3D80CA62" w14:textId="2A091F6B"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4.</w:t>
            </w:r>
            <w:r>
              <w:rPr>
                <w:rFonts w:ascii="Arial Narrow" w:hAnsi="Arial Narrow" w:cs="Calibri"/>
                <w:color w:val="000000"/>
                <w:sz w:val="18"/>
                <w:szCs w:val="18"/>
              </w:rPr>
              <w:t>7</w:t>
            </w:r>
          </w:p>
        </w:tc>
        <w:tc>
          <w:tcPr>
            <w:tcW w:w="1271" w:type="dxa"/>
            <w:noWrap/>
            <w:hideMark/>
          </w:tcPr>
          <w:p w14:paraId="10E0F5B5" w14:textId="77777777" w:rsidR="00F0298E" w:rsidRPr="00357146" w:rsidRDefault="00F0298E" w:rsidP="00F0298E">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038" w:type="dxa"/>
            <w:noWrap/>
            <w:hideMark/>
          </w:tcPr>
          <w:p w14:paraId="213EEE02" w14:textId="77777777" w:rsidR="00F0298E" w:rsidRPr="00357146" w:rsidRDefault="00F0298E" w:rsidP="00F0298E">
            <w:pPr>
              <w:spacing w:after="0"/>
              <w:jc w:val="center"/>
              <w:rPr>
                <w:rFonts w:ascii="Arial Narrow" w:hAnsi="Arial Narrow" w:cs="Calibri"/>
                <w:color w:val="000000"/>
                <w:sz w:val="18"/>
                <w:szCs w:val="18"/>
              </w:rPr>
            </w:pPr>
            <w:r w:rsidRPr="00357146">
              <w:rPr>
                <w:rFonts w:ascii="Arial Narrow" w:hAnsi="Arial Narrow" w:cs="Calibri"/>
                <w:color w:val="000000"/>
                <w:sz w:val="18"/>
                <w:szCs w:val="18"/>
              </w:rPr>
              <w:t>1</w:t>
            </w:r>
          </w:p>
        </w:tc>
        <w:tc>
          <w:tcPr>
            <w:tcW w:w="951" w:type="dxa"/>
            <w:noWrap/>
            <w:hideMark/>
          </w:tcPr>
          <w:p w14:paraId="063D809F" w14:textId="253776B4" w:rsidR="00F0298E" w:rsidRPr="00357146" w:rsidRDefault="00F0298E" w:rsidP="00F0298E">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57146">
              <w:rPr>
                <w:rFonts w:ascii="Arial Narrow" w:hAnsi="Arial Narrow" w:cs="Calibri"/>
                <w:color w:val="000000"/>
                <w:sz w:val="18"/>
                <w:szCs w:val="18"/>
              </w:rPr>
              <w:t>High</w:t>
            </w:r>
          </w:p>
        </w:tc>
      </w:tr>
    </w:tbl>
    <w:p w14:paraId="74AA1F13" w14:textId="77777777" w:rsidR="00081EAB" w:rsidRDefault="00081EAB" w:rsidP="00784DA6">
      <w:pPr>
        <w:sectPr w:rsidR="00081EAB" w:rsidSect="00701D3F">
          <w:footerReference w:type="default" r:id="rId43"/>
          <w:pgSz w:w="16840" w:h="11907" w:orient="landscape" w:code="9"/>
          <w:pgMar w:top="1134" w:right="1134" w:bottom="1134" w:left="1134" w:header="709" w:footer="567" w:gutter="0"/>
          <w:cols w:space="708"/>
          <w:formProt w:val="0"/>
          <w:titlePg/>
          <w:docGrid w:linePitch="360"/>
        </w:sectPr>
      </w:pPr>
    </w:p>
    <w:p w14:paraId="760CD961" w14:textId="05783FF1" w:rsidR="00820A4A" w:rsidRDefault="00820A4A" w:rsidP="00D74B6F">
      <w:pPr>
        <w:pStyle w:val="Heading2-Numbered"/>
      </w:pPr>
      <w:bookmarkStart w:id="75" w:name="_Toc198634110"/>
      <w:r>
        <w:lastRenderedPageBreak/>
        <w:t xml:space="preserve">Diseases of </w:t>
      </w:r>
      <w:r w:rsidR="00521664">
        <w:t xml:space="preserve">severe </w:t>
      </w:r>
      <w:r>
        <w:t>risk to high conservation status wildlife in Victoria</w:t>
      </w:r>
      <w:bookmarkEnd w:id="75"/>
      <w:r>
        <w:t xml:space="preserve"> </w:t>
      </w:r>
    </w:p>
    <w:p w14:paraId="65FC622F" w14:textId="5BF40256" w:rsidR="00820A4A" w:rsidRDefault="00820A4A" w:rsidP="00820A4A">
      <w:r>
        <w:t xml:space="preserve">To highlight diseases </w:t>
      </w:r>
      <w:r w:rsidR="00F6053D">
        <w:t>assessed as</w:t>
      </w:r>
      <w:r>
        <w:t xml:space="preserve"> severe risks to threatened wildlife species</w:t>
      </w:r>
      <w:r w:rsidR="00141DC0">
        <w:t xml:space="preserve"> in Victoria</w:t>
      </w:r>
      <w:r>
        <w:t xml:space="preserve"> we have </w:t>
      </w:r>
      <w:r w:rsidR="00141DC0">
        <w:t xml:space="preserve">separately </w:t>
      </w:r>
      <w:r>
        <w:t xml:space="preserve">tabulated all diseases which were evaluated as being </w:t>
      </w:r>
      <w:r w:rsidR="00141DC0">
        <w:t xml:space="preserve">of </w:t>
      </w:r>
      <w:r w:rsidR="004F2F1F">
        <w:t>H</w:t>
      </w:r>
      <w:r>
        <w:t xml:space="preserve">igh or </w:t>
      </w:r>
      <w:r w:rsidR="004F2F1F">
        <w:t>E</w:t>
      </w:r>
      <w:r>
        <w:t xml:space="preserve">xtreme conservation risks for one or more wildlife species listed as Endangered (EN) or Critically Endangered (CR) under the Flora and Fauna Guarantee Act. These results are presented </w:t>
      </w:r>
      <w:r w:rsidR="00141DC0">
        <w:t xml:space="preserve">separately </w:t>
      </w:r>
      <w:r w:rsidR="00220CCF">
        <w:t xml:space="preserve">for mammals, birds, reptiles and </w:t>
      </w:r>
      <w:r w:rsidR="00521664">
        <w:t>amphibians</w:t>
      </w:r>
      <w:r w:rsidR="00220CCF">
        <w:t xml:space="preserve"> </w:t>
      </w:r>
      <w:r>
        <w:t xml:space="preserve">in Tables </w:t>
      </w:r>
      <w:r w:rsidR="004F2F1F">
        <w:t>11</w:t>
      </w:r>
      <w:r w:rsidR="00220CCF">
        <w:t>–1</w:t>
      </w:r>
      <w:r w:rsidR="004F2F1F">
        <w:t>4</w:t>
      </w:r>
      <w:r w:rsidR="005E0C73">
        <w:t xml:space="preserve"> below</w:t>
      </w:r>
      <w:r w:rsidR="00220CCF">
        <w:t>.</w:t>
      </w:r>
    </w:p>
    <w:p w14:paraId="74A84285" w14:textId="79353A87" w:rsidR="00820A4A" w:rsidRDefault="000B4C09" w:rsidP="007E6450">
      <w:r>
        <w:t>Among the</w:t>
      </w:r>
      <w:r w:rsidR="00220CCF">
        <w:t xml:space="preserve"> Endangered or Critically </w:t>
      </w:r>
      <w:r w:rsidR="00A741EB">
        <w:t>Endangered</w:t>
      </w:r>
      <w:r w:rsidR="00220CCF">
        <w:t xml:space="preserve"> mammals</w:t>
      </w:r>
      <w:r>
        <w:t xml:space="preserve"> </w:t>
      </w:r>
      <w:r w:rsidR="00991C26">
        <w:t>identified</w:t>
      </w:r>
      <w:r>
        <w:t xml:space="preserve"> in Victoria</w:t>
      </w:r>
      <w:r w:rsidR="00220CCF">
        <w:t xml:space="preserve">, </w:t>
      </w:r>
      <w:r>
        <w:t xml:space="preserve">only two diseases were found to represent Extreme or High conservation risks. These were </w:t>
      </w:r>
      <w:r w:rsidR="00E07B96">
        <w:t>White Nose Syndrome</w:t>
      </w:r>
      <w:r>
        <w:t xml:space="preserve">, which was evaluated as being an Extreme or High </w:t>
      </w:r>
      <w:r w:rsidR="0088608E">
        <w:t>r</w:t>
      </w:r>
      <w:r>
        <w:t xml:space="preserve">isk for </w:t>
      </w:r>
      <w:r w:rsidR="00C35A33">
        <w:t xml:space="preserve">three </w:t>
      </w:r>
      <w:r w:rsidR="00C55069">
        <w:t>threatened bat species</w:t>
      </w:r>
      <w:r w:rsidR="00C35A33">
        <w:t xml:space="preserve">, and </w:t>
      </w:r>
      <w:r w:rsidR="00E07B96">
        <w:t>High Pathogenic Avian Influenza</w:t>
      </w:r>
      <w:r w:rsidR="00C35A33">
        <w:t xml:space="preserve">, which was evaluated as representing a </w:t>
      </w:r>
      <w:proofErr w:type="gramStart"/>
      <w:r w:rsidR="00C35A33">
        <w:t>High</w:t>
      </w:r>
      <w:proofErr w:type="gramEnd"/>
      <w:r w:rsidR="00C35A33">
        <w:t xml:space="preserve"> conservation risk to the Victorian population of the Australian Sea-lion</w:t>
      </w:r>
      <w:r w:rsidR="00991C26">
        <w:t xml:space="preserve"> (</w:t>
      </w:r>
      <w:proofErr w:type="spellStart"/>
      <w:r w:rsidR="00991C26" w:rsidRPr="00DA5824">
        <w:rPr>
          <w:i/>
          <w:iCs/>
        </w:rPr>
        <w:t>Neophoca</w:t>
      </w:r>
      <w:proofErr w:type="spellEnd"/>
      <w:r w:rsidR="00991C26" w:rsidRPr="00DA5824">
        <w:rPr>
          <w:i/>
          <w:iCs/>
        </w:rPr>
        <w:t xml:space="preserve"> cinerea</w:t>
      </w:r>
      <w:r w:rsidR="00991C26">
        <w:t>)</w:t>
      </w:r>
      <w:r w:rsidR="007E6450">
        <w:t xml:space="preserve"> (Table </w:t>
      </w:r>
      <w:r w:rsidR="004F2F1F">
        <w:t>11</w:t>
      </w:r>
      <w:r w:rsidR="00B0078C">
        <w:t>)</w:t>
      </w:r>
      <w:r w:rsidR="00C35A33">
        <w:t xml:space="preserve">. </w:t>
      </w:r>
      <w:bookmarkStart w:id="76" w:name="_Toc152362466"/>
    </w:p>
    <w:p w14:paraId="0814D5A1" w14:textId="0DC3E7BC" w:rsidR="00C73E83" w:rsidRDefault="003266A4" w:rsidP="000D6456">
      <w:pPr>
        <w:pStyle w:val="Caption-Table"/>
      </w:pPr>
      <w:bookmarkStart w:id="77" w:name="_Toc198634143"/>
      <w:r>
        <w:t xml:space="preserve">Table </w:t>
      </w:r>
      <w:r w:rsidR="00B412B1">
        <w:t>11</w:t>
      </w:r>
      <w:r w:rsidR="00715F59">
        <w:t xml:space="preserve">. </w:t>
      </w:r>
      <w:bookmarkEnd w:id="76"/>
      <w:r w:rsidR="006469E7">
        <w:t>Diseases that</w:t>
      </w:r>
      <w:r w:rsidR="002873B6">
        <w:t xml:space="preserve"> were </w:t>
      </w:r>
      <w:r w:rsidR="002873B6" w:rsidRPr="001F5B18">
        <w:t>assessed</w:t>
      </w:r>
      <w:r w:rsidR="002873B6">
        <w:t xml:space="preserve"> as</w:t>
      </w:r>
      <w:r w:rsidR="006469E7">
        <w:t xml:space="preserve"> represent</w:t>
      </w:r>
      <w:r w:rsidR="002873B6">
        <w:t>ing</w:t>
      </w:r>
      <w:r w:rsidR="006469E7">
        <w:t xml:space="preserve"> </w:t>
      </w:r>
      <w:r w:rsidR="002873B6">
        <w:t xml:space="preserve">potentially </w:t>
      </w:r>
      <w:r w:rsidR="001F5D6D">
        <w:t>E</w:t>
      </w:r>
      <w:r w:rsidR="006469E7">
        <w:t xml:space="preserve">xtreme </w:t>
      </w:r>
      <w:r w:rsidR="00325D8D">
        <w:t xml:space="preserve">or </w:t>
      </w:r>
      <w:r w:rsidR="001F5D6D">
        <w:t>H</w:t>
      </w:r>
      <w:r w:rsidR="00325D8D">
        <w:t xml:space="preserve">igh </w:t>
      </w:r>
      <w:r w:rsidR="006469E7">
        <w:t>conservation risks to</w:t>
      </w:r>
      <w:r w:rsidR="005A2EB2">
        <w:t xml:space="preserve"> </w:t>
      </w:r>
      <w:r w:rsidR="00991C26">
        <w:t>E</w:t>
      </w:r>
      <w:r w:rsidR="005A2EB2">
        <w:t xml:space="preserve">ndangered </w:t>
      </w:r>
      <w:r w:rsidR="006322A0">
        <w:t xml:space="preserve">(EN) </w:t>
      </w:r>
      <w:r w:rsidR="005A2EB2">
        <w:t xml:space="preserve">and </w:t>
      </w:r>
      <w:r w:rsidR="00991C26">
        <w:t>C</w:t>
      </w:r>
      <w:r w:rsidR="005A2EB2">
        <w:t>ritically Endangered</w:t>
      </w:r>
      <w:r w:rsidR="006322A0">
        <w:t xml:space="preserve"> (CE)</w:t>
      </w:r>
      <w:r w:rsidR="006469E7">
        <w:t xml:space="preserve"> FFG</w:t>
      </w:r>
      <w:r w:rsidR="00991C26">
        <w:t>-</w:t>
      </w:r>
      <w:r w:rsidR="006469E7">
        <w:t>listed mammals in Victoria</w:t>
      </w:r>
      <w:r w:rsidR="00991C26">
        <w:t>.</w:t>
      </w:r>
      <w:bookmarkEnd w:id="77"/>
    </w:p>
    <w:tbl>
      <w:tblPr>
        <w:tblStyle w:val="TableGrid10"/>
        <w:tblW w:w="9923" w:type="dxa"/>
        <w:tblLayout w:type="fixed"/>
        <w:tblLook w:val="04A0" w:firstRow="1" w:lastRow="0" w:firstColumn="1" w:lastColumn="0" w:noHBand="0" w:noVBand="1"/>
      </w:tblPr>
      <w:tblGrid>
        <w:gridCol w:w="1984"/>
        <w:gridCol w:w="1984"/>
        <w:gridCol w:w="1985"/>
        <w:gridCol w:w="2269"/>
        <w:gridCol w:w="1701"/>
      </w:tblGrid>
      <w:tr w:rsidR="000A26EC" w:rsidRPr="00C52963" w14:paraId="586CDAF0" w14:textId="77ACC432" w:rsidTr="00DA58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0D84D47C" w14:textId="2F9DC8FA" w:rsidR="000A26EC" w:rsidRPr="00DA5824" w:rsidRDefault="000A26EC">
            <w:pPr>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Common </w:t>
            </w:r>
            <w:r w:rsidR="00991C26"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1984" w:type="dxa"/>
          </w:tcPr>
          <w:p w14:paraId="3BD840E9" w14:textId="5333E2B4" w:rsidR="000A26EC" w:rsidRPr="00DA5824" w:rsidRDefault="000A26EC">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Scientific </w:t>
            </w:r>
            <w:r w:rsidR="00991C26"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1985" w:type="dxa"/>
          </w:tcPr>
          <w:p w14:paraId="723EF665" w14:textId="088D02F6" w:rsidR="000A26EC" w:rsidRPr="00DA5824" w:rsidRDefault="00325D8D">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FFG </w:t>
            </w:r>
            <w:r w:rsidR="00991C26" w:rsidRPr="00DA5824">
              <w:rPr>
                <w:rFonts w:ascii="Arial Narrow" w:hAnsi="Arial Narrow"/>
                <w:b/>
                <w:color w:val="FFFFFF" w:themeColor="background1"/>
                <w:sz w:val="18"/>
                <w:szCs w:val="18"/>
                <w:lang w:eastAsia="en-US"/>
              </w:rPr>
              <w:t>s</w:t>
            </w:r>
            <w:r w:rsidR="000A26EC" w:rsidRPr="00DA5824">
              <w:rPr>
                <w:rFonts w:ascii="Arial Narrow" w:hAnsi="Arial Narrow"/>
                <w:b/>
                <w:color w:val="FFFFFF" w:themeColor="background1"/>
                <w:sz w:val="18"/>
                <w:szCs w:val="18"/>
                <w:lang w:eastAsia="en-US"/>
              </w:rPr>
              <w:t>tatus</w:t>
            </w:r>
          </w:p>
        </w:tc>
        <w:tc>
          <w:tcPr>
            <w:tcW w:w="2269" w:type="dxa"/>
          </w:tcPr>
          <w:p w14:paraId="747F7307" w14:textId="2968537E" w:rsidR="000A26EC" w:rsidRPr="00DA5824" w:rsidRDefault="000A26EC">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Diseases with Extreme or High </w:t>
            </w:r>
            <w:r w:rsidR="00991C26" w:rsidRPr="00DA5824">
              <w:rPr>
                <w:rFonts w:ascii="Arial Narrow" w:hAnsi="Arial Narrow"/>
                <w:b/>
                <w:color w:val="FFFFFF" w:themeColor="background1"/>
                <w:sz w:val="18"/>
                <w:szCs w:val="18"/>
                <w:lang w:eastAsia="en-US"/>
              </w:rPr>
              <w:t>c</w:t>
            </w:r>
            <w:r w:rsidRPr="00DA5824">
              <w:rPr>
                <w:rFonts w:ascii="Arial Narrow" w:hAnsi="Arial Narrow"/>
                <w:b/>
                <w:color w:val="FFFFFF" w:themeColor="background1"/>
                <w:sz w:val="18"/>
                <w:szCs w:val="18"/>
                <w:lang w:eastAsia="en-US"/>
              </w:rPr>
              <w:t xml:space="preserve">onservation </w:t>
            </w:r>
            <w:r w:rsidR="00991C26" w:rsidRPr="00DA5824">
              <w:rPr>
                <w:rFonts w:ascii="Arial Narrow" w:hAnsi="Arial Narrow"/>
                <w:b/>
                <w:color w:val="FFFFFF" w:themeColor="background1"/>
                <w:sz w:val="18"/>
                <w:szCs w:val="18"/>
                <w:lang w:eastAsia="en-US"/>
              </w:rPr>
              <w:t>r</w:t>
            </w:r>
            <w:r w:rsidRPr="00DA5824">
              <w:rPr>
                <w:rFonts w:ascii="Arial Narrow" w:hAnsi="Arial Narrow"/>
                <w:b/>
                <w:color w:val="FFFFFF" w:themeColor="background1"/>
                <w:sz w:val="18"/>
                <w:szCs w:val="18"/>
                <w:lang w:eastAsia="en-US"/>
              </w:rPr>
              <w:t>isk</w:t>
            </w:r>
          </w:p>
        </w:tc>
        <w:tc>
          <w:tcPr>
            <w:tcW w:w="1701" w:type="dxa"/>
          </w:tcPr>
          <w:p w14:paraId="39EFA27B" w14:textId="37775D26" w:rsidR="000A26EC" w:rsidRPr="00DA5824" w:rsidRDefault="00780AD8">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Risk rating</w:t>
            </w:r>
          </w:p>
        </w:tc>
      </w:tr>
      <w:tr w:rsidR="000A26EC" w:rsidRPr="007A3F86" w14:paraId="69B1B739" w14:textId="3BF092EC" w:rsidTr="00DA5824">
        <w:trPr>
          <w:trHeight w:val="30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D490B7B" w14:textId="77777777" w:rsidR="000A26EC" w:rsidRPr="007A3F86" w:rsidRDefault="000A26EC" w:rsidP="007A3F86">
            <w:pPr>
              <w:spacing w:after="0"/>
              <w:rPr>
                <w:rFonts w:ascii="Arial Narrow" w:hAnsi="Arial Narrow" w:cs="Calibri"/>
                <w:i/>
                <w:iCs/>
                <w:color w:val="000000"/>
                <w:sz w:val="18"/>
                <w:szCs w:val="18"/>
              </w:rPr>
            </w:pPr>
            <w:proofErr w:type="spellStart"/>
            <w:r w:rsidRPr="007A3F86">
              <w:rPr>
                <w:rFonts w:ascii="Arial Narrow" w:hAnsi="Arial Narrow" w:cs="Calibri"/>
                <w:i/>
                <w:iCs/>
                <w:color w:val="000000"/>
                <w:sz w:val="18"/>
                <w:szCs w:val="18"/>
              </w:rPr>
              <w:t>Miniopterus</w:t>
            </w:r>
            <w:proofErr w:type="spellEnd"/>
            <w:r w:rsidRPr="007A3F86">
              <w:rPr>
                <w:rFonts w:ascii="Arial Narrow" w:hAnsi="Arial Narrow" w:cs="Calibri"/>
                <w:i/>
                <w:iCs/>
                <w:color w:val="000000"/>
                <w:sz w:val="18"/>
                <w:szCs w:val="18"/>
              </w:rPr>
              <w:t xml:space="preserve"> </w:t>
            </w:r>
            <w:proofErr w:type="spellStart"/>
            <w:r w:rsidRPr="007A3F86">
              <w:rPr>
                <w:rFonts w:ascii="Arial Narrow" w:hAnsi="Arial Narrow" w:cs="Calibri"/>
                <w:i/>
                <w:iCs/>
                <w:color w:val="000000"/>
                <w:sz w:val="18"/>
                <w:szCs w:val="18"/>
              </w:rPr>
              <w:t>orianae</w:t>
            </w:r>
            <w:proofErr w:type="spellEnd"/>
            <w:r w:rsidRPr="007A3F86">
              <w:rPr>
                <w:rFonts w:ascii="Arial Narrow" w:hAnsi="Arial Narrow" w:cs="Calibri"/>
                <w:i/>
                <w:iCs/>
                <w:color w:val="000000"/>
                <w:sz w:val="18"/>
                <w:szCs w:val="18"/>
              </w:rPr>
              <w:t xml:space="preserve"> </w:t>
            </w:r>
            <w:proofErr w:type="spellStart"/>
            <w:r w:rsidRPr="007A3F86">
              <w:rPr>
                <w:rFonts w:ascii="Arial Narrow" w:hAnsi="Arial Narrow" w:cs="Calibri"/>
                <w:i/>
                <w:iCs/>
                <w:color w:val="000000"/>
                <w:sz w:val="18"/>
                <w:szCs w:val="18"/>
              </w:rPr>
              <w:t>bassanii</w:t>
            </w:r>
            <w:proofErr w:type="spellEnd"/>
          </w:p>
        </w:tc>
        <w:tc>
          <w:tcPr>
            <w:tcW w:w="1984" w:type="dxa"/>
            <w:noWrap/>
            <w:hideMark/>
          </w:tcPr>
          <w:p w14:paraId="664A3217" w14:textId="77777777" w:rsidR="000A26EC" w:rsidRPr="007A3F86" w:rsidRDefault="000A26EC"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7A3F86">
              <w:rPr>
                <w:rFonts w:ascii="Arial Narrow" w:hAnsi="Arial Narrow" w:cs="Calibri"/>
                <w:color w:val="000000"/>
                <w:sz w:val="18"/>
                <w:szCs w:val="18"/>
              </w:rPr>
              <w:t>Southern Bent-wing Bat</w:t>
            </w:r>
          </w:p>
        </w:tc>
        <w:tc>
          <w:tcPr>
            <w:tcW w:w="1985" w:type="dxa"/>
            <w:noWrap/>
          </w:tcPr>
          <w:p w14:paraId="47709657" w14:textId="4498533C" w:rsidR="000A26EC" w:rsidRPr="007A3F86" w:rsidRDefault="000A26EC"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2269" w:type="dxa"/>
            <w:noWrap/>
          </w:tcPr>
          <w:p w14:paraId="4544565B" w14:textId="2257D08F" w:rsidR="000A26EC" w:rsidRPr="007A3F86" w:rsidRDefault="00E07B96"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White Nose Syndrome</w:t>
            </w:r>
          </w:p>
        </w:tc>
        <w:tc>
          <w:tcPr>
            <w:tcW w:w="1701" w:type="dxa"/>
          </w:tcPr>
          <w:p w14:paraId="17414D7D" w14:textId="59C443A1" w:rsidR="000A26EC" w:rsidRDefault="00D35DD3"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0A26EC" w:rsidRPr="007A3F86" w14:paraId="4EE815AB" w14:textId="423D2BB6" w:rsidTr="00DA5824">
        <w:trPr>
          <w:trHeight w:val="30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61CF0190" w14:textId="77777777" w:rsidR="000A26EC" w:rsidRPr="007A3F86" w:rsidRDefault="000A26EC" w:rsidP="007A3F86">
            <w:pPr>
              <w:spacing w:after="0"/>
              <w:rPr>
                <w:rFonts w:ascii="Arial Narrow" w:hAnsi="Arial Narrow" w:cs="Calibri"/>
                <w:i/>
                <w:iCs/>
                <w:color w:val="000000"/>
                <w:sz w:val="18"/>
                <w:szCs w:val="18"/>
              </w:rPr>
            </w:pPr>
            <w:proofErr w:type="spellStart"/>
            <w:r w:rsidRPr="007A3F86">
              <w:rPr>
                <w:rFonts w:ascii="Arial Narrow" w:hAnsi="Arial Narrow" w:cs="Calibri"/>
                <w:i/>
                <w:iCs/>
                <w:color w:val="000000"/>
                <w:sz w:val="18"/>
                <w:szCs w:val="18"/>
              </w:rPr>
              <w:t>Miniopterus</w:t>
            </w:r>
            <w:proofErr w:type="spellEnd"/>
            <w:r w:rsidRPr="007A3F86">
              <w:rPr>
                <w:rFonts w:ascii="Arial Narrow" w:hAnsi="Arial Narrow" w:cs="Calibri"/>
                <w:i/>
                <w:iCs/>
                <w:color w:val="000000"/>
                <w:sz w:val="18"/>
                <w:szCs w:val="18"/>
              </w:rPr>
              <w:t xml:space="preserve"> </w:t>
            </w:r>
            <w:proofErr w:type="spellStart"/>
            <w:r w:rsidRPr="007A3F86">
              <w:rPr>
                <w:rFonts w:ascii="Arial Narrow" w:hAnsi="Arial Narrow" w:cs="Calibri"/>
                <w:i/>
                <w:iCs/>
                <w:color w:val="000000"/>
                <w:sz w:val="18"/>
                <w:szCs w:val="18"/>
              </w:rPr>
              <w:t>orianae</w:t>
            </w:r>
            <w:proofErr w:type="spellEnd"/>
            <w:r w:rsidRPr="007A3F86">
              <w:rPr>
                <w:rFonts w:ascii="Arial Narrow" w:hAnsi="Arial Narrow" w:cs="Calibri"/>
                <w:i/>
                <w:iCs/>
                <w:color w:val="000000"/>
                <w:sz w:val="18"/>
                <w:szCs w:val="18"/>
              </w:rPr>
              <w:t xml:space="preserve"> </w:t>
            </w:r>
            <w:proofErr w:type="spellStart"/>
            <w:r w:rsidRPr="007A3F86">
              <w:rPr>
                <w:rFonts w:ascii="Arial Narrow" w:hAnsi="Arial Narrow" w:cs="Calibri"/>
                <w:i/>
                <w:iCs/>
                <w:color w:val="000000"/>
                <w:sz w:val="18"/>
                <w:szCs w:val="18"/>
              </w:rPr>
              <w:t>oceanensis</w:t>
            </w:r>
            <w:proofErr w:type="spellEnd"/>
            <w:r w:rsidRPr="007A3F86">
              <w:rPr>
                <w:rFonts w:ascii="Arial Narrow" w:hAnsi="Arial Narrow" w:cs="Calibri"/>
                <w:color w:val="000000"/>
                <w:sz w:val="18"/>
                <w:szCs w:val="18"/>
              </w:rPr>
              <w:t xml:space="preserve"> </w:t>
            </w:r>
          </w:p>
        </w:tc>
        <w:tc>
          <w:tcPr>
            <w:tcW w:w="1984" w:type="dxa"/>
            <w:noWrap/>
            <w:hideMark/>
          </w:tcPr>
          <w:p w14:paraId="5D7BD4D1" w14:textId="77777777" w:rsidR="000A26EC" w:rsidRPr="007A3F86" w:rsidRDefault="000A26EC"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7A3F86">
              <w:rPr>
                <w:rFonts w:ascii="Arial Narrow" w:hAnsi="Arial Narrow" w:cs="Calibri"/>
                <w:color w:val="000000"/>
                <w:sz w:val="18"/>
                <w:szCs w:val="18"/>
              </w:rPr>
              <w:t xml:space="preserve">Common Bent-wing Bat (eastern subspecies) </w:t>
            </w:r>
          </w:p>
        </w:tc>
        <w:tc>
          <w:tcPr>
            <w:tcW w:w="1985" w:type="dxa"/>
            <w:noWrap/>
          </w:tcPr>
          <w:p w14:paraId="72A03827" w14:textId="6FC77BF4" w:rsidR="000A26EC" w:rsidRPr="007A3F86" w:rsidRDefault="000A26EC"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2269" w:type="dxa"/>
            <w:noWrap/>
          </w:tcPr>
          <w:p w14:paraId="07973565" w14:textId="1DE8B1E0" w:rsidR="000A26EC" w:rsidRPr="007A3F86" w:rsidRDefault="00E07B96"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White Nose Syndrome</w:t>
            </w:r>
          </w:p>
        </w:tc>
        <w:tc>
          <w:tcPr>
            <w:tcW w:w="1701" w:type="dxa"/>
          </w:tcPr>
          <w:p w14:paraId="3FC2C061" w14:textId="29A40C9D" w:rsidR="000A26EC" w:rsidRPr="007A3F86" w:rsidRDefault="00706695" w:rsidP="007A3F8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E6450" w:rsidRPr="007A3F86" w14:paraId="390FE2CA"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4" w:type="dxa"/>
            <w:noWrap/>
          </w:tcPr>
          <w:p w14:paraId="109D6BD8" w14:textId="61C6FBAA" w:rsidR="007E6450" w:rsidRPr="007A3F86" w:rsidRDefault="007E6450" w:rsidP="007E6450">
            <w:pPr>
              <w:spacing w:after="0"/>
              <w:rPr>
                <w:rFonts w:ascii="Arial Narrow" w:hAnsi="Arial Narrow" w:cs="Calibri"/>
                <w:i/>
                <w:iCs/>
                <w:color w:val="000000"/>
                <w:sz w:val="18"/>
                <w:szCs w:val="18"/>
              </w:rPr>
            </w:pPr>
            <w:r w:rsidRPr="007A3F86">
              <w:rPr>
                <w:rFonts w:ascii="Arial Narrow" w:hAnsi="Arial Narrow" w:cs="Calibri"/>
                <w:i/>
                <w:iCs/>
                <w:color w:val="000000"/>
                <w:sz w:val="18"/>
                <w:szCs w:val="18"/>
              </w:rPr>
              <w:t xml:space="preserve">Rhinolophus </w:t>
            </w:r>
            <w:proofErr w:type="spellStart"/>
            <w:r w:rsidRPr="007A3F86">
              <w:rPr>
                <w:rFonts w:ascii="Arial Narrow" w:hAnsi="Arial Narrow" w:cs="Calibri"/>
                <w:i/>
                <w:iCs/>
                <w:color w:val="000000"/>
                <w:sz w:val="18"/>
                <w:szCs w:val="18"/>
              </w:rPr>
              <w:t>megaphyllus</w:t>
            </w:r>
            <w:proofErr w:type="spellEnd"/>
            <w:r w:rsidRPr="007A3F86">
              <w:rPr>
                <w:rFonts w:ascii="Arial Narrow" w:hAnsi="Arial Narrow" w:cs="Calibri"/>
                <w:i/>
                <w:iCs/>
                <w:color w:val="000000"/>
                <w:sz w:val="18"/>
                <w:szCs w:val="18"/>
              </w:rPr>
              <w:t xml:space="preserve"> </w:t>
            </w:r>
            <w:proofErr w:type="spellStart"/>
            <w:r w:rsidRPr="007A3F86">
              <w:rPr>
                <w:rFonts w:ascii="Arial Narrow" w:hAnsi="Arial Narrow" w:cs="Calibri"/>
                <w:i/>
                <w:iCs/>
                <w:color w:val="000000"/>
                <w:sz w:val="18"/>
                <w:szCs w:val="18"/>
              </w:rPr>
              <w:t>megaphyllus</w:t>
            </w:r>
            <w:proofErr w:type="spellEnd"/>
            <w:r w:rsidRPr="007A3F86">
              <w:rPr>
                <w:rFonts w:ascii="Arial Narrow" w:hAnsi="Arial Narrow" w:cs="Calibri"/>
                <w:color w:val="000000"/>
                <w:sz w:val="18"/>
                <w:szCs w:val="18"/>
              </w:rPr>
              <w:t xml:space="preserve"> </w:t>
            </w:r>
          </w:p>
        </w:tc>
        <w:tc>
          <w:tcPr>
            <w:tcW w:w="1984" w:type="dxa"/>
            <w:noWrap/>
          </w:tcPr>
          <w:p w14:paraId="023EF2D2" w14:textId="29B1818D" w:rsidR="007E6450" w:rsidRPr="007A3F86" w:rsidRDefault="007E6450"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7A3F86">
              <w:rPr>
                <w:rFonts w:ascii="Arial Narrow" w:hAnsi="Arial Narrow" w:cs="Calibri"/>
                <w:color w:val="000000"/>
                <w:sz w:val="18"/>
                <w:szCs w:val="18"/>
              </w:rPr>
              <w:t xml:space="preserve">Eastern Horseshoe Bat </w:t>
            </w:r>
          </w:p>
        </w:tc>
        <w:tc>
          <w:tcPr>
            <w:tcW w:w="1985" w:type="dxa"/>
            <w:noWrap/>
          </w:tcPr>
          <w:p w14:paraId="43F6225A" w14:textId="19C3BB11" w:rsidR="007E6450" w:rsidRDefault="007E6450"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2269" w:type="dxa"/>
            <w:noWrap/>
          </w:tcPr>
          <w:p w14:paraId="5490BC26" w14:textId="02FCB37F" w:rsidR="007E6450" w:rsidRDefault="00E07B96"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White Nose Syndrome</w:t>
            </w:r>
          </w:p>
        </w:tc>
        <w:tc>
          <w:tcPr>
            <w:tcW w:w="1701" w:type="dxa"/>
          </w:tcPr>
          <w:p w14:paraId="4F8EEC66" w14:textId="769AEDBF" w:rsidR="007E6450" w:rsidRDefault="007E6450"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E6450" w:rsidRPr="007A3F86" w14:paraId="5D79C1AF" w14:textId="58C3523D" w:rsidTr="00DA5824">
        <w:trPr>
          <w:trHeight w:val="30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89420E1" w14:textId="77777777" w:rsidR="007E6450" w:rsidRPr="007A3F86" w:rsidRDefault="007E6450" w:rsidP="007E6450">
            <w:pPr>
              <w:spacing w:after="0"/>
              <w:rPr>
                <w:rFonts w:ascii="Arial Narrow" w:hAnsi="Arial Narrow" w:cs="Calibri"/>
                <w:i/>
                <w:iCs/>
                <w:color w:val="000000"/>
                <w:sz w:val="18"/>
                <w:szCs w:val="18"/>
              </w:rPr>
            </w:pPr>
            <w:proofErr w:type="spellStart"/>
            <w:r w:rsidRPr="007A3F86">
              <w:rPr>
                <w:rFonts w:ascii="Arial Narrow" w:hAnsi="Arial Narrow" w:cs="Calibri"/>
                <w:i/>
                <w:iCs/>
                <w:color w:val="000000"/>
                <w:sz w:val="18"/>
                <w:szCs w:val="18"/>
              </w:rPr>
              <w:t>Neophoca</w:t>
            </w:r>
            <w:proofErr w:type="spellEnd"/>
            <w:r w:rsidRPr="007A3F86">
              <w:rPr>
                <w:rFonts w:ascii="Arial Narrow" w:hAnsi="Arial Narrow" w:cs="Calibri"/>
                <w:i/>
                <w:iCs/>
                <w:color w:val="000000"/>
                <w:sz w:val="18"/>
                <w:szCs w:val="18"/>
              </w:rPr>
              <w:t xml:space="preserve"> cinerea</w:t>
            </w:r>
          </w:p>
        </w:tc>
        <w:tc>
          <w:tcPr>
            <w:tcW w:w="1984" w:type="dxa"/>
            <w:noWrap/>
            <w:hideMark/>
          </w:tcPr>
          <w:p w14:paraId="25BE36D3" w14:textId="77777777" w:rsidR="007E6450" w:rsidRPr="007A3F86" w:rsidRDefault="007E6450"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7A3F86">
              <w:rPr>
                <w:rFonts w:ascii="Arial Narrow" w:hAnsi="Arial Narrow" w:cs="Calibri"/>
                <w:color w:val="000000"/>
                <w:sz w:val="18"/>
                <w:szCs w:val="18"/>
              </w:rPr>
              <w:t>Australian Sea-lion</w:t>
            </w:r>
          </w:p>
        </w:tc>
        <w:tc>
          <w:tcPr>
            <w:tcW w:w="1985" w:type="dxa"/>
            <w:noWrap/>
          </w:tcPr>
          <w:p w14:paraId="0D4A0363" w14:textId="25B81652" w:rsidR="007E6450" w:rsidRPr="007A3F86" w:rsidRDefault="007E6450"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2269" w:type="dxa"/>
            <w:noWrap/>
          </w:tcPr>
          <w:p w14:paraId="6B70B26C" w14:textId="354E489D" w:rsidR="007E6450" w:rsidRPr="007A3F86" w:rsidRDefault="007E6450"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1701" w:type="dxa"/>
          </w:tcPr>
          <w:p w14:paraId="5836C3BA" w14:textId="7CC27B41" w:rsidR="007E6450" w:rsidRPr="007A3F86" w:rsidRDefault="007E6450" w:rsidP="007E6450">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bl>
    <w:p w14:paraId="44CD2803" w14:textId="77777777" w:rsidR="00C73E83" w:rsidRDefault="00C73E83" w:rsidP="00C73E83"/>
    <w:p w14:paraId="71A4BB0B" w14:textId="543FF450" w:rsidR="0086379F" w:rsidRDefault="0086379F" w:rsidP="00C73E83">
      <w:r>
        <w:t xml:space="preserve">For </w:t>
      </w:r>
      <w:r w:rsidR="000B73A9">
        <w:t>E</w:t>
      </w:r>
      <w:r>
        <w:t xml:space="preserve">ndangered or </w:t>
      </w:r>
      <w:r w:rsidR="000B73A9">
        <w:t>C</w:t>
      </w:r>
      <w:r>
        <w:t xml:space="preserve">ritically </w:t>
      </w:r>
      <w:r w:rsidR="000B73A9">
        <w:t>E</w:t>
      </w:r>
      <w:r>
        <w:t xml:space="preserve">ndangered Victorian birds, </w:t>
      </w:r>
      <w:r w:rsidR="00A741EB">
        <w:t xml:space="preserve">several diseases were evaluated as representing </w:t>
      </w:r>
      <w:r w:rsidR="009008E0">
        <w:t>H</w:t>
      </w:r>
      <w:r w:rsidR="00A741EB">
        <w:t xml:space="preserve">igh or </w:t>
      </w:r>
      <w:r w:rsidR="009008E0">
        <w:t>E</w:t>
      </w:r>
      <w:r w:rsidR="00A741EB">
        <w:t>xtreme conservation risks (Table 1</w:t>
      </w:r>
      <w:r w:rsidR="004F2F1F">
        <w:t>2</w:t>
      </w:r>
      <w:r w:rsidR="00A741EB">
        <w:t>).</w:t>
      </w:r>
      <w:r w:rsidR="00BE3EC4">
        <w:t xml:space="preserve"> </w:t>
      </w:r>
      <w:r w:rsidR="00AF44E6">
        <w:t xml:space="preserve"> HPAI was </w:t>
      </w:r>
      <w:r w:rsidR="005A129E">
        <w:t xml:space="preserve">assessed as being an </w:t>
      </w:r>
      <w:r w:rsidR="009008E0">
        <w:t>E</w:t>
      </w:r>
      <w:r w:rsidR="005A129E">
        <w:t>xtreme risk to sixteen Endangered or Critically Endangered Victorian birds</w:t>
      </w:r>
      <w:r w:rsidR="00221076">
        <w:t xml:space="preserve">, most of which were various species of wading birds and terns. </w:t>
      </w:r>
      <w:r w:rsidR="00E866EC">
        <w:t>Several FFG</w:t>
      </w:r>
      <w:r w:rsidR="000B73A9">
        <w:t>-</w:t>
      </w:r>
      <w:r w:rsidR="00E866EC">
        <w:t xml:space="preserve">listed parrot species were judged to be at </w:t>
      </w:r>
      <w:r w:rsidR="00E44BBD">
        <w:t>E</w:t>
      </w:r>
      <w:r w:rsidR="00E866EC">
        <w:t xml:space="preserve">xtreme risk from </w:t>
      </w:r>
      <w:r w:rsidR="00C17323">
        <w:t>Pacheco’s Disease</w:t>
      </w:r>
      <w:r w:rsidR="00C75A67">
        <w:t xml:space="preserve"> and the Orange-bellied parrot was at </w:t>
      </w:r>
      <w:r w:rsidR="00E44BBD">
        <w:t>E</w:t>
      </w:r>
      <w:r w:rsidR="00C75A67">
        <w:t xml:space="preserve">xtreme risk from </w:t>
      </w:r>
      <w:r w:rsidR="00C17323">
        <w:t>Beak and Feather Disease</w:t>
      </w:r>
      <w:r w:rsidR="00C75A67">
        <w:t xml:space="preserve"> (Table 1</w:t>
      </w:r>
      <w:r w:rsidR="004F2F1F">
        <w:t>2</w:t>
      </w:r>
      <w:r w:rsidR="00C75A67">
        <w:t>).</w:t>
      </w:r>
      <w:r w:rsidR="00BE3EC4">
        <w:t xml:space="preserve"> </w:t>
      </w:r>
    </w:p>
    <w:p w14:paraId="3281FFE0" w14:textId="348C7475" w:rsidR="00077A99" w:rsidRDefault="00077A99" w:rsidP="00077A99">
      <w:r>
        <w:t>Among</w:t>
      </w:r>
      <w:r w:rsidR="000B73A9">
        <w:t xml:space="preserve"> the</w:t>
      </w:r>
      <w:r>
        <w:t xml:space="preserve"> endangered and critically endangered Victorian reptiles, two fungal pathogens (</w:t>
      </w:r>
      <w:proofErr w:type="spellStart"/>
      <w:r w:rsidRPr="005C0419">
        <w:rPr>
          <w:i/>
          <w:iCs/>
        </w:rPr>
        <w:t>Paranannizziopsis</w:t>
      </w:r>
      <w:proofErr w:type="spellEnd"/>
      <w:r w:rsidRPr="005C0419">
        <w:rPr>
          <w:i/>
          <w:iCs/>
        </w:rPr>
        <w:t xml:space="preserve"> </w:t>
      </w:r>
      <w:proofErr w:type="spellStart"/>
      <w:r w:rsidRPr="005C0419">
        <w:rPr>
          <w:i/>
          <w:iCs/>
        </w:rPr>
        <w:t>australiensis</w:t>
      </w:r>
      <w:proofErr w:type="spellEnd"/>
      <w:r>
        <w:t xml:space="preserve"> and </w:t>
      </w:r>
      <w:proofErr w:type="spellStart"/>
      <w:r w:rsidRPr="005C0419">
        <w:rPr>
          <w:i/>
          <w:iCs/>
        </w:rPr>
        <w:t>Nannizziopsis</w:t>
      </w:r>
      <w:proofErr w:type="spellEnd"/>
      <w:r w:rsidRPr="005C0419">
        <w:rPr>
          <w:i/>
          <w:iCs/>
        </w:rPr>
        <w:t xml:space="preserve"> </w:t>
      </w:r>
      <w:proofErr w:type="spellStart"/>
      <w:r w:rsidRPr="005C0419">
        <w:rPr>
          <w:i/>
          <w:iCs/>
        </w:rPr>
        <w:t>barbatae</w:t>
      </w:r>
      <w:proofErr w:type="spellEnd"/>
      <w:r>
        <w:t xml:space="preserve">) were assessed as </w:t>
      </w:r>
      <w:r w:rsidR="004F2F1F">
        <w:t>H</w:t>
      </w:r>
      <w:r>
        <w:t>igh risks to the conservation status of numerous endangered and critically endangered reptile species in Victoria (Table 1</w:t>
      </w:r>
      <w:r w:rsidR="004F2F1F">
        <w:t>3</w:t>
      </w:r>
      <w:r>
        <w:t>).</w:t>
      </w:r>
      <w:r w:rsidR="00BE3EC4">
        <w:t xml:space="preserve"> </w:t>
      </w:r>
      <w:r>
        <w:t xml:space="preserve">However, the assessments for these two pathogens had high levels of uncertainty (Table </w:t>
      </w:r>
      <w:r w:rsidR="004F2F1F">
        <w:t>9</w:t>
      </w:r>
      <w:r>
        <w:t>).</w:t>
      </w:r>
      <w:r w:rsidR="00BE3EC4">
        <w:t xml:space="preserve"> </w:t>
      </w:r>
    </w:p>
    <w:p w14:paraId="1E9A2BB0" w14:textId="3A1DAD39" w:rsidR="00FF09DF" w:rsidRDefault="00FF09DF" w:rsidP="00FF09DF">
      <w:r>
        <w:t xml:space="preserve">The globally significant fungal disease of amphibians, </w:t>
      </w:r>
      <w:r w:rsidR="000E0BE1">
        <w:t>Chytridiomycosis</w:t>
      </w:r>
      <w:r w:rsidR="00A81ADD">
        <w:t>,</w:t>
      </w:r>
      <w:r>
        <w:t xml:space="preserve"> was the only disease that was assessed as representing either a </w:t>
      </w:r>
      <w:r w:rsidR="004F2F1F">
        <w:t>H</w:t>
      </w:r>
      <w:r>
        <w:t xml:space="preserve">igh or </w:t>
      </w:r>
      <w:r w:rsidR="004F2F1F">
        <w:t>E</w:t>
      </w:r>
      <w:r>
        <w:t>xtreme risk to endangered or critically endangered Victorian frog species (Table 1</w:t>
      </w:r>
      <w:r w:rsidR="004F2F1F">
        <w:t>4</w:t>
      </w:r>
      <w:r>
        <w:t xml:space="preserve">). Among Victorian frogs, the Spotted Tree Frog, Alpine Tree Frog, Baw </w:t>
      </w:r>
      <w:proofErr w:type="spellStart"/>
      <w:r>
        <w:t>Baw</w:t>
      </w:r>
      <w:proofErr w:type="spellEnd"/>
      <w:r>
        <w:t xml:space="preserve"> Frog and Brown Toadlet were assessed as being at Extreme conservation risk from </w:t>
      </w:r>
      <w:r w:rsidR="000E0BE1">
        <w:t>Chytridiomycosis</w:t>
      </w:r>
      <w:r>
        <w:t xml:space="preserve">. Four additional species were identified as being at High risk due to </w:t>
      </w:r>
      <w:r w:rsidR="000E0BE1">
        <w:t>Chytridiomycosis</w:t>
      </w:r>
      <w:r>
        <w:t xml:space="preserve"> (Table 1</w:t>
      </w:r>
      <w:r w:rsidR="004F2F1F">
        <w:t>4</w:t>
      </w:r>
      <w:r>
        <w:t xml:space="preserve">). </w:t>
      </w:r>
    </w:p>
    <w:p w14:paraId="7A9DA459" w14:textId="77777777" w:rsidR="00FF09DF" w:rsidRPr="00541300" w:rsidRDefault="00FF09DF" w:rsidP="00077A99">
      <w:pPr>
        <w:rPr>
          <w:color w:val="FF0000"/>
        </w:rPr>
      </w:pPr>
    </w:p>
    <w:p w14:paraId="48522708" w14:textId="77777777" w:rsidR="00077A99" w:rsidRDefault="00077A99" w:rsidP="00C73E83"/>
    <w:p w14:paraId="1CC06BEB" w14:textId="62FDFF4D" w:rsidR="007E6DFE" w:rsidRPr="006958A6" w:rsidRDefault="00B55475" w:rsidP="00D8780B">
      <w:pPr>
        <w:pStyle w:val="Caption-Table"/>
        <w:rPr>
          <w:color w:val="FF0000"/>
        </w:rPr>
      </w:pPr>
      <w:r>
        <w:br w:type="page"/>
      </w:r>
      <w:bookmarkStart w:id="78" w:name="_Toc198634144"/>
      <w:r w:rsidR="005A2EB2">
        <w:lastRenderedPageBreak/>
        <w:t>Table 1</w:t>
      </w:r>
      <w:r w:rsidR="00B412B1">
        <w:t>2</w:t>
      </w:r>
      <w:r w:rsidR="005A2EB2">
        <w:t xml:space="preserve">. </w:t>
      </w:r>
      <w:r w:rsidR="005A2EB2" w:rsidRPr="001F5B18">
        <w:t>Diseases</w:t>
      </w:r>
      <w:r w:rsidR="005A2EB2">
        <w:t xml:space="preserve"> that were assessed as representing potentially </w:t>
      </w:r>
      <w:r w:rsidR="005A02AA">
        <w:t>E</w:t>
      </w:r>
      <w:r w:rsidR="005A2EB2">
        <w:t xml:space="preserve">xtreme </w:t>
      </w:r>
      <w:r w:rsidR="005A02AA">
        <w:t xml:space="preserve">or High </w:t>
      </w:r>
      <w:r w:rsidR="005A2EB2">
        <w:t xml:space="preserve">conservation risks to </w:t>
      </w:r>
      <w:r w:rsidR="006322A0" w:rsidRPr="006322A0">
        <w:t xml:space="preserve">Endangered (EN) and Critically Endangered (CE) </w:t>
      </w:r>
      <w:r w:rsidR="005A2EB2">
        <w:t>FFG</w:t>
      </w:r>
      <w:r w:rsidR="006322A0">
        <w:t>-</w:t>
      </w:r>
      <w:r w:rsidR="005A2EB2">
        <w:t>listed birds in Victoria</w:t>
      </w:r>
      <w:r w:rsidR="006322A0" w:rsidRPr="003C47F6">
        <w:rPr>
          <w:color w:val="auto"/>
        </w:rPr>
        <w:t>.</w:t>
      </w:r>
      <w:bookmarkEnd w:id="78"/>
    </w:p>
    <w:tbl>
      <w:tblPr>
        <w:tblStyle w:val="TableGrid10"/>
        <w:tblW w:w="9781" w:type="dxa"/>
        <w:tblLayout w:type="fixed"/>
        <w:tblLook w:val="04A0" w:firstRow="1" w:lastRow="0" w:firstColumn="1" w:lastColumn="0" w:noHBand="0" w:noVBand="1"/>
      </w:tblPr>
      <w:tblGrid>
        <w:gridCol w:w="1985"/>
        <w:gridCol w:w="2410"/>
        <w:gridCol w:w="708"/>
        <w:gridCol w:w="3686"/>
        <w:gridCol w:w="992"/>
      </w:tblGrid>
      <w:tr w:rsidR="00DD17D4" w:rsidRPr="00C52963" w14:paraId="5FAE5950" w14:textId="77777777" w:rsidTr="00DA58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5" w:type="dxa"/>
          </w:tcPr>
          <w:p w14:paraId="2EB0B049" w14:textId="45381460" w:rsidR="00DD17D4" w:rsidRPr="00DA5824" w:rsidRDefault="00DD17D4">
            <w:pPr>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Common </w:t>
            </w:r>
            <w:r w:rsidR="006322A0"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2410" w:type="dxa"/>
          </w:tcPr>
          <w:p w14:paraId="4B67B81C" w14:textId="137273D4" w:rsidR="00DD17D4" w:rsidRPr="00DA5824" w:rsidRDefault="00DD17D4">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Scientific </w:t>
            </w:r>
            <w:r w:rsidR="006322A0"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708" w:type="dxa"/>
          </w:tcPr>
          <w:p w14:paraId="650EF0F9" w14:textId="77777777" w:rsidR="00DD17D4" w:rsidRPr="00DA5824" w:rsidRDefault="00DD17D4">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Status</w:t>
            </w:r>
          </w:p>
        </w:tc>
        <w:tc>
          <w:tcPr>
            <w:tcW w:w="3686" w:type="dxa"/>
          </w:tcPr>
          <w:p w14:paraId="7271F395" w14:textId="27FC925D" w:rsidR="00DD17D4" w:rsidRPr="00DA5824" w:rsidRDefault="00DD17D4">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Diseases with Extreme or High </w:t>
            </w:r>
            <w:r w:rsidR="006322A0" w:rsidRPr="00DA5824">
              <w:rPr>
                <w:rFonts w:ascii="Arial Narrow" w:hAnsi="Arial Narrow"/>
                <w:b/>
                <w:color w:val="FFFFFF" w:themeColor="background1"/>
                <w:sz w:val="18"/>
                <w:szCs w:val="18"/>
                <w:lang w:eastAsia="en-US"/>
              </w:rPr>
              <w:t>c</w:t>
            </w:r>
            <w:r w:rsidRPr="00DA5824">
              <w:rPr>
                <w:rFonts w:ascii="Arial Narrow" w:hAnsi="Arial Narrow"/>
                <w:b/>
                <w:color w:val="FFFFFF" w:themeColor="background1"/>
                <w:sz w:val="18"/>
                <w:szCs w:val="18"/>
                <w:lang w:eastAsia="en-US"/>
              </w:rPr>
              <w:t xml:space="preserve">onservation </w:t>
            </w:r>
            <w:r w:rsidR="006322A0" w:rsidRPr="00DA5824">
              <w:rPr>
                <w:rFonts w:ascii="Arial Narrow" w:hAnsi="Arial Narrow"/>
                <w:b/>
                <w:color w:val="FFFFFF" w:themeColor="background1"/>
                <w:sz w:val="18"/>
                <w:szCs w:val="18"/>
                <w:lang w:eastAsia="en-US"/>
              </w:rPr>
              <w:t>r</w:t>
            </w:r>
            <w:r w:rsidRPr="00DA5824">
              <w:rPr>
                <w:rFonts w:ascii="Arial Narrow" w:hAnsi="Arial Narrow"/>
                <w:b/>
                <w:color w:val="FFFFFF" w:themeColor="background1"/>
                <w:sz w:val="18"/>
                <w:szCs w:val="18"/>
                <w:lang w:eastAsia="en-US"/>
              </w:rPr>
              <w:t>isk</w:t>
            </w:r>
          </w:p>
        </w:tc>
        <w:tc>
          <w:tcPr>
            <w:tcW w:w="992" w:type="dxa"/>
          </w:tcPr>
          <w:p w14:paraId="093F6264" w14:textId="02D6E579" w:rsidR="00DD17D4" w:rsidRPr="00DA5824" w:rsidRDefault="00DD17D4">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Risk rating</w:t>
            </w:r>
          </w:p>
        </w:tc>
      </w:tr>
      <w:tr w:rsidR="00E01216" w:rsidRPr="00451815" w14:paraId="0D1CF2C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F897339"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Arenaria </w:t>
            </w:r>
            <w:proofErr w:type="spellStart"/>
            <w:r w:rsidRPr="00451815">
              <w:rPr>
                <w:rFonts w:ascii="Arial Narrow" w:hAnsi="Arial Narrow" w:cs="Calibri"/>
                <w:i/>
                <w:iCs/>
                <w:color w:val="000000"/>
                <w:sz w:val="18"/>
                <w:szCs w:val="18"/>
              </w:rPr>
              <w:t>interpres</w:t>
            </w:r>
            <w:proofErr w:type="spellEnd"/>
          </w:p>
        </w:tc>
        <w:tc>
          <w:tcPr>
            <w:tcW w:w="2410" w:type="dxa"/>
            <w:noWrap/>
            <w:hideMark/>
          </w:tcPr>
          <w:p w14:paraId="57164A6A"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Ruddy Turnstone</w:t>
            </w:r>
          </w:p>
        </w:tc>
        <w:tc>
          <w:tcPr>
            <w:tcW w:w="708" w:type="dxa"/>
            <w:noWrap/>
            <w:hideMark/>
          </w:tcPr>
          <w:p w14:paraId="0D31B654" w14:textId="24B7220D"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1E737114" w14:textId="0676F292" w:rsidR="00E01216" w:rsidRPr="00451815" w:rsidRDefault="00E01216" w:rsidP="00E01216">
            <w:pPr>
              <w:spacing w:after="0"/>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472C649F" w14:textId="1C448ABB" w:rsidR="00E01216" w:rsidRPr="00451815" w:rsidRDefault="00E01216" w:rsidP="00E01216">
            <w:pPr>
              <w:spacing w:after="0"/>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5EB30F1"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E26A900"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Calidris </w:t>
            </w:r>
            <w:proofErr w:type="spellStart"/>
            <w:r w:rsidRPr="00451815">
              <w:rPr>
                <w:rFonts w:ascii="Arial Narrow" w:hAnsi="Arial Narrow" w:cs="Calibri"/>
                <w:i/>
                <w:iCs/>
                <w:color w:val="000000"/>
                <w:sz w:val="18"/>
                <w:szCs w:val="18"/>
              </w:rPr>
              <w:t>canutus</w:t>
            </w:r>
            <w:proofErr w:type="spellEnd"/>
          </w:p>
        </w:tc>
        <w:tc>
          <w:tcPr>
            <w:tcW w:w="2410" w:type="dxa"/>
            <w:noWrap/>
            <w:hideMark/>
          </w:tcPr>
          <w:p w14:paraId="2C2E6BA6"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Red Knot</w:t>
            </w:r>
          </w:p>
        </w:tc>
        <w:tc>
          <w:tcPr>
            <w:tcW w:w="708" w:type="dxa"/>
            <w:noWrap/>
            <w:hideMark/>
          </w:tcPr>
          <w:p w14:paraId="0BE48285" w14:textId="37D6A9BC"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5B8653B8" w14:textId="2CEE9B8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586FD92B" w14:textId="58D14F5A"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1F529AA"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AC18417"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Calidris </w:t>
            </w:r>
            <w:proofErr w:type="spellStart"/>
            <w:r w:rsidRPr="00451815">
              <w:rPr>
                <w:rFonts w:ascii="Arial Narrow" w:hAnsi="Arial Narrow" w:cs="Calibri"/>
                <w:i/>
                <w:iCs/>
                <w:color w:val="000000"/>
                <w:sz w:val="18"/>
                <w:szCs w:val="18"/>
              </w:rPr>
              <w:t>ferruginea</w:t>
            </w:r>
            <w:proofErr w:type="spellEnd"/>
          </w:p>
        </w:tc>
        <w:tc>
          <w:tcPr>
            <w:tcW w:w="2410" w:type="dxa"/>
            <w:noWrap/>
            <w:hideMark/>
          </w:tcPr>
          <w:p w14:paraId="2CF52778"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Curlew Sandpiper</w:t>
            </w:r>
          </w:p>
        </w:tc>
        <w:tc>
          <w:tcPr>
            <w:tcW w:w="708" w:type="dxa"/>
            <w:noWrap/>
            <w:hideMark/>
          </w:tcPr>
          <w:p w14:paraId="53F7FA83" w14:textId="45F59BF3"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4C772C07" w14:textId="57DC9598"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6B525E36" w14:textId="4463D33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2755C953"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54C35E6"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Calidris tenuirostris</w:t>
            </w:r>
          </w:p>
        </w:tc>
        <w:tc>
          <w:tcPr>
            <w:tcW w:w="2410" w:type="dxa"/>
            <w:noWrap/>
            <w:hideMark/>
          </w:tcPr>
          <w:p w14:paraId="17BC9BEA"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Great Knot</w:t>
            </w:r>
          </w:p>
        </w:tc>
        <w:tc>
          <w:tcPr>
            <w:tcW w:w="708" w:type="dxa"/>
            <w:noWrap/>
            <w:hideMark/>
          </w:tcPr>
          <w:p w14:paraId="39B60DF1" w14:textId="02F90265"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31B7D0AD" w14:textId="14F995EB"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1841974B" w14:textId="45F917D6"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2D5B0E4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1194E05"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Callocephalon</w:t>
            </w:r>
            <w:proofErr w:type="spellEnd"/>
            <w:r w:rsidRPr="00451815">
              <w:rPr>
                <w:rFonts w:ascii="Arial Narrow" w:hAnsi="Arial Narrow" w:cs="Calibri"/>
                <w:i/>
                <w:iCs/>
                <w:color w:val="000000"/>
                <w:sz w:val="18"/>
                <w:szCs w:val="18"/>
              </w:rPr>
              <w:t xml:space="preserve"> fimbriatum</w:t>
            </w:r>
          </w:p>
        </w:tc>
        <w:tc>
          <w:tcPr>
            <w:tcW w:w="2410" w:type="dxa"/>
            <w:noWrap/>
            <w:hideMark/>
          </w:tcPr>
          <w:p w14:paraId="62D2D9A0"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Gang-gang Cockatoo</w:t>
            </w:r>
          </w:p>
        </w:tc>
        <w:tc>
          <w:tcPr>
            <w:tcW w:w="708" w:type="dxa"/>
            <w:noWrap/>
            <w:hideMark/>
          </w:tcPr>
          <w:p w14:paraId="4DF3B7B9" w14:textId="2153674E"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37FF2CC8" w14:textId="1F87D44D" w:rsidR="00E01216" w:rsidRPr="00451815" w:rsidRDefault="00C17323" w:rsidP="00E01216">
            <w:pPr>
              <w:spacing w:after="0"/>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tcW w:w="992" w:type="dxa"/>
            <w:noWrap/>
          </w:tcPr>
          <w:p w14:paraId="19DC23EE" w14:textId="0F9415C9" w:rsidR="00E01216" w:rsidRPr="00451815" w:rsidRDefault="00E01216" w:rsidP="00E01216">
            <w:pPr>
              <w:spacing w:after="0"/>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3DA1548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93F385F"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Calyptorhynchus </w:t>
            </w:r>
            <w:proofErr w:type="spellStart"/>
            <w:r w:rsidRPr="00451815">
              <w:rPr>
                <w:rFonts w:ascii="Arial Narrow" w:hAnsi="Arial Narrow" w:cs="Calibri"/>
                <w:i/>
                <w:iCs/>
                <w:color w:val="000000"/>
                <w:sz w:val="18"/>
                <w:szCs w:val="18"/>
              </w:rPr>
              <w:t>banksii</w:t>
            </w:r>
            <w:proofErr w:type="spellEnd"/>
            <w:r w:rsidRPr="00451815">
              <w:rPr>
                <w:rFonts w:ascii="Arial Narrow" w:hAnsi="Arial Narrow" w:cs="Calibri"/>
                <w:i/>
                <w:iCs/>
                <w:color w:val="000000"/>
                <w:sz w:val="18"/>
                <w:szCs w:val="18"/>
              </w:rPr>
              <w:t xml:space="preserve"> </w:t>
            </w:r>
            <w:proofErr w:type="spellStart"/>
            <w:r w:rsidRPr="00451815">
              <w:rPr>
                <w:rFonts w:ascii="Arial Narrow" w:hAnsi="Arial Narrow" w:cs="Calibri"/>
                <w:i/>
                <w:iCs/>
                <w:color w:val="000000"/>
                <w:sz w:val="18"/>
                <w:szCs w:val="18"/>
              </w:rPr>
              <w:t>graptogyne</w:t>
            </w:r>
            <w:proofErr w:type="spellEnd"/>
          </w:p>
        </w:tc>
        <w:tc>
          <w:tcPr>
            <w:tcW w:w="2410" w:type="dxa"/>
            <w:noWrap/>
            <w:hideMark/>
          </w:tcPr>
          <w:p w14:paraId="29625D0B"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Red-tailed Black-Cockatoo (south-eastern)</w:t>
            </w:r>
          </w:p>
        </w:tc>
        <w:tc>
          <w:tcPr>
            <w:tcW w:w="708" w:type="dxa"/>
            <w:noWrap/>
            <w:hideMark/>
          </w:tcPr>
          <w:p w14:paraId="3D98423E" w14:textId="0A98C9C0"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56EDC010" w14:textId="38E851A2" w:rsidR="00E01216" w:rsidRPr="00451815" w:rsidRDefault="00C17323"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tcW w:w="992" w:type="dxa"/>
            <w:noWrap/>
          </w:tcPr>
          <w:p w14:paraId="153216CC" w14:textId="7471BDB9"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37CE097D"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13445EF"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Charadrius </w:t>
            </w:r>
            <w:proofErr w:type="spellStart"/>
            <w:r w:rsidRPr="00451815">
              <w:rPr>
                <w:rFonts w:ascii="Arial Narrow" w:hAnsi="Arial Narrow" w:cs="Calibri"/>
                <w:i/>
                <w:iCs/>
                <w:color w:val="000000"/>
                <w:sz w:val="18"/>
                <w:szCs w:val="18"/>
              </w:rPr>
              <w:t>mongolus</w:t>
            </w:r>
            <w:proofErr w:type="spellEnd"/>
          </w:p>
        </w:tc>
        <w:tc>
          <w:tcPr>
            <w:tcW w:w="2410" w:type="dxa"/>
            <w:noWrap/>
            <w:hideMark/>
          </w:tcPr>
          <w:p w14:paraId="7D6BD6EF"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Lesser Sand Plover</w:t>
            </w:r>
          </w:p>
        </w:tc>
        <w:tc>
          <w:tcPr>
            <w:tcW w:w="708" w:type="dxa"/>
            <w:noWrap/>
            <w:hideMark/>
          </w:tcPr>
          <w:p w14:paraId="2D218B6E" w14:textId="21467F19"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5942E3AD" w14:textId="555879CD"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7AEED77E" w14:textId="3E4585E3"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9883D78"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950DEE0"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Gelochelidon</w:t>
            </w:r>
            <w:proofErr w:type="spellEnd"/>
            <w:r w:rsidRPr="00451815">
              <w:rPr>
                <w:rFonts w:ascii="Arial Narrow" w:hAnsi="Arial Narrow" w:cs="Calibri"/>
                <w:i/>
                <w:iCs/>
                <w:color w:val="000000"/>
                <w:sz w:val="18"/>
                <w:szCs w:val="18"/>
              </w:rPr>
              <w:t xml:space="preserve"> nilotica </w:t>
            </w:r>
            <w:proofErr w:type="spellStart"/>
            <w:r w:rsidRPr="00451815">
              <w:rPr>
                <w:rFonts w:ascii="Arial Narrow" w:hAnsi="Arial Narrow" w:cs="Calibri"/>
                <w:i/>
                <w:iCs/>
                <w:color w:val="000000"/>
                <w:sz w:val="18"/>
                <w:szCs w:val="18"/>
              </w:rPr>
              <w:t>macrotarsa</w:t>
            </w:r>
            <w:proofErr w:type="spellEnd"/>
            <w:r w:rsidRPr="00451815">
              <w:rPr>
                <w:rFonts w:ascii="Arial Narrow" w:hAnsi="Arial Narrow" w:cs="Calibri"/>
                <w:color w:val="000000"/>
                <w:sz w:val="18"/>
                <w:szCs w:val="18"/>
              </w:rPr>
              <w:t xml:space="preserve"> </w:t>
            </w:r>
          </w:p>
        </w:tc>
        <w:tc>
          <w:tcPr>
            <w:tcW w:w="2410" w:type="dxa"/>
            <w:noWrap/>
            <w:hideMark/>
          </w:tcPr>
          <w:p w14:paraId="6E8300E1"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Gull-billed Tern </w:t>
            </w:r>
          </w:p>
        </w:tc>
        <w:tc>
          <w:tcPr>
            <w:tcW w:w="708" w:type="dxa"/>
            <w:noWrap/>
            <w:hideMark/>
          </w:tcPr>
          <w:p w14:paraId="32C598D9" w14:textId="677A504F"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r w:rsidRPr="00451815">
              <w:rPr>
                <w:rFonts w:ascii="Arial Narrow" w:hAnsi="Arial Narrow" w:cs="Calibri"/>
                <w:color w:val="000000"/>
                <w:sz w:val="18"/>
                <w:szCs w:val="18"/>
              </w:rPr>
              <w:t xml:space="preserve"> </w:t>
            </w:r>
          </w:p>
        </w:tc>
        <w:tc>
          <w:tcPr>
            <w:tcW w:w="3686" w:type="dxa"/>
          </w:tcPr>
          <w:p w14:paraId="6FCE5F2E" w14:textId="3BAA025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61857FE4" w14:textId="0428A5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1B0F185B"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11243AF"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Lathamus</w:t>
            </w:r>
            <w:proofErr w:type="spellEnd"/>
            <w:r w:rsidRPr="00451815">
              <w:rPr>
                <w:rFonts w:ascii="Arial Narrow" w:hAnsi="Arial Narrow" w:cs="Calibri"/>
                <w:i/>
                <w:iCs/>
                <w:color w:val="000000"/>
                <w:sz w:val="18"/>
                <w:szCs w:val="18"/>
              </w:rPr>
              <w:t xml:space="preserve"> </w:t>
            </w:r>
            <w:proofErr w:type="spellStart"/>
            <w:r w:rsidRPr="00451815">
              <w:rPr>
                <w:rFonts w:ascii="Arial Narrow" w:hAnsi="Arial Narrow" w:cs="Calibri"/>
                <w:i/>
                <w:iCs/>
                <w:color w:val="000000"/>
                <w:sz w:val="18"/>
                <w:szCs w:val="18"/>
              </w:rPr>
              <w:t>discolor</w:t>
            </w:r>
            <w:proofErr w:type="spellEnd"/>
          </w:p>
        </w:tc>
        <w:tc>
          <w:tcPr>
            <w:tcW w:w="2410" w:type="dxa"/>
            <w:noWrap/>
            <w:hideMark/>
          </w:tcPr>
          <w:p w14:paraId="54BB61CC"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Swift Parrot</w:t>
            </w:r>
          </w:p>
        </w:tc>
        <w:tc>
          <w:tcPr>
            <w:tcW w:w="708" w:type="dxa"/>
            <w:noWrap/>
            <w:hideMark/>
          </w:tcPr>
          <w:p w14:paraId="33A3A50E" w14:textId="17A2496D"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005EAE75" w14:textId="43908E84" w:rsidR="00E01216" w:rsidRPr="00451815" w:rsidRDefault="00C17323"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tcW w:w="992" w:type="dxa"/>
            <w:noWrap/>
          </w:tcPr>
          <w:p w14:paraId="27FFCAAD" w14:textId="521E2704"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3872F371"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BD8059F"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Lophocroa</w:t>
            </w:r>
            <w:proofErr w:type="spellEnd"/>
            <w:r w:rsidRPr="00451815">
              <w:rPr>
                <w:rFonts w:ascii="Arial Narrow" w:hAnsi="Arial Narrow" w:cs="Calibri"/>
                <w:i/>
                <w:iCs/>
                <w:color w:val="000000"/>
                <w:sz w:val="18"/>
                <w:szCs w:val="18"/>
              </w:rPr>
              <w:t xml:space="preserve"> </w:t>
            </w:r>
            <w:proofErr w:type="spellStart"/>
            <w:r w:rsidRPr="00451815">
              <w:rPr>
                <w:rFonts w:ascii="Arial Narrow" w:hAnsi="Arial Narrow" w:cs="Calibri"/>
                <w:i/>
                <w:iCs/>
                <w:color w:val="000000"/>
                <w:sz w:val="18"/>
                <w:szCs w:val="18"/>
              </w:rPr>
              <w:t>leadbeateri</w:t>
            </w:r>
            <w:proofErr w:type="spellEnd"/>
            <w:r w:rsidRPr="00451815">
              <w:rPr>
                <w:rFonts w:ascii="Arial Narrow" w:hAnsi="Arial Narrow" w:cs="Calibri"/>
                <w:color w:val="000000"/>
                <w:sz w:val="18"/>
                <w:szCs w:val="18"/>
              </w:rPr>
              <w:t xml:space="preserve"> </w:t>
            </w:r>
          </w:p>
        </w:tc>
        <w:tc>
          <w:tcPr>
            <w:tcW w:w="2410" w:type="dxa"/>
            <w:noWrap/>
            <w:hideMark/>
          </w:tcPr>
          <w:p w14:paraId="595C9813"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Major Mitchell's Cockatoo </w:t>
            </w:r>
          </w:p>
        </w:tc>
        <w:tc>
          <w:tcPr>
            <w:tcW w:w="708" w:type="dxa"/>
            <w:noWrap/>
            <w:hideMark/>
          </w:tcPr>
          <w:p w14:paraId="5042FFB8" w14:textId="29B90AB6"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r w:rsidRPr="00451815">
              <w:rPr>
                <w:rFonts w:ascii="Arial Narrow" w:hAnsi="Arial Narrow" w:cs="Calibri"/>
                <w:color w:val="000000"/>
                <w:sz w:val="18"/>
                <w:szCs w:val="18"/>
              </w:rPr>
              <w:t xml:space="preserve"> </w:t>
            </w:r>
          </w:p>
        </w:tc>
        <w:tc>
          <w:tcPr>
            <w:tcW w:w="3686" w:type="dxa"/>
          </w:tcPr>
          <w:p w14:paraId="4FDD204D" w14:textId="1BB82F8D" w:rsidR="00E01216" w:rsidRPr="00451815" w:rsidRDefault="00C17323"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tcW w:w="992" w:type="dxa"/>
            <w:noWrap/>
          </w:tcPr>
          <w:p w14:paraId="3559287C" w14:textId="62DF1394"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A2696B9"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818C8D1"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Neophema</w:t>
            </w:r>
            <w:proofErr w:type="spellEnd"/>
            <w:r w:rsidRPr="00451815">
              <w:rPr>
                <w:rFonts w:ascii="Arial Narrow" w:hAnsi="Arial Narrow" w:cs="Calibri"/>
                <w:i/>
                <w:iCs/>
                <w:color w:val="000000"/>
                <w:sz w:val="18"/>
                <w:szCs w:val="18"/>
              </w:rPr>
              <w:t xml:space="preserve"> chrysogaster</w:t>
            </w:r>
          </w:p>
        </w:tc>
        <w:tc>
          <w:tcPr>
            <w:tcW w:w="2410" w:type="dxa"/>
            <w:noWrap/>
            <w:hideMark/>
          </w:tcPr>
          <w:p w14:paraId="59DCD0EB"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Orange-bellied Parrot</w:t>
            </w:r>
          </w:p>
        </w:tc>
        <w:tc>
          <w:tcPr>
            <w:tcW w:w="708" w:type="dxa"/>
            <w:noWrap/>
            <w:hideMark/>
          </w:tcPr>
          <w:p w14:paraId="07479CCB" w14:textId="5F51C2DB"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79DD893D" w14:textId="040506A6" w:rsidR="00E01216" w:rsidRDefault="00C17323"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Beak and Feather Disease</w:t>
            </w:r>
          </w:p>
        </w:tc>
        <w:tc>
          <w:tcPr>
            <w:tcW w:w="992" w:type="dxa"/>
            <w:noWrap/>
          </w:tcPr>
          <w:p w14:paraId="6156CDEB" w14:textId="72CA534E"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01F33660"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57115B2"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Neophema</w:t>
            </w:r>
            <w:proofErr w:type="spellEnd"/>
            <w:r w:rsidRPr="00451815">
              <w:rPr>
                <w:rFonts w:ascii="Arial Narrow" w:hAnsi="Arial Narrow" w:cs="Calibri"/>
                <w:i/>
                <w:iCs/>
                <w:color w:val="000000"/>
                <w:sz w:val="18"/>
                <w:szCs w:val="18"/>
              </w:rPr>
              <w:t xml:space="preserve"> </w:t>
            </w:r>
            <w:proofErr w:type="spellStart"/>
            <w:r w:rsidRPr="00451815">
              <w:rPr>
                <w:rFonts w:ascii="Arial Narrow" w:hAnsi="Arial Narrow" w:cs="Calibri"/>
                <w:i/>
                <w:iCs/>
                <w:color w:val="000000"/>
                <w:sz w:val="18"/>
                <w:szCs w:val="18"/>
              </w:rPr>
              <w:t>splendida</w:t>
            </w:r>
            <w:proofErr w:type="spellEnd"/>
            <w:r w:rsidRPr="00451815">
              <w:rPr>
                <w:rFonts w:ascii="Arial Narrow" w:hAnsi="Arial Narrow" w:cs="Calibri"/>
                <w:color w:val="000000"/>
                <w:sz w:val="18"/>
                <w:szCs w:val="18"/>
              </w:rPr>
              <w:t xml:space="preserve"> </w:t>
            </w:r>
          </w:p>
        </w:tc>
        <w:tc>
          <w:tcPr>
            <w:tcW w:w="2410" w:type="dxa"/>
            <w:noWrap/>
            <w:hideMark/>
          </w:tcPr>
          <w:p w14:paraId="2E5A0304"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Scarlet-chested Parrot </w:t>
            </w:r>
          </w:p>
        </w:tc>
        <w:tc>
          <w:tcPr>
            <w:tcW w:w="708" w:type="dxa"/>
            <w:noWrap/>
            <w:hideMark/>
          </w:tcPr>
          <w:p w14:paraId="4E327084" w14:textId="0AD7483F"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575D5A6B" w14:textId="4FDCBA49" w:rsidR="00E01216" w:rsidRPr="00451815" w:rsidRDefault="00C17323"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tcW w:w="992" w:type="dxa"/>
            <w:noWrap/>
          </w:tcPr>
          <w:p w14:paraId="00135D69" w14:textId="2AB4FA16"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CE6B04A"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3EF7A18"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Numenius madagascariensis</w:t>
            </w:r>
          </w:p>
        </w:tc>
        <w:tc>
          <w:tcPr>
            <w:tcW w:w="2410" w:type="dxa"/>
            <w:noWrap/>
            <w:hideMark/>
          </w:tcPr>
          <w:p w14:paraId="152B8B9D"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Eastern Curlew</w:t>
            </w:r>
          </w:p>
        </w:tc>
        <w:tc>
          <w:tcPr>
            <w:tcW w:w="708" w:type="dxa"/>
            <w:noWrap/>
            <w:hideMark/>
          </w:tcPr>
          <w:p w14:paraId="4297D5E9" w14:textId="561A77D4"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4C149257" w14:textId="1F799B6F"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55F6173F" w14:textId="174CB7D6"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7F56D401"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905F003"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Numenius </w:t>
            </w:r>
            <w:proofErr w:type="spellStart"/>
            <w:r w:rsidRPr="00451815">
              <w:rPr>
                <w:rFonts w:ascii="Arial Narrow" w:hAnsi="Arial Narrow" w:cs="Calibri"/>
                <w:i/>
                <w:iCs/>
                <w:color w:val="000000"/>
                <w:sz w:val="18"/>
                <w:szCs w:val="18"/>
              </w:rPr>
              <w:t>phaeopus</w:t>
            </w:r>
            <w:proofErr w:type="spellEnd"/>
          </w:p>
        </w:tc>
        <w:tc>
          <w:tcPr>
            <w:tcW w:w="2410" w:type="dxa"/>
            <w:noWrap/>
            <w:hideMark/>
          </w:tcPr>
          <w:p w14:paraId="13D55080"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Whimbrel</w:t>
            </w:r>
          </w:p>
        </w:tc>
        <w:tc>
          <w:tcPr>
            <w:tcW w:w="708" w:type="dxa"/>
            <w:noWrap/>
            <w:hideMark/>
          </w:tcPr>
          <w:p w14:paraId="797DF4D2" w14:textId="66D87B84"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7047DDC6" w14:textId="3A42ABF6"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70261093" w14:textId="2ACBD6CF"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35768F7F"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ED3C88F"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Pezoporus</w:t>
            </w:r>
            <w:proofErr w:type="spellEnd"/>
            <w:r w:rsidRPr="00451815">
              <w:rPr>
                <w:rFonts w:ascii="Arial Narrow" w:hAnsi="Arial Narrow" w:cs="Calibri"/>
                <w:i/>
                <w:iCs/>
                <w:color w:val="000000"/>
                <w:sz w:val="18"/>
                <w:szCs w:val="18"/>
              </w:rPr>
              <w:t xml:space="preserve"> </w:t>
            </w:r>
            <w:proofErr w:type="spellStart"/>
            <w:r w:rsidRPr="00451815">
              <w:rPr>
                <w:rFonts w:ascii="Arial Narrow" w:hAnsi="Arial Narrow" w:cs="Calibri"/>
                <w:i/>
                <w:iCs/>
                <w:color w:val="000000"/>
                <w:sz w:val="18"/>
                <w:szCs w:val="18"/>
              </w:rPr>
              <w:t>wallicus</w:t>
            </w:r>
            <w:proofErr w:type="spellEnd"/>
            <w:r w:rsidRPr="00451815">
              <w:rPr>
                <w:rFonts w:ascii="Arial Narrow" w:hAnsi="Arial Narrow" w:cs="Calibri"/>
                <w:color w:val="000000"/>
                <w:sz w:val="18"/>
                <w:szCs w:val="18"/>
              </w:rPr>
              <w:t xml:space="preserve"> </w:t>
            </w:r>
          </w:p>
        </w:tc>
        <w:tc>
          <w:tcPr>
            <w:tcW w:w="2410" w:type="dxa"/>
            <w:noWrap/>
            <w:hideMark/>
          </w:tcPr>
          <w:p w14:paraId="4DC2175A"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Ground Parrot </w:t>
            </w:r>
          </w:p>
        </w:tc>
        <w:tc>
          <w:tcPr>
            <w:tcW w:w="708" w:type="dxa"/>
            <w:noWrap/>
            <w:hideMark/>
          </w:tcPr>
          <w:p w14:paraId="2A06A5D9" w14:textId="27F54888"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447AD034" w14:textId="61E37442" w:rsidR="00E01216" w:rsidRPr="00451815" w:rsidRDefault="00C17323"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tcW w:w="992" w:type="dxa"/>
            <w:noWrap/>
          </w:tcPr>
          <w:p w14:paraId="5C153A9D" w14:textId="7707F46C"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29228F94"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55E98554"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Polytelis</w:t>
            </w:r>
            <w:proofErr w:type="spellEnd"/>
            <w:r w:rsidRPr="00451815">
              <w:rPr>
                <w:rFonts w:ascii="Arial Narrow" w:hAnsi="Arial Narrow" w:cs="Calibri"/>
                <w:i/>
                <w:iCs/>
                <w:color w:val="000000"/>
                <w:sz w:val="18"/>
                <w:szCs w:val="18"/>
              </w:rPr>
              <w:t xml:space="preserve"> </w:t>
            </w:r>
            <w:proofErr w:type="spellStart"/>
            <w:r w:rsidRPr="00451815">
              <w:rPr>
                <w:rFonts w:ascii="Arial Narrow" w:hAnsi="Arial Narrow" w:cs="Calibri"/>
                <w:i/>
                <w:iCs/>
                <w:color w:val="000000"/>
                <w:sz w:val="18"/>
                <w:szCs w:val="18"/>
              </w:rPr>
              <w:t>swainsonii</w:t>
            </w:r>
            <w:proofErr w:type="spellEnd"/>
          </w:p>
        </w:tc>
        <w:tc>
          <w:tcPr>
            <w:tcW w:w="2410" w:type="dxa"/>
            <w:noWrap/>
            <w:hideMark/>
          </w:tcPr>
          <w:p w14:paraId="7AACBD75"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Superb Parrot</w:t>
            </w:r>
          </w:p>
        </w:tc>
        <w:tc>
          <w:tcPr>
            <w:tcW w:w="708" w:type="dxa"/>
            <w:noWrap/>
            <w:hideMark/>
          </w:tcPr>
          <w:p w14:paraId="4FED1874" w14:textId="0F721E8D"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2E5B65FF" w14:textId="6DEFFDD6" w:rsidR="00E01216" w:rsidRPr="00451815" w:rsidRDefault="00C17323"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Pacheco’s Disease</w:t>
            </w:r>
          </w:p>
        </w:tc>
        <w:tc>
          <w:tcPr>
            <w:tcW w:w="992" w:type="dxa"/>
            <w:noWrap/>
          </w:tcPr>
          <w:p w14:paraId="55D00A28" w14:textId="6943F09D"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9A2712E"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BF12E9A"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Rostratula</w:t>
            </w:r>
            <w:proofErr w:type="spellEnd"/>
            <w:r w:rsidRPr="00451815">
              <w:rPr>
                <w:rFonts w:ascii="Arial Narrow" w:hAnsi="Arial Narrow" w:cs="Calibri"/>
                <w:i/>
                <w:iCs/>
                <w:color w:val="000000"/>
                <w:sz w:val="18"/>
                <w:szCs w:val="18"/>
              </w:rPr>
              <w:t xml:space="preserve"> australis</w:t>
            </w:r>
          </w:p>
        </w:tc>
        <w:tc>
          <w:tcPr>
            <w:tcW w:w="2410" w:type="dxa"/>
            <w:noWrap/>
            <w:hideMark/>
          </w:tcPr>
          <w:p w14:paraId="7E95B397"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Australian </w:t>
            </w:r>
            <w:proofErr w:type="gramStart"/>
            <w:r w:rsidRPr="00451815">
              <w:rPr>
                <w:rFonts w:ascii="Arial Narrow" w:hAnsi="Arial Narrow" w:cs="Calibri"/>
                <w:color w:val="000000"/>
                <w:sz w:val="18"/>
                <w:szCs w:val="18"/>
              </w:rPr>
              <w:t>Painted-snipe</w:t>
            </w:r>
            <w:proofErr w:type="gramEnd"/>
          </w:p>
        </w:tc>
        <w:tc>
          <w:tcPr>
            <w:tcW w:w="708" w:type="dxa"/>
            <w:noWrap/>
            <w:hideMark/>
          </w:tcPr>
          <w:p w14:paraId="5017AC67" w14:textId="4EA79ADF"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3F889263" w14:textId="3F7F34FF"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373DD1B2" w14:textId="0E210184"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23E26534"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7DCD18B"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Sternula</w:t>
            </w:r>
            <w:proofErr w:type="spellEnd"/>
            <w:r w:rsidRPr="00451815">
              <w:rPr>
                <w:rFonts w:ascii="Arial Narrow" w:hAnsi="Arial Narrow" w:cs="Calibri"/>
                <w:i/>
                <w:iCs/>
                <w:color w:val="000000"/>
                <w:sz w:val="18"/>
                <w:szCs w:val="18"/>
              </w:rPr>
              <w:t xml:space="preserve"> albifrons</w:t>
            </w:r>
            <w:r w:rsidRPr="00451815">
              <w:rPr>
                <w:rFonts w:ascii="Arial Narrow" w:hAnsi="Arial Narrow" w:cs="Calibri"/>
                <w:color w:val="000000"/>
                <w:sz w:val="18"/>
                <w:szCs w:val="18"/>
              </w:rPr>
              <w:t xml:space="preserve"> </w:t>
            </w:r>
          </w:p>
        </w:tc>
        <w:tc>
          <w:tcPr>
            <w:tcW w:w="2410" w:type="dxa"/>
            <w:noWrap/>
            <w:hideMark/>
          </w:tcPr>
          <w:p w14:paraId="7D5FA78C"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Little Tern </w:t>
            </w:r>
          </w:p>
        </w:tc>
        <w:tc>
          <w:tcPr>
            <w:tcW w:w="708" w:type="dxa"/>
            <w:noWrap/>
            <w:hideMark/>
          </w:tcPr>
          <w:p w14:paraId="59AB8ED5" w14:textId="3A690C80"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5D4CC13B" w14:textId="397BAAC8"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25936DA7" w14:textId="58539ACA"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B5D16B6"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F5144F2"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Sternula</w:t>
            </w:r>
            <w:proofErr w:type="spellEnd"/>
            <w:r w:rsidRPr="00451815">
              <w:rPr>
                <w:rFonts w:ascii="Arial Narrow" w:hAnsi="Arial Narrow" w:cs="Calibri"/>
                <w:i/>
                <w:iCs/>
                <w:color w:val="000000"/>
                <w:sz w:val="18"/>
                <w:szCs w:val="18"/>
              </w:rPr>
              <w:t xml:space="preserve"> nereis</w:t>
            </w:r>
          </w:p>
        </w:tc>
        <w:tc>
          <w:tcPr>
            <w:tcW w:w="2410" w:type="dxa"/>
            <w:noWrap/>
            <w:hideMark/>
          </w:tcPr>
          <w:p w14:paraId="2BCED593"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Fairy Tern</w:t>
            </w:r>
          </w:p>
        </w:tc>
        <w:tc>
          <w:tcPr>
            <w:tcW w:w="708" w:type="dxa"/>
            <w:noWrap/>
            <w:hideMark/>
          </w:tcPr>
          <w:p w14:paraId="38E44431" w14:textId="3C1D5165"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366F6FC3" w14:textId="46BE3B53"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2818D2D6" w14:textId="0AF6B925"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21B24E7F"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D3D1C16"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Stictonetta</w:t>
            </w:r>
            <w:proofErr w:type="spellEnd"/>
            <w:r w:rsidRPr="00451815">
              <w:rPr>
                <w:rFonts w:ascii="Arial Narrow" w:hAnsi="Arial Narrow" w:cs="Calibri"/>
                <w:i/>
                <w:iCs/>
                <w:color w:val="000000"/>
                <w:sz w:val="18"/>
                <w:szCs w:val="18"/>
              </w:rPr>
              <w:t xml:space="preserve"> </w:t>
            </w:r>
            <w:proofErr w:type="spellStart"/>
            <w:r w:rsidRPr="00451815">
              <w:rPr>
                <w:rFonts w:ascii="Arial Narrow" w:hAnsi="Arial Narrow" w:cs="Calibri"/>
                <w:i/>
                <w:iCs/>
                <w:color w:val="000000"/>
                <w:sz w:val="18"/>
                <w:szCs w:val="18"/>
              </w:rPr>
              <w:t>naevosa</w:t>
            </w:r>
            <w:proofErr w:type="spellEnd"/>
            <w:r w:rsidRPr="00451815">
              <w:rPr>
                <w:rFonts w:ascii="Arial Narrow" w:hAnsi="Arial Narrow" w:cs="Calibri"/>
                <w:color w:val="000000"/>
                <w:sz w:val="18"/>
                <w:szCs w:val="18"/>
              </w:rPr>
              <w:t xml:space="preserve"> </w:t>
            </w:r>
          </w:p>
        </w:tc>
        <w:tc>
          <w:tcPr>
            <w:tcW w:w="2410" w:type="dxa"/>
            <w:noWrap/>
            <w:hideMark/>
          </w:tcPr>
          <w:p w14:paraId="4C6B34E9"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Freckled Duck </w:t>
            </w:r>
          </w:p>
        </w:tc>
        <w:tc>
          <w:tcPr>
            <w:tcW w:w="708" w:type="dxa"/>
            <w:noWrap/>
            <w:hideMark/>
          </w:tcPr>
          <w:p w14:paraId="47D99BF8" w14:textId="46148FB8"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493B9E3A" w14:textId="6DBD65CA"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02416452" w14:textId="0079D13D"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7E5FC8FC"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B466118" w14:textId="72E196F3"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Tringa brevipes</w:t>
            </w:r>
            <w:r w:rsidR="00BE3EC4">
              <w:rPr>
                <w:rFonts w:ascii="Arial Narrow" w:hAnsi="Arial Narrow" w:cs="Calibri"/>
                <w:i/>
                <w:iCs/>
                <w:color w:val="000000"/>
                <w:sz w:val="18"/>
                <w:szCs w:val="18"/>
              </w:rPr>
              <w:t xml:space="preserve"> </w:t>
            </w:r>
          </w:p>
        </w:tc>
        <w:tc>
          <w:tcPr>
            <w:tcW w:w="2410" w:type="dxa"/>
            <w:noWrap/>
            <w:hideMark/>
          </w:tcPr>
          <w:p w14:paraId="46078EE4"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Grey-tailed Tattler </w:t>
            </w:r>
          </w:p>
        </w:tc>
        <w:tc>
          <w:tcPr>
            <w:tcW w:w="708" w:type="dxa"/>
            <w:noWrap/>
            <w:hideMark/>
          </w:tcPr>
          <w:p w14:paraId="2B018B02" w14:textId="2EC909B3"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CR</w:t>
            </w:r>
          </w:p>
        </w:tc>
        <w:tc>
          <w:tcPr>
            <w:tcW w:w="3686" w:type="dxa"/>
          </w:tcPr>
          <w:p w14:paraId="69604F7B" w14:textId="15A9B419"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753E9ED2" w14:textId="2A6EF102"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53CCC5B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BAE5E90"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Tringa </w:t>
            </w:r>
            <w:proofErr w:type="spellStart"/>
            <w:r w:rsidRPr="00451815">
              <w:rPr>
                <w:rFonts w:ascii="Arial Narrow" w:hAnsi="Arial Narrow" w:cs="Calibri"/>
                <w:i/>
                <w:iCs/>
                <w:color w:val="000000"/>
                <w:sz w:val="18"/>
                <w:szCs w:val="18"/>
              </w:rPr>
              <w:t>glareola</w:t>
            </w:r>
            <w:proofErr w:type="spellEnd"/>
          </w:p>
        </w:tc>
        <w:tc>
          <w:tcPr>
            <w:tcW w:w="2410" w:type="dxa"/>
            <w:noWrap/>
            <w:hideMark/>
          </w:tcPr>
          <w:p w14:paraId="2B6E8D42"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Wood Sandpiper</w:t>
            </w:r>
          </w:p>
        </w:tc>
        <w:tc>
          <w:tcPr>
            <w:tcW w:w="708" w:type="dxa"/>
            <w:noWrap/>
            <w:hideMark/>
          </w:tcPr>
          <w:p w14:paraId="4B2DF9BD" w14:textId="6681E990"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2311DE32" w14:textId="14B8E988"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3DD29C8E" w14:textId="14E3C0A1"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6150175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1C98D96" w14:textId="77777777" w:rsidR="00E01216" w:rsidRPr="00451815" w:rsidRDefault="00E01216" w:rsidP="00E01216">
            <w:pPr>
              <w:spacing w:after="0"/>
              <w:rPr>
                <w:rFonts w:ascii="Arial Narrow" w:hAnsi="Arial Narrow" w:cs="Calibri"/>
                <w:i/>
                <w:iCs/>
                <w:color w:val="000000"/>
                <w:sz w:val="18"/>
                <w:szCs w:val="18"/>
              </w:rPr>
            </w:pPr>
            <w:r w:rsidRPr="00451815">
              <w:rPr>
                <w:rFonts w:ascii="Arial Narrow" w:hAnsi="Arial Narrow" w:cs="Calibri"/>
                <w:i/>
                <w:iCs/>
                <w:color w:val="000000"/>
                <w:sz w:val="18"/>
                <w:szCs w:val="18"/>
              </w:rPr>
              <w:t xml:space="preserve">Tringa </w:t>
            </w:r>
            <w:proofErr w:type="spellStart"/>
            <w:r w:rsidRPr="00451815">
              <w:rPr>
                <w:rFonts w:ascii="Arial Narrow" w:hAnsi="Arial Narrow" w:cs="Calibri"/>
                <w:i/>
                <w:iCs/>
                <w:color w:val="000000"/>
                <w:sz w:val="18"/>
                <w:szCs w:val="18"/>
              </w:rPr>
              <w:t>nebularia</w:t>
            </w:r>
            <w:proofErr w:type="spellEnd"/>
          </w:p>
        </w:tc>
        <w:tc>
          <w:tcPr>
            <w:tcW w:w="2410" w:type="dxa"/>
            <w:noWrap/>
            <w:hideMark/>
          </w:tcPr>
          <w:p w14:paraId="5C49B5B7"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Common Greenshank</w:t>
            </w:r>
          </w:p>
        </w:tc>
        <w:tc>
          <w:tcPr>
            <w:tcW w:w="708" w:type="dxa"/>
            <w:noWrap/>
            <w:hideMark/>
          </w:tcPr>
          <w:p w14:paraId="12CD21FF" w14:textId="524BEA0B"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5753D8A9" w14:textId="1A5BC658"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629DF86B" w14:textId="4DD4D5B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E01216" w:rsidRPr="00451815" w14:paraId="718D2D2C" w14:textId="77777777" w:rsidTr="00DA5824">
        <w:trPr>
          <w:trHeight w:val="7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C3BD2BF" w14:textId="77777777" w:rsidR="00E01216" w:rsidRPr="00451815" w:rsidRDefault="00E01216" w:rsidP="00E01216">
            <w:pPr>
              <w:spacing w:after="0"/>
              <w:rPr>
                <w:rFonts w:ascii="Arial Narrow" w:hAnsi="Arial Narrow" w:cs="Calibri"/>
                <w:i/>
                <w:iCs/>
                <w:color w:val="000000"/>
                <w:sz w:val="18"/>
                <w:szCs w:val="18"/>
              </w:rPr>
            </w:pPr>
            <w:proofErr w:type="spellStart"/>
            <w:r w:rsidRPr="00451815">
              <w:rPr>
                <w:rFonts w:ascii="Arial Narrow" w:hAnsi="Arial Narrow" w:cs="Calibri"/>
                <w:i/>
                <w:iCs/>
                <w:color w:val="000000"/>
                <w:sz w:val="18"/>
                <w:szCs w:val="18"/>
              </w:rPr>
              <w:t>Xenus</w:t>
            </w:r>
            <w:proofErr w:type="spellEnd"/>
            <w:r w:rsidRPr="00451815">
              <w:rPr>
                <w:rFonts w:ascii="Arial Narrow" w:hAnsi="Arial Narrow" w:cs="Calibri"/>
                <w:i/>
                <w:iCs/>
                <w:color w:val="000000"/>
                <w:sz w:val="18"/>
                <w:szCs w:val="18"/>
              </w:rPr>
              <w:t xml:space="preserve"> cinereus</w:t>
            </w:r>
            <w:r w:rsidRPr="00451815">
              <w:rPr>
                <w:rFonts w:ascii="Arial Narrow" w:hAnsi="Arial Narrow" w:cs="Calibri"/>
                <w:color w:val="000000"/>
                <w:sz w:val="18"/>
                <w:szCs w:val="18"/>
              </w:rPr>
              <w:t xml:space="preserve"> </w:t>
            </w:r>
          </w:p>
        </w:tc>
        <w:tc>
          <w:tcPr>
            <w:tcW w:w="2410" w:type="dxa"/>
            <w:noWrap/>
            <w:hideMark/>
          </w:tcPr>
          <w:p w14:paraId="1E10DFED" w14:textId="77777777"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451815">
              <w:rPr>
                <w:rFonts w:ascii="Arial Narrow" w:hAnsi="Arial Narrow" w:cs="Calibri"/>
                <w:color w:val="000000"/>
                <w:sz w:val="18"/>
                <w:szCs w:val="18"/>
              </w:rPr>
              <w:t xml:space="preserve">Terek Sandpiper </w:t>
            </w:r>
          </w:p>
        </w:tc>
        <w:tc>
          <w:tcPr>
            <w:tcW w:w="708" w:type="dxa"/>
            <w:noWrap/>
            <w:hideMark/>
          </w:tcPr>
          <w:p w14:paraId="086B485D" w14:textId="0E8FDF3C"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00537">
              <w:rPr>
                <w:rFonts w:ascii="Arial Narrow" w:hAnsi="Arial Narrow" w:cs="Calibri"/>
                <w:color w:val="000000"/>
                <w:sz w:val="18"/>
                <w:szCs w:val="18"/>
              </w:rPr>
              <w:t>EN</w:t>
            </w:r>
          </w:p>
        </w:tc>
        <w:tc>
          <w:tcPr>
            <w:tcW w:w="3686" w:type="dxa"/>
          </w:tcPr>
          <w:p w14:paraId="02E290DA" w14:textId="0E38ABF6"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HPAI</w:t>
            </w:r>
          </w:p>
        </w:tc>
        <w:tc>
          <w:tcPr>
            <w:tcW w:w="992" w:type="dxa"/>
            <w:noWrap/>
          </w:tcPr>
          <w:p w14:paraId="16C3D348" w14:textId="2F29C6B3" w:rsidR="00E01216" w:rsidRPr="00451815" w:rsidRDefault="00E01216" w:rsidP="00E01216">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bl>
    <w:p w14:paraId="5C0D3D66" w14:textId="59EC4848" w:rsidR="00521EC3" w:rsidRDefault="00521EC3" w:rsidP="003F518D">
      <w:pPr>
        <w:rPr>
          <w:color w:val="FF0000"/>
        </w:rPr>
      </w:pPr>
    </w:p>
    <w:p w14:paraId="06D568A0" w14:textId="77777777" w:rsidR="001C4B51" w:rsidRDefault="001C4B51">
      <w:pPr>
        <w:spacing w:after="0"/>
        <w:rPr>
          <w:b/>
          <w:bCs/>
          <w:color w:val="201547" w:themeColor="accent3"/>
          <w:szCs w:val="22"/>
        </w:rPr>
      </w:pPr>
      <w:r>
        <w:br w:type="page"/>
      </w:r>
    </w:p>
    <w:p w14:paraId="0F8E2669" w14:textId="20BEFE3F" w:rsidR="00380D68" w:rsidRDefault="005A2EB2" w:rsidP="001F5B18">
      <w:pPr>
        <w:pStyle w:val="Caption-Table"/>
      </w:pPr>
      <w:bookmarkStart w:id="79" w:name="_Toc198634145"/>
      <w:r>
        <w:lastRenderedPageBreak/>
        <w:t>Table 1</w:t>
      </w:r>
      <w:r w:rsidR="00B412B1">
        <w:t>3</w:t>
      </w:r>
      <w:r>
        <w:t xml:space="preserve">. Diseases that were assessed as representing potentially </w:t>
      </w:r>
      <w:r w:rsidR="001F5D6D">
        <w:t>E</w:t>
      </w:r>
      <w:r>
        <w:t xml:space="preserve">xtreme </w:t>
      </w:r>
      <w:r w:rsidR="001F5D6D">
        <w:t xml:space="preserve">or High </w:t>
      </w:r>
      <w:r>
        <w:t xml:space="preserve">conservation risks to </w:t>
      </w:r>
      <w:r w:rsidR="006322A0" w:rsidRPr="006322A0">
        <w:t xml:space="preserve">Endangered (EN) and Critically Endangered (CE) </w:t>
      </w:r>
      <w:r>
        <w:t>FFG</w:t>
      </w:r>
      <w:r w:rsidR="006322A0">
        <w:t>-</w:t>
      </w:r>
      <w:r>
        <w:t>listed reptiles in Victoria</w:t>
      </w:r>
      <w:r w:rsidR="006322A0">
        <w:t>.</w:t>
      </w:r>
      <w:bookmarkEnd w:id="79"/>
    </w:p>
    <w:tbl>
      <w:tblPr>
        <w:tblStyle w:val="TableGrid10"/>
        <w:tblW w:w="5074" w:type="pct"/>
        <w:tblLayout w:type="fixed"/>
        <w:tblLook w:val="04A0" w:firstRow="1" w:lastRow="0" w:firstColumn="1" w:lastColumn="0" w:noHBand="0" w:noVBand="1"/>
      </w:tblPr>
      <w:tblGrid>
        <w:gridCol w:w="3156"/>
        <w:gridCol w:w="2089"/>
        <w:gridCol w:w="851"/>
        <w:gridCol w:w="2948"/>
        <w:gridCol w:w="738"/>
      </w:tblGrid>
      <w:tr w:rsidR="0075503F" w:rsidRPr="00C52963" w14:paraId="1C93B728" w14:textId="77777777" w:rsidTr="00DA58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13" w:type="pct"/>
          </w:tcPr>
          <w:p w14:paraId="07368636" w14:textId="5A2C7334" w:rsidR="0021415F" w:rsidRPr="00DA5824" w:rsidRDefault="0021415F">
            <w:pPr>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Common </w:t>
            </w:r>
            <w:r w:rsidR="006322A0"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1068" w:type="pct"/>
          </w:tcPr>
          <w:p w14:paraId="51C7842E" w14:textId="764C7432" w:rsidR="0021415F" w:rsidRPr="00DA5824" w:rsidRDefault="0021415F">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Scientific </w:t>
            </w:r>
            <w:r w:rsidR="006322A0"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435" w:type="pct"/>
          </w:tcPr>
          <w:p w14:paraId="6E26CC3F" w14:textId="77777777" w:rsidR="0021415F" w:rsidRPr="00DA5824" w:rsidRDefault="0021415F">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Status</w:t>
            </w:r>
          </w:p>
        </w:tc>
        <w:tc>
          <w:tcPr>
            <w:tcW w:w="1507" w:type="pct"/>
          </w:tcPr>
          <w:p w14:paraId="53C6CF36" w14:textId="57F7EF6B" w:rsidR="0021415F" w:rsidRPr="00DA5824" w:rsidRDefault="0021415F">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Diseases with Extreme or High </w:t>
            </w:r>
            <w:r w:rsidR="006322A0" w:rsidRPr="00DA5824">
              <w:rPr>
                <w:rFonts w:ascii="Arial Narrow" w:hAnsi="Arial Narrow"/>
                <w:b/>
                <w:color w:val="FFFFFF" w:themeColor="background1"/>
                <w:sz w:val="18"/>
                <w:szCs w:val="18"/>
                <w:lang w:eastAsia="en-US"/>
              </w:rPr>
              <w:t>c</w:t>
            </w:r>
            <w:r w:rsidRPr="00DA5824">
              <w:rPr>
                <w:rFonts w:ascii="Arial Narrow" w:hAnsi="Arial Narrow"/>
                <w:b/>
                <w:color w:val="FFFFFF" w:themeColor="background1"/>
                <w:sz w:val="18"/>
                <w:szCs w:val="18"/>
                <w:lang w:eastAsia="en-US"/>
              </w:rPr>
              <w:t xml:space="preserve">onservation </w:t>
            </w:r>
            <w:r w:rsidR="006322A0" w:rsidRPr="00DA5824">
              <w:rPr>
                <w:rFonts w:ascii="Arial Narrow" w:hAnsi="Arial Narrow"/>
                <w:b/>
                <w:color w:val="FFFFFF" w:themeColor="background1"/>
                <w:sz w:val="18"/>
                <w:szCs w:val="18"/>
                <w:lang w:eastAsia="en-US"/>
              </w:rPr>
              <w:t>r</w:t>
            </w:r>
            <w:r w:rsidRPr="00DA5824">
              <w:rPr>
                <w:rFonts w:ascii="Arial Narrow" w:hAnsi="Arial Narrow"/>
                <w:b/>
                <w:color w:val="FFFFFF" w:themeColor="background1"/>
                <w:sz w:val="18"/>
                <w:szCs w:val="18"/>
                <w:lang w:eastAsia="en-US"/>
              </w:rPr>
              <w:t>isk</w:t>
            </w:r>
          </w:p>
        </w:tc>
        <w:tc>
          <w:tcPr>
            <w:tcW w:w="377" w:type="pct"/>
          </w:tcPr>
          <w:p w14:paraId="61769089" w14:textId="38887225" w:rsidR="0021415F" w:rsidRPr="00DA5824" w:rsidRDefault="0021415F">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Risk rating</w:t>
            </w:r>
          </w:p>
        </w:tc>
      </w:tr>
      <w:tr w:rsidR="0075503F" w:rsidRPr="0061042A" w14:paraId="055AA35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4BF38676" w14:textId="77777777" w:rsidR="0021415F" w:rsidRPr="0061042A" w:rsidRDefault="0021415F" w:rsidP="0061042A">
            <w:pPr>
              <w:spacing w:after="0"/>
              <w:rPr>
                <w:rFonts w:ascii="Arial Narrow" w:hAnsi="Arial Narrow" w:cs="Calibri"/>
                <w:i/>
                <w:iCs/>
                <w:color w:val="000000"/>
                <w:sz w:val="18"/>
                <w:szCs w:val="18"/>
              </w:rPr>
            </w:pPr>
            <w:r w:rsidRPr="0061042A">
              <w:rPr>
                <w:rFonts w:ascii="Arial Narrow" w:hAnsi="Arial Narrow" w:cs="Calibri"/>
                <w:i/>
                <w:iCs/>
                <w:color w:val="000000"/>
                <w:sz w:val="18"/>
                <w:szCs w:val="18"/>
              </w:rPr>
              <w:t>Acanthophis antarcticus</w:t>
            </w:r>
            <w:r w:rsidRPr="0061042A">
              <w:rPr>
                <w:rFonts w:ascii="Arial Narrow" w:hAnsi="Arial Narrow" w:cs="Calibri"/>
                <w:color w:val="000000"/>
                <w:sz w:val="18"/>
                <w:szCs w:val="18"/>
              </w:rPr>
              <w:t xml:space="preserve"> </w:t>
            </w:r>
          </w:p>
        </w:tc>
        <w:tc>
          <w:tcPr>
            <w:tcW w:w="1068" w:type="pct"/>
            <w:noWrap/>
            <w:hideMark/>
          </w:tcPr>
          <w:p w14:paraId="587A3BF3" w14:textId="77777777" w:rsidR="0021415F" w:rsidRPr="0061042A" w:rsidRDefault="0021415F" w:rsidP="0061042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Common Death Adder </w:t>
            </w:r>
          </w:p>
        </w:tc>
        <w:tc>
          <w:tcPr>
            <w:tcW w:w="435" w:type="pct"/>
            <w:noWrap/>
            <w:hideMark/>
          </w:tcPr>
          <w:p w14:paraId="645AC65F" w14:textId="67833C58" w:rsidR="0021415F" w:rsidRPr="0061042A" w:rsidRDefault="0021415F" w:rsidP="0061042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53E126E1" w14:textId="7ECEB7FC" w:rsidR="00BD1EB2" w:rsidRPr="00D8780B" w:rsidRDefault="00BD1EB2" w:rsidP="0061042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proofErr w:type="spellStart"/>
            <w:r w:rsidRPr="00D8780B">
              <w:rPr>
                <w:rFonts w:ascii="Arial Narrow" w:hAnsi="Arial Narrow" w:cs="Calibri"/>
                <w:i/>
                <w:iCs/>
                <w:sz w:val="18"/>
                <w:szCs w:val="18"/>
              </w:rPr>
              <w:t>Paranannizziopsis</w:t>
            </w:r>
            <w:proofErr w:type="spellEnd"/>
            <w:r w:rsidRPr="00D8780B">
              <w:rPr>
                <w:rFonts w:ascii="Arial Narrow" w:hAnsi="Arial Narrow" w:cs="Calibri"/>
                <w:i/>
                <w:iCs/>
                <w:sz w:val="18"/>
                <w:szCs w:val="18"/>
              </w:rPr>
              <w:t xml:space="preserve"> </w:t>
            </w:r>
            <w:proofErr w:type="spellStart"/>
            <w:r w:rsidRPr="00D8780B">
              <w:rPr>
                <w:rFonts w:ascii="Arial Narrow" w:hAnsi="Arial Narrow" w:cs="Calibri"/>
                <w:i/>
                <w:iCs/>
                <w:sz w:val="18"/>
                <w:szCs w:val="18"/>
              </w:rPr>
              <w:t>australasiensis</w:t>
            </w:r>
            <w:proofErr w:type="spellEnd"/>
            <w:r w:rsidRPr="00D8780B">
              <w:rPr>
                <w:rFonts w:ascii="Arial Narrow" w:hAnsi="Arial Narrow" w:cs="Calibri"/>
                <w:sz w:val="18"/>
                <w:szCs w:val="18"/>
              </w:rPr>
              <w:t xml:space="preserve"> (Fungal disease</w:t>
            </w:r>
            <w:r w:rsidR="002E24AC" w:rsidRPr="00D8780B">
              <w:rPr>
                <w:rFonts w:ascii="Arial Narrow" w:hAnsi="Arial Narrow" w:cs="Calibri"/>
                <w:sz w:val="18"/>
                <w:szCs w:val="18"/>
              </w:rPr>
              <w:t>)</w:t>
            </w:r>
          </w:p>
        </w:tc>
        <w:tc>
          <w:tcPr>
            <w:tcW w:w="377" w:type="pct"/>
            <w:noWrap/>
          </w:tcPr>
          <w:p w14:paraId="09791656" w14:textId="77D63212" w:rsidR="00BD1EB2" w:rsidRPr="00D8780B" w:rsidRDefault="00680B55" w:rsidP="0061042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r w:rsidRPr="00D8780B">
              <w:rPr>
                <w:rFonts w:ascii="Arial Narrow" w:hAnsi="Arial Narrow" w:cs="Calibri"/>
                <w:sz w:val="18"/>
                <w:szCs w:val="18"/>
              </w:rPr>
              <w:t>High</w:t>
            </w:r>
          </w:p>
        </w:tc>
      </w:tr>
      <w:tr w:rsidR="0075503F" w:rsidRPr="0061042A" w14:paraId="1237A498"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1861C8D9"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Ctenotus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olympicus</w:t>
            </w:r>
            <w:proofErr w:type="spellEnd"/>
          </w:p>
        </w:tc>
        <w:tc>
          <w:tcPr>
            <w:tcW w:w="1068" w:type="pct"/>
            <w:noWrap/>
            <w:hideMark/>
          </w:tcPr>
          <w:p w14:paraId="7A62F1D6"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Saltbush Striped Skink</w:t>
            </w:r>
          </w:p>
        </w:tc>
        <w:tc>
          <w:tcPr>
            <w:tcW w:w="435" w:type="pct"/>
            <w:noWrap/>
            <w:hideMark/>
          </w:tcPr>
          <w:p w14:paraId="40E4AA1C" w14:textId="64BDA78B"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3CD510E6" w14:textId="32546C34" w:rsidR="0021415F" w:rsidRPr="00D8780B" w:rsidRDefault="0021415F" w:rsidP="00D8780B">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i/>
                <w:iCs/>
                <w:sz w:val="18"/>
                <w:szCs w:val="18"/>
              </w:rPr>
            </w:pPr>
            <w:proofErr w:type="spellStart"/>
            <w:r w:rsidRPr="00D8780B">
              <w:rPr>
                <w:rFonts w:ascii="Arial Narrow" w:hAnsi="Arial Narrow" w:cs="Calibri"/>
                <w:i/>
                <w:iCs/>
                <w:sz w:val="18"/>
                <w:szCs w:val="18"/>
              </w:rPr>
              <w:t>Nannizziopsis</w:t>
            </w:r>
            <w:proofErr w:type="spellEnd"/>
            <w:r w:rsidR="00CC2953" w:rsidRPr="00D8780B">
              <w:rPr>
                <w:rFonts w:ascii="Arial Narrow" w:hAnsi="Arial Narrow" w:cs="Calibri"/>
                <w:i/>
                <w:iCs/>
                <w:sz w:val="18"/>
                <w:szCs w:val="18"/>
              </w:rPr>
              <w:t xml:space="preserve"> </w:t>
            </w:r>
            <w:proofErr w:type="spellStart"/>
            <w:r w:rsidRPr="00D8780B">
              <w:rPr>
                <w:rFonts w:ascii="Arial Narrow" w:hAnsi="Arial Narrow" w:cs="Calibri"/>
                <w:i/>
                <w:iCs/>
                <w:sz w:val="18"/>
                <w:szCs w:val="18"/>
              </w:rPr>
              <w:t>barbatae</w:t>
            </w:r>
            <w:proofErr w:type="spellEnd"/>
            <w:r w:rsidRPr="00D8780B">
              <w:rPr>
                <w:rFonts w:ascii="Arial Narrow" w:hAnsi="Arial Narrow" w:cs="Calibri"/>
                <w:i/>
                <w:iCs/>
                <w:sz w:val="18"/>
                <w:szCs w:val="18"/>
              </w:rPr>
              <w:t xml:space="preserve"> </w:t>
            </w:r>
            <w:r w:rsidRPr="00D8780B">
              <w:rPr>
                <w:rFonts w:ascii="Arial Narrow" w:hAnsi="Arial Narrow" w:cs="Calibri"/>
                <w:sz w:val="18"/>
                <w:szCs w:val="18"/>
              </w:rPr>
              <w:t>(Fungal disease)</w:t>
            </w:r>
            <w:r w:rsidR="00C453D4" w:rsidRPr="00D8780B">
              <w:rPr>
                <w:rFonts w:ascii="Arial Narrow" w:hAnsi="Arial Narrow" w:cs="Calibri"/>
                <w:sz w:val="18"/>
                <w:szCs w:val="18"/>
              </w:rPr>
              <w:t xml:space="preserve">. </w:t>
            </w:r>
          </w:p>
        </w:tc>
        <w:tc>
          <w:tcPr>
            <w:tcW w:w="377" w:type="pct"/>
            <w:noWrap/>
          </w:tcPr>
          <w:p w14:paraId="1F5EC852" w14:textId="1ADFE63F" w:rsidR="0021415F" w:rsidRPr="00D8780B" w:rsidRDefault="0021415F" w:rsidP="0021415F">
            <w:pPr>
              <w:spacing w:after="0"/>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r w:rsidRPr="00D8780B">
              <w:rPr>
                <w:rFonts w:ascii="Arial Narrow" w:hAnsi="Arial Narrow" w:cs="Calibri"/>
                <w:sz w:val="18"/>
                <w:szCs w:val="18"/>
              </w:rPr>
              <w:t>High</w:t>
            </w:r>
          </w:p>
        </w:tc>
      </w:tr>
      <w:tr w:rsidR="0075503F" w:rsidRPr="0061042A" w14:paraId="24E06ABF"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7BB21489"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Cyclodomorphus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michaeli</w:t>
            </w:r>
            <w:proofErr w:type="spellEnd"/>
            <w:r w:rsidRPr="0061042A">
              <w:rPr>
                <w:rFonts w:ascii="Arial Narrow" w:hAnsi="Arial Narrow" w:cs="Calibri"/>
                <w:color w:val="000000"/>
                <w:sz w:val="18"/>
                <w:szCs w:val="18"/>
              </w:rPr>
              <w:t xml:space="preserve"> </w:t>
            </w:r>
          </w:p>
        </w:tc>
        <w:tc>
          <w:tcPr>
            <w:tcW w:w="1068" w:type="pct"/>
            <w:noWrap/>
            <w:hideMark/>
          </w:tcPr>
          <w:p w14:paraId="79CACA3F"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Eastern She-oak Skink </w:t>
            </w:r>
          </w:p>
        </w:tc>
        <w:tc>
          <w:tcPr>
            <w:tcW w:w="435" w:type="pct"/>
            <w:noWrap/>
            <w:hideMark/>
          </w:tcPr>
          <w:p w14:paraId="73BDC41A" w14:textId="4F196ABA"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40E23E8A" w14:textId="4167A93C" w:rsidR="0021415F" w:rsidRPr="00D8780B"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proofErr w:type="spellStart"/>
            <w:r w:rsidRPr="00D8780B">
              <w:rPr>
                <w:rFonts w:ascii="Arial Narrow" w:hAnsi="Arial Narrow" w:cs="Calibri"/>
                <w:i/>
                <w:iCs/>
                <w:sz w:val="18"/>
                <w:szCs w:val="18"/>
              </w:rPr>
              <w:t>Nannizziopsis</w:t>
            </w:r>
            <w:proofErr w:type="spellEnd"/>
            <w:r w:rsidRPr="00D8780B">
              <w:rPr>
                <w:rFonts w:ascii="Arial Narrow" w:hAnsi="Arial Narrow" w:cs="Calibri"/>
                <w:i/>
                <w:iCs/>
                <w:sz w:val="18"/>
                <w:szCs w:val="18"/>
              </w:rPr>
              <w:t xml:space="preserve"> </w:t>
            </w:r>
            <w:proofErr w:type="spellStart"/>
            <w:r w:rsidRPr="00D8780B">
              <w:rPr>
                <w:rFonts w:ascii="Arial Narrow" w:hAnsi="Arial Narrow" w:cs="Calibri"/>
                <w:i/>
                <w:iCs/>
                <w:sz w:val="18"/>
                <w:szCs w:val="18"/>
              </w:rPr>
              <w:t>barbatae</w:t>
            </w:r>
            <w:proofErr w:type="spellEnd"/>
            <w:r w:rsidRPr="00D8780B">
              <w:rPr>
                <w:rFonts w:ascii="Arial Narrow" w:hAnsi="Arial Narrow" w:cs="Calibri"/>
                <w:i/>
                <w:iCs/>
                <w:sz w:val="18"/>
                <w:szCs w:val="18"/>
              </w:rPr>
              <w:t xml:space="preserve"> </w:t>
            </w:r>
            <w:r w:rsidRPr="00D8780B">
              <w:rPr>
                <w:rFonts w:ascii="Arial Narrow" w:hAnsi="Arial Narrow" w:cs="Calibri"/>
                <w:sz w:val="18"/>
                <w:szCs w:val="18"/>
              </w:rPr>
              <w:t>(Fungal disease)</w:t>
            </w:r>
          </w:p>
        </w:tc>
        <w:tc>
          <w:tcPr>
            <w:tcW w:w="377" w:type="pct"/>
            <w:noWrap/>
          </w:tcPr>
          <w:p w14:paraId="521904F7" w14:textId="40D43811" w:rsidR="0021415F" w:rsidRPr="00D8780B"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r w:rsidRPr="00D8780B">
              <w:rPr>
                <w:rFonts w:ascii="Arial Narrow" w:hAnsi="Arial Narrow" w:cs="Calibri"/>
                <w:sz w:val="18"/>
                <w:szCs w:val="18"/>
              </w:rPr>
              <w:t>High</w:t>
            </w:r>
          </w:p>
        </w:tc>
      </w:tr>
      <w:tr w:rsidR="0075503F" w:rsidRPr="0061042A" w14:paraId="466281BC"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506BF442"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Cyclodomorphus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praealtus</w:t>
            </w:r>
            <w:proofErr w:type="spellEnd"/>
          </w:p>
        </w:tc>
        <w:tc>
          <w:tcPr>
            <w:tcW w:w="1068" w:type="pct"/>
            <w:noWrap/>
            <w:hideMark/>
          </w:tcPr>
          <w:p w14:paraId="58865DC5"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Alpine She-oak Skink</w:t>
            </w:r>
          </w:p>
        </w:tc>
        <w:tc>
          <w:tcPr>
            <w:tcW w:w="435" w:type="pct"/>
            <w:noWrap/>
            <w:hideMark/>
          </w:tcPr>
          <w:p w14:paraId="35C82795" w14:textId="7D98C2E9"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71ADE01D" w14:textId="1EAD52A3" w:rsidR="0021415F" w:rsidRPr="00D8780B"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proofErr w:type="spellStart"/>
            <w:r w:rsidRPr="00D8780B">
              <w:rPr>
                <w:rFonts w:ascii="Arial Narrow" w:hAnsi="Arial Narrow" w:cs="Calibri"/>
                <w:i/>
                <w:iCs/>
                <w:sz w:val="18"/>
                <w:szCs w:val="18"/>
              </w:rPr>
              <w:t>Nannizziopsis</w:t>
            </w:r>
            <w:proofErr w:type="spellEnd"/>
            <w:r w:rsidRPr="00D8780B">
              <w:rPr>
                <w:rFonts w:ascii="Arial Narrow" w:hAnsi="Arial Narrow" w:cs="Calibri"/>
                <w:i/>
                <w:iCs/>
                <w:sz w:val="18"/>
                <w:szCs w:val="18"/>
              </w:rPr>
              <w:t xml:space="preserve"> </w:t>
            </w:r>
            <w:proofErr w:type="spellStart"/>
            <w:r w:rsidRPr="00D8780B">
              <w:rPr>
                <w:rFonts w:ascii="Arial Narrow" w:hAnsi="Arial Narrow" w:cs="Calibri"/>
                <w:i/>
                <w:iCs/>
                <w:sz w:val="18"/>
                <w:szCs w:val="18"/>
              </w:rPr>
              <w:t>barbatae</w:t>
            </w:r>
            <w:proofErr w:type="spellEnd"/>
            <w:r w:rsidRPr="00D8780B">
              <w:rPr>
                <w:rFonts w:ascii="Arial Narrow" w:hAnsi="Arial Narrow" w:cs="Calibri"/>
                <w:i/>
                <w:iCs/>
                <w:sz w:val="18"/>
                <w:szCs w:val="18"/>
              </w:rPr>
              <w:t xml:space="preserve"> </w:t>
            </w:r>
            <w:r w:rsidRPr="00D8780B">
              <w:rPr>
                <w:rFonts w:ascii="Arial Narrow" w:hAnsi="Arial Narrow" w:cs="Calibri"/>
                <w:sz w:val="18"/>
                <w:szCs w:val="18"/>
              </w:rPr>
              <w:t>(Fungal disease)</w:t>
            </w:r>
          </w:p>
        </w:tc>
        <w:tc>
          <w:tcPr>
            <w:tcW w:w="377" w:type="pct"/>
            <w:noWrap/>
          </w:tcPr>
          <w:p w14:paraId="5AA350E0" w14:textId="7A47FEB1" w:rsidR="0021415F" w:rsidRPr="00D8780B"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r w:rsidRPr="00D8780B">
              <w:rPr>
                <w:rFonts w:ascii="Arial Narrow" w:hAnsi="Arial Narrow" w:cs="Calibri"/>
                <w:sz w:val="18"/>
                <w:szCs w:val="18"/>
              </w:rPr>
              <w:t>High</w:t>
            </w:r>
          </w:p>
        </w:tc>
      </w:tr>
      <w:tr w:rsidR="0075503F" w:rsidRPr="0061042A" w14:paraId="021E08AD"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3B2E0E0E" w14:textId="77777777" w:rsidR="0021415F" w:rsidRPr="0061042A" w:rsidRDefault="0021415F" w:rsidP="0021415F">
            <w:pPr>
              <w:spacing w:after="0"/>
              <w:rPr>
                <w:rFonts w:ascii="Arial Narrow" w:hAnsi="Arial Narrow" w:cs="Calibri"/>
                <w:i/>
                <w:iCs/>
                <w:color w:val="000000"/>
                <w:sz w:val="18"/>
                <w:szCs w:val="18"/>
              </w:rPr>
            </w:pPr>
            <w:r w:rsidRPr="0061042A">
              <w:rPr>
                <w:rFonts w:ascii="Arial Narrow" w:hAnsi="Arial Narrow" w:cs="Calibri"/>
                <w:i/>
                <w:iCs/>
                <w:color w:val="000000"/>
                <w:sz w:val="18"/>
                <w:szCs w:val="18"/>
              </w:rPr>
              <w:t xml:space="preserve">Denisonia </w:t>
            </w:r>
            <w:proofErr w:type="spellStart"/>
            <w:r w:rsidRPr="0061042A">
              <w:rPr>
                <w:rFonts w:ascii="Arial Narrow" w:hAnsi="Arial Narrow" w:cs="Calibri"/>
                <w:i/>
                <w:iCs/>
                <w:color w:val="000000"/>
                <w:sz w:val="18"/>
                <w:szCs w:val="18"/>
              </w:rPr>
              <w:t>devisi</w:t>
            </w:r>
            <w:proofErr w:type="spellEnd"/>
          </w:p>
        </w:tc>
        <w:tc>
          <w:tcPr>
            <w:tcW w:w="1068" w:type="pct"/>
            <w:noWrap/>
            <w:hideMark/>
          </w:tcPr>
          <w:p w14:paraId="70DE063A"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De Vis' Banded Snake</w:t>
            </w:r>
          </w:p>
        </w:tc>
        <w:tc>
          <w:tcPr>
            <w:tcW w:w="435" w:type="pct"/>
            <w:noWrap/>
            <w:hideMark/>
          </w:tcPr>
          <w:p w14:paraId="10A1C26E" w14:textId="65677968"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0A1B3BC3" w14:textId="5C42857B" w:rsidR="0021415F" w:rsidRPr="00D8780B" w:rsidRDefault="00626E3D" w:rsidP="00D8780B">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proofErr w:type="spellStart"/>
            <w:r w:rsidRPr="00D8780B">
              <w:rPr>
                <w:rFonts w:ascii="Arial Narrow" w:hAnsi="Arial Narrow" w:cs="Calibri"/>
                <w:i/>
                <w:iCs/>
                <w:sz w:val="18"/>
                <w:szCs w:val="18"/>
              </w:rPr>
              <w:t>Paranannizziopsis</w:t>
            </w:r>
            <w:proofErr w:type="spellEnd"/>
            <w:r w:rsidRPr="00D8780B">
              <w:rPr>
                <w:rFonts w:ascii="Arial Narrow" w:hAnsi="Arial Narrow" w:cs="Calibri"/>
                <w:i/>
                <w:iCs/>
                <w:sz w:val="18"/>
                <w:szCs w:val="18"/>
              </w:rPr>
              <w:t xml:space="preserve"> </w:t>
            </w:r>
            <w:proofErr w:type="spellStart"/>
            <w:r w:rsidRPr="00D8780B">
              <w:rPr>
                <w:rFonts w:ascii="Arial Narrow" w:hAnsi="Arial Narrow" w:cs="Calibri"/>
                <w:i/>
                <w:iCs/>
                <w:sz w:val="18"/>
                <w:szCs w:val="18"/>
              </w:rPr>
              <w:t>australasiensis</w:t>
            </w:r>
            <w:proofErr w:type="spellEnd"/>
            <w:r w:rsidRPr="00D8780B">
              <w:rPr>
                <w:rFonts w:ascii="Arial Narrow" w:hAnsi="Arial Narrow" w:cs="Calibri"/>
                <w:sz w:val="18"/>
                <w:szCs w:val="18"/>
              </w:rPr>
              <w:t xml:space="preserve"> (Fungal disease)</w:t>
            </w:r>
          </w:p>
        </w:tc>
        <w:tc>
          <w:tcPr>
            <w:tcW w:w="377" w:type="pct"/>
            <w:noWrap/>
          </w:tcPr>
          <w:p w14:paraId="28ACA40B" w14:textId="54DD6C70" w:rsidR="0021415F" w:rsidRPr="00D8780B" w:rsidRDefault="008D591E" w:rsidP="0021415F">
            <w:pPr>
              <w:spacing w:after="0"/>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sz w:val="18"/>
                <w:szCs w:val="18"/>
              </w:rPr>
            </w:pPr>
            <w:r w:rsidRPr="00D8780B">
              <w:rPr>
                <w:rFonts w:ascii="Arial Narrow" w:hAnsi="Arial Narrow" w:cs="Calibri"/>
                <w:sz w:val="18"/>
                <w:szCs w:val="18"/>
              </w:rPr>
              <w:t>High</w:t>
            </w:r>
          </w:p>
        </w:tc>
      </w:tr>
      <w:tr w:rsidR="0075503F" w:rsidRPr="0061042A" w14:paraId="191FC1A1"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23267BFF"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Eulamprus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kosciuskoi</w:t>
            </w:r>
            <w:proofErr w:type="spellEnd"/>
            <w:r w:rsidRPr="0061042A">
              <w:rPr>
                <w:rFonts w:ascii="Arial Narrow" w:hAnsi="Arial Narrow" w:cs="Calibri"/>
                <w:color w:val="000000"/>
                <w:sz w:val="18"/>
                <w:szCs w:val="18"/>
              </w:rPr>
              <w:t xml:space="preserve"> </w:t>
            </w:r>
          </w:p>
        </w:tc>
        <w:tc>
          <w:tcPr>
            <w:tcW w:w="1068" w:type="pct"/>
            <w:noWrap/>
            <w:hideMark/>
          </w:tcPr>
          <w:p w14:paraId="166FAB06"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Alpine Water Skink </w:t>
            </w:r>
          </w:p>
        </w:tc>
        <w:tc>
          <w:tcPr>
            <w:tcW w:w="435" w:type="pct"/>
            <w:noWrap/>
            <w:hideMark/>
          </w:tcPr>
          <w:p w14:paraId="5500C04C" w14:textId="045ED293"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r w:rsidRPr="0061042A">
              <w:rPr>
                <w:rFonts w:ascii="Arial Narrow" w:hAnsi="Arial Narrow" w:cs="Calibri"/>
                <w:color w:val="000000"/>
                <w:sz w:val="18"/>
                <w:szCs w:val="18"/>
              </w:rPr>
              <w:t xml:space="preserve"> </w:t>
            </w:r>
          </w:p>
        </w:tc>
        <w:tc>
          <w:tcPr>
            <w:tcW w:w="1507" w:type="pct"/>
          </w:tcPr>
          <w:p w14:paraId="420FAE10" w14:textId="0E735543"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18DE0984" w14:textId="799A991E"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1E807B3D"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72540B90"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Eulamprus</w:t>
            </w:r>
            <w:proofErr w:type="spellEnd"/>
            <w:r w:rsidRPr="0061042A">
              <w:rPr>
                <w:rFonts w:ascii="Arial Narrow" w:hAnsi="Arial Narrow" w:cs="Calibri"/>
                <w:i/>
                <w:iCs/>
                <w:color w:val="000000"/>
                <w:sz w:val="18"/>
                <w:szCs w:val="18"/>
              </w:rPr>
              <w:t xml:space="preserve"> tympanum </w:t>
            </w:r>
            <w:proofErr w:type="spellStart"/>
            <w:r w:rsidRPr="0061042A">
              <w:rPr>
                <w:rFonts w:ascii="Arial Narrow" w:hAnsi="Arial Narrow" w:cs="Calibri"/>
                <w:i/>
                <w:iCs/>
                <w:color w:val="000000"/>
                <w:sz w:val="18"/>
                <w:szCs w:val="18"/>
              </w:rPr>
              <w:t>marnieae</w:t>
            </w:r>
            <w:proofErr w:type="spellEnd"/>
          </w:p>
        </w:tc>
        <w:tc>
          <w:tcPr>
            <w:tcW w:w="1068" w:type="pct"/>
            <w:noWrap/>
            <w:hideMark/>
          </w:tcPr>
          <w:p w14:paraId="1D4C777E"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Corangamite Water Skink</w:t>
            </w:r>
          </w:p>
        </w:tc>
        <w:tc>
          <w:tcPr>
            <w:tcW w:w="435" w:type="pct"/>
            <w:noWrap/>
            <w:hideMark/>
          </w:tcPr>
          <w:p w14:paraId="1990F112" w14:textId="7673E048"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1507" w:type="pct"/>
          </w:tcPr>
          <w:p w14:paraId="50385B41" w14:textId="3C42289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687D0046" w14:textId="511BF73B"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59A8C849"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0704E821"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Hemiergis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millewae</w:t>
            </w:r>
            <w:proofErr w:type="spellEnd"/>
            <w:r w:rsidRPr="0061042A">
              <w:rPr>
                <w:rFonts w:ascii="Arial Narrow" w:hAnsi="Arial Narrow" w:cs="Calibri"/>
                <w:color w:val="000000"/>
                <w:sz w:val="18"/>
                <w:szCs w:val="18"/>
              </w:rPr>
              <w:t xml:space="preserve"> </w:t>
            </w:r>
          </w:p>
        </w:tc>
        <w:tc>
          <w:tcPr>
            <w:tcW w:w="1068" w:type="pct"/>
            <w:noWrap/>
            <w:hideMark/>
          </w:tcPr>
          <w:p w14:paraId="6249DC3B"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61042A">
              <w:rPr>
                <w:rFonts w:ascii="Arial Narrow" w:hAnsi="Arial Narrow" w:cs="Calibri"/>
                <w:color w:val="000000"/>
                <w:sz w:val="18"/>
                <w:szCs w:val="18"/>
              </w:rPr>
              <w:t>Millewa</w:t>
            </w:r>
            <w:proofErr w:type="spellEnd"/>
            <w:r w:rsidRPr="0061042A">
              <w:rPr>
                <w:rFonts w:ascii="Arial Narrow" w:hAnsi="Arial Narrow" w:cs="Calibri"/>
                <w:color w:val="000000"/>
                <w:sz w:val="18"/>
                <w:szCs w:val="18"/>
              </w:rPr>
              <w:t xml:space="preserve"> Skink </w:t>
            </w:r>
          </w:p>
        </w:tc>
        <w:tc>
          <w:tcPr>
            <w:tcW w:w="435" w:type="pct"/>
            <w:noWrap/>
            <w:hideMark/>
          </w:tcPr>
          <w:p w14:paraId="46929DA6" w14:textId="72F75129"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1507" w:type="pct"/>
          </w:tcPr>
          <w:p w14:paraId="495D7B62" w14:textId="3DCA1A5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01B6B776" w14:textId="0D614411"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27523D17"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3B188EFC"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Lerista</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timida</w:t>
            </w:r>
            <w:proofErr w:type="spellEnd"/>
            <w:r w:rsidRPr="0061042A">
              <w:rPr>
                <w:rFonts w:ascii="Arial Narrow" w:hAnsi="Arial Narrow" w:cs="Calibri"/>
                <w:color w:val="000000"/>
                <w:sz w:val="18"/>
                <w:szCs w:val="18"/>
              </w:rPr>
              <w:t xml:space="preserve"> </w:t>
            </w:r>
          </w:p>
        </w:tc>
        <w:tc>
          <w:tcPr>
            <w:tcW w:w="1068" w:type="pct"/>
            <w:noWrap/>
            <w:hideMark/>
          </w:tcPr>
          <w:p w14:paraId="38322AB2"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Dwarf Burrowing Skink </w:t>
            </w:r>
          </w:p>
        </w:tc>
        <w:tc>
          <w:tcPr>
            <w:tcW w:w="435" w:type="pct"/>
            <w:noWrap/>
            <w:hideMark/>
          </w:tcPr>
          <w:p w14:paraId="779CBDA3" w14:textId="6F0DD588"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r w:rsidRPr="0061042A">
              <w:rPr>
                <w:rFonts w:ascii="Arial Narrow" w:hAnsi="Arial Narrow" w:cs="Calibri"/>
                <w:color w:val="000000"/>
                <w:sz w:val="18"/>
                <w:szCs w:val="18"/>
              </w:rPr>
              <w:t xml:space="preserve"> </w:t>
            </w:r>
          </w:p>
        </w:tc>
        <w:tc>
          <w:tcPr>
            <w:tcW w:w="1507" w:type="pct"/>
          </w:tcPr>
          <w:p w14:paraId="43B3BBD6" w14:textId="0230CB8E"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53240149" w14:textId="24FDC4DA"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39B77FC9"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18FE6098"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Liopholis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guthega</w:t>
            </w:r>
            <w:proofErr w:type="spellEnd"/>
          </w:p>
        </w:tc>
        <w:tc>
          <w:tcPr>
            <w:tcW w:w="1068" w:type="pct"/>
            <w:noWrap/>
            <w:hideMark/>
          </w:tcPr>
          <w:p w14:paraId="71CC5466"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Guthega Skink</w:t>
            </w:r>
          </w:p>
        </w:tc>
        <w:tc>
          <w:tcPr>
            <w:tcW w:w="435" w:type="pct"/>
            <w:noWrap/>
            <w:hideMark/>
          </w:tcPr>
          <w:p w14:paraId="46CEBB33" w14:textId="38082FB3"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39950339" w14:textId="2D204BAE"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03F06DF8" w14:textId="4B04138C"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79A617CF"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4FAE20CE"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Liopholis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montana</w:t>
            </w:r>
            <w:proofErr w:type="spellEnd"/>
          </w:p>
        </w:tc>
        <w:tc>
          <w:tcPr>
            <w:tcW w:w="1068" w:type="pct"/>
            <w:noWrap/>
            <w:hideMark/>
          </w:tcPr>
          <w:p w14:paraId="662D500E"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Mountain Skink</w:t>
            </w:r>
          </w:p>
        </w:tc>
        <w:tc>
          <w:tcPr>
            <w:tcW w:w="435" w:type="pct"/>
            <w:noWrap/>
            <w:hideMark/>
          </w:tcPr>
          <w:p w14:paraId="73652564" w14:textId="15B178C3"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1507" w:type="pct"/>
          </w:tcPr>
          <w:p w14:paraId="00B957F5" w14:textId="10260F86"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0A585449" w14:textId="1F2E305E"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4E76D69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73EC4F3D" w14:textId="790ABB41"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Liopholis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multiscutata</w:t>
            </w:r>
            <w:proofErr w:type="spellEnd"/>
            <w:r w:rsidR="00BE3EC4">
              <w:rPr>
                <w:rFonts w:ascii="Arial Narrow" w:hAnsi="Arial Narrow" w:cs="Calibri"/>
                <w:i/>
                <w:iCs/>
                <w:color w:val="000000"/>
                <w:sz w:val="18"/>
                <w:szCs w:val="18"/>
              </w:rPr>
              <w:t xml:space="preserve"> </w:t>
            </w:r>
          </w:p>
        </w:tc>
        <w:tc>
          <w:tcPr>
            <w:tcW w:w="1068" w:type="pct"/>
            <w:noWrap/>
            <w:hideMark/>
          </w:tcPr>
          <w:p w14:paraId="4BA8DEDB"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Heath Skink </w:t>
            </w:r>
          </w:p>
        </w:tc>
        <w:tc>
          <w:tcPr>
            <w:tcW w:w="435" w:type="pct"/>
            <w:noWrap/>
            <w:hideMark/>
          </w:tcPr>
          <w:p w14:paraId="287A4F9A" w14:textId="14A8D719"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02A4BB2F" w14:textId="042F33F8"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774C8AD4" w14:textId="21E974D5"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713FF5FC"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4012FDCD"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Lissolepis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coventryi</w:t>
            </w:r>
            <w:proofErr w:type="spellEnd"/>
            <w:r w:rsidRPr="0061042A">
              <w:rPr>
                <w:rFonts w:ascii="Arial Narrow" w:hAnsi="Arial Narrow" w:cs="Calibri"/>
                <w:color w:val="000000"/>
                <w:sz w:val="18"/>
                <w:szCs w:val="18"/>
              </w:rPr>
              <w:t xml:space="preserve"> </w:t>
            </w:r>
          </w:p>
        </w:tc>
        <w:tc>
          <w:tcPr>
            <w:tcW w:w="1068" w:type="pct"/>
            <w:noWrap/>
            <w:hideMark/>
          </w:tcPr>
          <w:p w14:paraId="339F7BFD"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Swamp Skink </w:t>
            </w:r>
          </w:p>
        </w:tc>
        <w:tc>
          <w:tcPr>
            <w:tcW w:w="435" w:type="pct"/>
            <w:noWrap/>
            <w:hideMark/>
          </w:tcPr>
          <w:p w14:paraId="08645C93" w14:textId="4172F03A"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1507" w:type="pct"/>
          </w:tcPr>
          <w:p w14:paraId="528144DB" w14:textId="1B9CD560"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0D4027B5" w14:textId="6AB273E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1445870C"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0EBAEBFC"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Morethia</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adelaidensis</w:t>
            </w:r>
            <w:proofErr w:type="spellEnd"/>
            <w:r w:rsidRPr="0061042A">
              <w:rPr>
                <w:rFonts w:ascii="Arial Narrow" w:hAnsi="Arial Narrow" w:cs="Calibri"/>
                <w:color w:val="000000"/>
                <w:sz w:val="18"/>
                <w:szCs w:val="18"/>
              </w:rPr>
              <w:t xml:space="preserve"> </w:t>
            </w:r>
          </w:p>
        </w:tc>
        <w:tc>
          <w:tcPr>
            <w:tcW w:w="1068" w:type="pct"/>
            <w:noWrap/>
            <w:hideMark/>
          </w:tcPr>
          <w:p w14:paraId="33FBC936"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Samphire Skink </w:t>
            </w:r>
          </w:p>
        </w:tc>
        <w:tc>
          <w:tcPr>
            <w:tcW w:w="435" w:type="pct"/>
            <w:noWrap/>
            <w:hideMark/>
          </w:tcPr>
          <w:p w14:paraId="5D62EBF7" w14:textId="6CC61B9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r w:rsidRPr="0061042A">
              <w:rPr>
                <w:rFonts w:ascii="Arial Narrow" w:hAnsi="Arial Narrow" w:cs="Calibri"/>
                <w:color w:val="000000"/>
                <w:sz w:val="18"/>
                <w:szCs w:val="18"/>
              </w:rPr>
              <w:t xml:space="preserve"> </w:t>
            </w:r>
          </w:p>
        </w:tc>
        <w:tc>
          <w:tcPr>
            <w:tcW w:w="1507" w:type="pct"/>
          </w:tcPr>
          <w:p w14:paraId="4BCD61E5" w14:textId="42333ED5"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37034A48" w14:textId="42FE429A"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2BDB7BB7"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3019D050"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Pseudemoia</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cryodroma</w:t>
            </w:r>
            <w:proofErr w:type="spellEnd"/>
            <w:r w:rsidRPr="0061042A">
              <w:rPr>
                <w:rFonts w:ascii="Arial Narrow" w:hAnsi="Arial Narrow" w:cs="Calibri"/>
                <w:color w:val="000000"/>
                <w:sz w:val="18"/>
                <w:szCs w:val="18"/>
              </w:rPr>
              <w:t xml:space="preserve"> </w:t>
            </w:r>
          </w:p>
        </w:tc>
        <w:tc>
          <w:tcPr>
            <w:tcW w:w="1068" w:type="pct"/>
            <w:noWrap/>
            <w:hideMark/>
          </w:tcPr>
          <w:p w14:paraId="69595152"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Alpine Bog Skink </w:t>
            </w:r>
          </w:p>
        </w:tc>
        <w:tc>
          <w:tcPr>
            <w:tcW w:w="435" w:type="pct"/>
            <w:noWrap/>
            <w:hideMark/>
          </w:tcPr>
          <w:p w14:paraId="2291A2D6" w14:textId="3C442C06"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r w:rsidRPr="0061042A">
              <w:rPr>
                <w:rFonts w:ascii="Arial Narrow" w:hAnsi="Arial Narrow" w:cs="Calibri"/>
                <w:color w:val="000000"/>
                <w:sz w:val="18"/>
                <w:szCs w:val="18"/>
              </w:rPr>
              <w:t xml:space="preserve"> </w:t>
            </w:r>
          </w:p>
        </w:tc>
        <w:tc>
          <w:tcPr>
            <w:tcW w:w="1507" w:type="pct"/>
          </w:tcPr>
          <w:p w14:paraId="1997A952" w14:textId="1E5A0F9D"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4820C2BC" w14:textId="0015A93F"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74E3DDED"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1E25F805"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Pseudemoia</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pagenstecheri</w:t>
            </w:r>
            <w:proofErr w:type="spellEnd"/>
            <w:r w:rsidRPr="0061042A">
              <w:rPr>
                <w:rFonts w:ascii="Arial Narrow" w:hAnsi="Arial Narrow" w:cs="Calibri"/>
                <w:i/>
                <w:iCs/>
                <w:color w:val="000000"/>
                <w:sz w:val="18"/>
                <w:szCs w:val="18"/>
              </w:rPr>
              <w:t xml:space="preserve"> </w:t>
            </w:r>
            <w:r w:rsidRPr="0061042A">
              <w:rPr>
                <w:rFonts w:ascii="Arial Narrow" w:hAnsi="Arial Narrow" w:cs="Calibri"/>
                <w:color w:val="000000"/>
                <w:sz w:val="18"/>
                <w:szCs w:val="18"/>
              </w:rPr>
              <w:t>(High Country)</w:t>
            </w:r>
          </w:p>
        </w:tc>
        <w:tc>
          <w:tcPr>
            <w:tcW w:w="1068" w:type="pct"/>
            <w:noWrap/>
            <w:hideMark/>
          </w:tcPr>
          <w:p w14:paraId="31A897CE"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Tussock Skink</w:t>
            </w:r>
          </w:p>
        </w:tc>
        <w:tc>
          <w:tcPr>
            <w:tcW w:w="435" w:type="pct"/>
            <w:noWrap/>
            <w:hideMark/>
          </w:tcPr>
          <w:p w14:paraId="2BD49852" w14:textId="23359222"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1507" w:type="pct"/>
          </w:tcPr>
          <w:p w14:paraId="1DB95314" w14:textId="409224AD"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15E45D81" w14:textId="4195D2AB"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4BD72F3C"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64C5B28C"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Pseudemoia</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pagenstecheri</w:t>
            </w:r>
            <w:proofErr w:type="spellEnd"/>
            <w:r w:rsidRPr="0061042A">
              <w:rPr>
                <w:rFonts w:ascii="Arial Narrow" w:hAnsi="Arial Narrow" w:cs="Calibri"/>
                <w:i/>
                <w:iCs/>
                <w:color w:val="000000"/>
                <w:sz w:val="18"/>
                <w:szCs w:val="18"/>
              </w:rPr>
              <w:t xml:space="preserve"> </w:t>
            </w:r>
            <w:r w:rsidRPr="0061042A">
              <w:rPr>
                <w:rFonts w:ascii="Arial Narrow" w:hAnsi="Arial Narrow" w:cs="Calibri"/>
                <w:color w:val="000000"/>
                <w:sz w:val="18"/>
                <w:szCs w:val="18"/>
              </w:rPr>
              <w:t>(Volcanic Plains)</w:t>
            </w:r>
          </w:p>
        </w:tc>
        <w:tc>
          <w:tcPr>
            <w:tcW w:w="1068" w:type="pct"/>
            <w:noWrap/>
            <w:hideMark/>
          </w:tcPr>
          <w:p w14:paraId="0F5FA2F8"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Tussock Skink</w:t>
            </w:r>
          </w:p>
        </w:tc>
        <w:tc>
          <w:tcPr>
            <w:tcW w:w="435" w:type="pct"/>
            <w:noWrap/>
            <w:hideMark/>
          </w:tcPr>
          <w:p w14:paraId="62FBAC1B" w14:textId="236430B9"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1507" w:type="pct"/>
          </w:tcPr>
          <w:p w14:paraId="1040B3A7" w14:textId="2B40B252"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6C06617F" w14:textId="6C05BE91"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74DDF125"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193BF26E"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Pseudemoia</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rawlinsoni</w:t>
            </w:r>
            <w:proofErr w:type="spellEnd"/>
          </w:p>
        </w:tc>
        <w:tc>
          <w:tcPr>
            <w:tcW w:w="1068" w:type="pct"/>
            <w:noWrap/>
            <w:hideMark/>
          </w:tcPr>
          <w:p w14:paraId="2BD03370"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Glossy Grass Skink</w:t>
            </w:r>
          </w:p>
        </w:tc>
        <w:tc>
          <w:tcPr>
            <w:tcW w:w="435" w:type="pct"/>
            <w:noWrap/>
            <w:hideMark/>
          </w:tcPr>
          <w:p w14:paraId="6D52227B" w14:textId="2A03F61D"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1507" w:type="pct"/>
          </w:tcPr>
          <w:p w14:paraId="03D8B714" w14:textId="6B0F84D5"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0301BDE0" w14:textId="4D67D5C4"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732EA081"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71507521"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Rankinia</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diemensis</w:t>
            </w:r>
            <w:proofErr w:type="spellEnd"/>
            <w:r w:rsidRPr="0061042A">
              <w:rPr>
                <w:rFonts w:ascii="Arial Narrow" w:hAnsi="Arial Narrow" w:cs="Calibri"/>
                <w:color w:val="000000"/>
                <w:sz w:val="18"/>
                <w:szCs w:val="18"/>
              </w:rPr>
              <w:t xml:space="preserve"> (Grampians)</w:t>
            </w:r>
          </w:p>
        </w:tc>
        <w:tc>
          <w:tcPr>
            <w:tcW w:w="1068" w:type="pct"/>
            <w:noWrap/>
            <w:hideMark/>
          </w:tcPr>
          <w:p w14:paraId="36AA7A3C"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Mountain Dragon Grampians form</w:t>
            </w:r>
          </w:p>
        </w:tc>
        <w:tc>
          <w:tcPr>
            <w:tcW w:w="435" w:type="pct"/>
            <w:noWrap/>
            <w:hideMark/>
          </w:tcPr>
          <w:p w14:paraId="45202464" w14:textId="6D82BF01"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46C71638" w14:textId="708B85CF"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7D20ECF0" w14:textId="33994744"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0A495FE4"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433E9425" w14:textId="4C8E4488"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Tympanocryptis</w:t>
            </w:r>
            <w:proofErr w:type="spellEnd"/>
            <w:r w:rsidRPr="0061042A">
              <w:rPr>
                <w:rFonts w:ascii="Arial Narrow" w:hAnsi="Arial Narrow" w:cs="Calibri"/>
                <w:i/>
                <w:iCs/>
                <w:color w:val="000000"/>
                <w:sz w:val="18"/>
                <w:szCs w:val="18"/>
              </w:rPr>
              <w:t xml:space="preserve"> petersi</w:t>
            </w:r>
            <w:r w:rsidR="00BE3EC4">
              <w:rPr>
                <w:rFonts w:ascii="Arial Narrow" w:hAnsi="Arial Narrow" w:cs="Calibri"/>
                <w:i/>
                <w:iCs/>
                <w:color w:val="000000"/>
                <w:sz w:val="18"/>
                <w:szCs w:val="18"/>
              </w:rPr>
              <w:t xml:space="preserve"> </w:t>
            </w:r>
          </w:p>
        </w:tc>
        <w:tc>
          <w:tcPr>
            <w:tcW w:w="1068" w:type="pct"/>
            <w:noWrap/>
            <w:hideMark/>
          </w:tcPr>
          <w:p w14:paraId="52C62B74"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 xml:space="preserve">Lined Earless Dragon </w:t>
            </w:r>
          </w:p>
        </w:tc>
        <w:tc>
          <w:tcPr>
            <w:tcW w:w="435" w:type="pct"/>
            <w:noWrap/>
            <w:hideMark/>
          </w:tcPr>
          <w:p w14:paraId="177DDD15" w14:textId="2190ACFE"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r w:rsidRPr="0061042A">
              <w:rPr>
                <w:rFonts w:ascii="Arial Narrow" w:hAnsi="Arial Narrow" w:cs="Calibri"/>
                <w:color w:val="000000"/>
                <w:sz w:val="18"/>
                <w:szCs w:val="18"/>
              </w:rPr>
              <w:t xml:space="preserve"> </w:t>
            </w:r>
          </w:p>
        </w:tc>
        <w:tc>
          <w:tcPr>
            <w:tcW w:w="1507" w:type="pct"/>
          </w:tcPr>
          <w:p w14:paraId="2B073D85" w14:textId="165C49DC"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52971D3C" w14:textId="6D8A2BE6"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75503F" w:rsidRPr="0061042A" w14:paraId="040D82D9" w14:textId="77777777" w:rsidTr="00DA5824">
        <w:trPr>
          <w:trHeight w:val="300"/>
        </w:trPr>
        <w:tc>
          <w:tcPr>
            <w:cnfStyle w:val="001000000000" w:firstRow="0" w:lastRow="0" w:firstColumn="1" w:lastColumn="0" w:oddVBand="0" w:evenVBand="0" w:oddHBand="0" w:evenHBand="0" w:firstRowFirstColumn="0" w:firstRowLastColumn="0" w:lastRowFirstColumn="0" w:lastRowLastColumn="0"/>
            <w:tcW w:w="1613" w:type="pct"/>
            <w:noWrap/>
            <w:hideMark/>
          </w:tcPr>
          <w:p w14:paraId="3BF0602E" w14:textId="77777777" w:rsidR="0021415F" w:rsidRPr="0061042A" w:rsidRDefault="0021415F" w:rsidP="0021415F">
            <w:pPr>
              <w:spacing w:after="0"/>
              <w:rPr>
                <w:rFonts w:ascii="Arial Narrow" w:hAnsi="Arial Narrow" w:cs="Calibri"/>
                <w:i/>
                <w:iCs/>
                <w:color w:val="000000"/>
                <w:sz w:val="18"/>
                <w:szCs w:val="18"/>
              </w:rPr>
            </w:pPr>
            <w:proofErr w:type="spellStart"/>
            <w:r w:rsidRPr="0061042A">
              <w:rPr>
                <w:rFonts w:ascii="Arial Narrow" w:hAnsi="Arial Narrow" w:cs="Calibri"/>
                <w:i/>
                <w:iCs/>
                <w:color w:val="000000"/>
                <w:sz w:val="18"/>
                <w:szCs w:val="18"/>
              </w:rPr>
              <w:t>Tympanocryptis</w:t>
            </w:r>
            <w:proofErr w:type="spellEnd"/>
            <w:r w:rsidRPr="0061042A">
              <w:rPr>
                <w:rFonts w:ascii="Arial Narrow" w:hAnsi="Arial Narrow" w:cs="Calibri"/>
                <w:i/>
                <w:iCs/>
                <w:color w:val="000000"/>
                <w:sz w:val="18"/>
                <w:szCs w:val="18"/>
              </w:rPr>
              <w:t xml:space="preserve"> </w:t>
            </w:r>
            <w:proofErr w:type="spellStart"/>
            <w:r w:rsidRPr="0061042A">
              <w:rPr>
                <w:rFonts w:ascii="Arial Narrow" w:hAnsi="Arial Narrow" w:cs="Calibri"/>
                <w:i/>
                <w:iCs/>
                <w:color w:val="000000"/>
                <w:sz w:val="18"/>
                <w:szCs w:val="18"/>
              </w:rPr>
              <w:t>pinguicolla</w:t>
            </w:r>
            <w:proofErr w:type="spellEnd"/>
          </w:p>
        </w:tc>
        <w:tc>
          <w:tcPr>
            <w:tcW w:w="1068" w:type="pct"/>
            <w:noWrap/>
            <w:hideMark/>
          </w:tcPr>
          <w:p w14:paraId="0FA6A0F3" w14:textId="77777777"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61042A">
              <w:rPr>
                <w:rFonts w:ascii="Arial Narrow" w:hAnsi="Arial Narrow" w:cs="Calibri"/>
                <w:color w:val="000000"/>
                <w:sz w:val="18"/>
                <w:szCs w:val="18"/>
              </w:rPr>
              <w:t>Grassland Earless Dragon</w:t>
            </w:r>
          </w:p>
        </w:tc>
        <w:tc>
          <w:tcPr>
            <w:tcW w:w="435" w:type="pct"/>
            <w:noWrap/>
            <w:hideMark/>
          </w:tcPr>
          <w:p w14:paraId="067954C3" w14:textId="64098AF5"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1507" w:type="pct"/>
          </w:tcPr>
          <w:p w14:paraId="1AD6040A" w14:textId="3026BF32"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143E1B">
              <w:rPr>
                <w:rFonts w:ascii="Arial Narrow" w:hAnsi="Arial Narrow" w:cs="Calibri"/>
                <w:i/>
                <w:iCs/>
                <w:color w:val="000000"/>
                <w:sz w:val="18"/>
                <w:szCs w:val="18"/>
              </w:rPr>
              <w:t>Nannizziopsis</w:t>
            </w:r>
            <w:proofErr w:type="spellEnd"/>
            <w:r w:rsidRPr="00143E1B">
              <w:rPr>
                <w:rFonts w:ascii="Arial Narrow" w:hAnsi="Arial Narrow" w:cs="Calibri"/>
                <w:i/>
                <w:iCs/>
                <w:color w:val="000000"/>
                <w:sz w:val="18"/>
                <w:szCs w:val="18"/>
              </w:rPr>
              <w:t xml:space="preserve"> </w:t>
            </w:r>
            <w:proofErr w:type="spellStart"/>
            <w:r w:rsidRPr="00143E1B">
              <w:rPr>
                <w:rFonts w:ascii="Arial Narrow" w:hAnsi="Arial Narrow" w:cs="Calibri"/>
                <w:i/>
                <w:iCs/>
                <w:color w:val="000000"/>
                <w:sz w:val="18"/>
                <w:szCs w:val="18"/>
              </w:rPr>
              <w:t>barbatae</w:t>
            </w:r>
            <w:proofErr w:type="spellEnd"/>
            <w:r>
              <w:rPr>
                <w:rFonts w:ascii="Arial Narrow" w:hAnsi="Arial Narrow" w:cs="Calibri"/>
                <w:i/>
                <w:iCs/>
                <w:color w:val="000000"/>
                <w:sz w:val="18"/>
                <w:szCs w:val="18"/>
              </w:rPr>
              <w:t xml:space="preserve"> </w:t>
            </w:r>
            <w:r>
              <w:rPr>
                <w:rFonts w:ascii="Arial Narrow" w:hAnsi="Arial Narrow" w:cs="Calibri"/>
                <w:color w:val="000000"/>
                <w:sz w:val="18"/>
                <w:szCs w:val="18"/>
              </w:rPr>
              <w:t>(Fungal disease)</w:t>
            </w:r>
          </w:p>
        </w:tc>
        <w:tc>
          <w:tcPr>
            <w:tcW w:w="377" w:type="pct"/>
            <w:noWrap/>
          </w:tcPr>
          <w:p w14:paraId="77B55F14" w14:textId="5981A772" w:rsidR="0021415F" w:rsidRPr="0061042A" w:rsidRDefault="0021415F" w:rsidP="0021415F">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bl>
    <w:p w14:paraId="32D8859B" w14:textId="77777777" w:rsidR="00521EC3" w:rsidRDefault="00521EC3" w:rsidP="00521EC3"/>
    <w:p w14:paraId="659C271E" w14:textId="64E62754" w:rsidR="000849C2" w:rsidRPr="000849C2" w:rsidRDefault="005A2EB2" w:rsidP="001F5B18">
      <w:pPr>
        <w:pStyle w:val="Caption-Table"/>
      </w:pPr>
      <w:bookmarkStart w:id="80" w:name="_Toc198634146"/>
      <w:r>
        <w:t>Table 1</w:t>
      </w:r>
      <w:r w:rsidR="00B412B1">
        <w:t>4</w:t>
      </w:r>
      <w:r>
        <w:t xml:space="preserve">. </w:t>
      </w:r>
      <w:r w:rsidRPr="001F5B18">
        <w:t>Diseases</w:t>
      </w:r>
      <w:r>
        <w:t xml:space="preserve"> that were assessed as representing potentially </w:t>
      </w:r>
      <w:r w:rsidR="001F5D6D">
        <w:t>E</w:t>
      </w:r>
      <w:r>
        <w:t xml:space="preserve">xtreme </w:t>
      </w:r>
      <w:r w:rsidR="001F5D6D">
        <w:t xml:space="preserve">or High </w:t>
      </w:r>
      <w:r>
        <w:t xml:space="preserve">conservation risks to </w:t>
      </w:r>
      <w:r w:rsidR="006322A0" w:rsidRPr="006322A0">
        <w:t xml:space="preserve">Endangered (EN) and Critically Endangered (CE) </w:t>
      </w:r>
      <w:r>
        <w:t>FFG</w:t>
      </w:r>
      <w:r w:rsidR="006322A0">
        <w:t>-</w:t>
      </w:r>
      <w:r>
        <w:t xml:space="preserve">listed </w:t>
      </w:r>
      <w:r w:rsidR="001F5D6D">
        <w:t>amphibians</w:t>
      </w:r>
      <w:r>
        <w:t xml:space="preserve"> in Victoria</w:t>
      </w:r>
      <w:r w:rsidR="006322A0">
        <w:t>.</w:t>
      </w:r>
      <w:bookmarkEnd w:id="80"/>
    </w:p>
    <w:tbl>
      <w:tblPr>
        <w:tblStyle w:val="TableGrid10"/>
        <w:tblW w:w="10065" w:type="dxa"/>
        <w:tblLayout w:type="fixed"/>
        <w:tblLook w:val="04A0" w:firstRow="1" w:lastRow="0" w:firstColumn="1" w:lastColumn="0" w:noHBand="0" w:noVBand="1"/>
      </w:tblPr>
      <w:tblGrid>
        <w:gridCol w:w="2013"/>
        <w:gridCol w:w="2013"/>
        <w:gridCol w:w="2013"/>
        <w:gridCol w:w="2013"/>
        <w:gridCol w:w="2013"/>
      </w:tblGrid>
      <w:tr w:rsidR="002D1EF8" w:rsidRPr="00C52963" w14:paraId="394B323F" w14:textId="7F19B02C" w:rsidTr="00270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02475F0" w14:textId="6C7FBF3E" w:rsidR="002D1EF8" w:rsidRPr="00DA5824" w:rsidRDefault="002D1EF8">
            <w:pPr>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Common </w:t>
            </w:r>
            <w:r w:rsidR="006322A0"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0" w:type="dxa"/>
          </w:tcPr>
          <w:p w14:paraId="11CD1EC7" w14:textId="7BD8A5C8" w:rsidR="002D1EF8" w:rsidRPr="00DA5824" w:rsidRDefault="002D1EF8">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 xml:space="preserve">Scientific </w:t>
            </w:r>
            <w:r w:rsidR="006322A0" w:rsidRPr="00DA5824">
              <w:rPr>
                <w:rFonts w:ascii="Arial Narrow" w:hAnsi="Arial Narrow"/>
                <w:b/>
                <w:color w:val="FFFFFF" w:themeColor="background1"/>
                <w:sz w:val="18"/>
                <w:szCs w:val="18"/>
                <w:lang w:eastAsia="en-US"/>
              </w:rPr>
              <w:t>n</w:t>
            </w:r>
            <w:r w:rsidRPr="00DA5824">
              <w:rPr>
                <w:rFonts w:ascii="Arial Narrow" w:hAnsi="Arial Narrow"/>
                <w:b/>
                <w:color w:val="FFFFFF" w:themeColor="background1"/>
                <w:sz w:val="18"/>
                <w:szCs w:val="18"/>
                <w:lang w:eastAsia="en-US"/>
              </w:rPr>
              <w:t>ame</w:t>
            </w:r>
          </w:p>
        </w:tc>
        <w:tc>
          <w:tcPr>
            <w:tcW w:w="0" w:type="dxa"/>
          </w:tcPr>
          <w:p w14:paraId="052280AE" w14:textId="77777777" w:rsidR="002D1EF8" w:rsidRPr="00DA5824" w:rsidRDefault="002D1EF8" w:rsidP="003F0E0E">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Status</w:t>
            </w:r>
          </w:p>
        </w:tc>
        <w:tc>
          <w:tcPr>
            <w:tcW w:w="0" w:type="dxa"/>
          </w:tcPr>
          <w:p w14:paraId="17AF4087" w14:textId="21D84D73" w:rsidR="002D1EF8" w:rsidRPr="00DA5824" w:rsidRDefault="002D1EF8">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Diseases with Extrem</w:t>
            </w:r>
            <w:r w:rsidR="00754A3A" w:rsidRPr="00DA5824">
              <w:rPr>
                <w:rFonts w:ascii="Arial Narrow" w:hAnsi="Arial Narrow"/>
                <w:b/>
                <w:color w:val="FFFFFF" w:themeColor="background1"/>
                <w:sz w:val="18"/>
                <w:szCs w:val="18"/>
                <w:lang w:eastAsia="en-US"/>
              </w:rPr>
              <w:t>e or High</w:t>
            </w:r>
            <w:r w:rsidRPr="00DA5824">
              <w:rPr>
                <w:rFonts w:ascii="Arial Narrow" w:hAnsi="Arial Narrow"/>
                <w:b/>
                <w:color w:val="FFFFFF" w:themeColor="background1"/>
                <w:sz w:val="18"/>
                <w:szCs w:val="18"/>
                <w:lang w:eastAsia="en-US"/>
              </w:rPr>
              <w:t xml:space="preserve"> </w:t>
            </w:r>
            <w:r w:rsidR="006322A0" w:rsidRPr="00DA5824">
              <w:rPr>
                <w:rFonts w:ascii="Arial Narrow" w:hAnsi="Arial Narrow"/>
                <w:b/>
                <w:color w:val="FFFFFF" w:themeColor="background1"/>
                <w:sz w:val="18"/>
                <w:szCs w:val="18"/>
                <w:lang w:eastAsia="en-US"/>
              </w:rPr>
              <w:t>c</w:t>
            </w:r>
            <w:r w:rsidRPr="00DA5824">
              <w:rPr>
                <w:rFonts w:ascii="Arial Narrow" w:hAnsi="Arial Narrow"/>
                <w:b/>
                <w:color w:val="FFFFFF" w:themeColor="background1"/>
                <w:sz w:val="18"/>
                <w:szCs w:val="18"/>
                <w:lang w:eastAsia="en-US"/>
              </w:rPr>
              <w:t xml:space="preserve">onservation </w:t>
            </w:r>
            <w:r w:rsidR="006322A0" w:rsidRPr="00DA5824">
              <w:rPr>
                <w:rFonts w:ascii="Arial Narrow" w:hAnsi="Arial Narrow"/>
                <w:b/>
                <w:color w:val="FFFFFF" w:themeColor="background1"/>
                <w:sz w:val="18"/>
                <w:szCs w:val="18"/>
                <w:lang w:eastAsia="en-US"/>
              </w:rPr>
              <w:t>r</w:t>
            </w:r>
            <w:r w:rsidRPr="00DA5824">
              <w:rPr>
                <w:rFonts w:ascii="Arial Narrow" w:hAnsi="Arial Narrow"/>
                <w:b/>
                <w:color w:val="FFFFFF" w:themeColor="background1"/>
                <w:sz w:val="18"/>
                <w:szCs w:val="18"/>
                <w:lang w:eastAsia="en-US"/>
              </w:rPr>
              <w:t>isk</w:t>
            </w:r>
          </w:p>
        </w:tc>
        <w:tc>
          <w:tcPr>
            <w:tcW w:w="0" w:type="dxa"/>
          </w:tcPr>
          <w:p w14:paraId="178878E7" w14:textId="29DDE472" w:rsidR="002D1EF8" w:rsidRPr="00DA5824" w:rsidRDefault="002D1EF8">
            <w:pPr>
              <w:cnfStyle w:val="100000000000" w:firstRow="1" w:lastRow="0" w:firstColumn="0" w:lastColumn="0" w:oddVBand="0" w:evenVBand="0" w:oddHBand="0" w:evenHBand="0" w:firstRowFirstColumn="0" w:firstRowLastColumn="0" w:lastRowFirstColumn="0" w:lastRowLastColumn="0"/>
              <w:rPr>
                <w:rFonts w:ascii="Arial Narrow" w:hAnsi="Arial Narrow"/>
                <w:b/>
                <w:color w:val="FFFFFF" w:themeColor="background1"/>
                <w:sz w:val="18"/>
                <w:szCs w:val="18"/>
                <w:lang w:eastAsia="en-US"/>
              </w:rPr>
            </w:pPr>
            <w:r w:rsidRPr="00DA5824">
              <w:rPr>
                <w:rFonts w:ascii="Arial Narrow" w:hAnsi="Arial Narrow"/>
                <w:b/>
                <w:color w:val="FFFFFF" w:themeColor="background1"/>
                <w:sz w:val="18"/>
                <w:szCs w:val="18"/>
                <w:lang w:eastAsia="en-US"/>
              </w:rPr>
              <w:t>Risk rating</w:t>
            </w:r>
          </w:p>
        </w:tc>
      </w:tr>
      <w:tr w:rsidR="00424A57" w:rsidRPr="003F0E0E" w14:paraId="3244BF8E"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6545302C" w14:textId="55B9A96F"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Litoria</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spenceri</w:t>
            </w:r>
            <w:proofErr w:type="spellEnd"/>
          </w:p>
        </w:tc>
        <w:tc>
          <w:tcPr>
            <w:tcW w:w="0" w:type="dxa"/>
            <w:noWrap/>
          </w:tcPr>
          <w:p w14:paraId="2A560617" w14:textId="4EA5EAD4"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F0E0E">
              <w:rPr>
                <w:rFonts w:ascii="Arial Narrow" w:hAnsi="Arial Narrow" w:cs="Calibri"/>
                <w:color w:val="000000"/>
                <w:sz w:val="18"/>
                <w:szCs w:val="18"/>
              </w:rPr>
              <w:t>Spotted Tree Frog</w:t>
            </w:r>
          </w:p>
        </w:tc>
        <w:tc>
          <w:tcPr>
            <w:tcW w:w="0" w:type="dxa"/>
            <w:noWrap/>
          </w:tcPr>
          <w:p w14:paraId="41346EBB" w14:textId="4E2EA93F" w:rsidR="00424A57"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0" w:type="dxa"/>
            <w:noWrap/>
          </w:tcPr>
          <w:p w14:paraId="1388D5A0" w14:textId="3B467B39" w:rsidR="00424A57"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03781EDD" w14:textId="2E65DB94" w:rsidR="00424A57"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424A57" w:rsidRPr="003F0E0E" w14:paraId="0F597EE4"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5C4028B4" w14:textId="14A58EAA"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Litoria</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verreauxii</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alpina</w:t>
            </w:r>
            <w:proofErr w:type="spellEnd"/>
          </w:p>
        </w:tc>
        <w:tc>
          <w:tcPr>
            <w:tcW w:w="0" w:type="dxa"/>
            <w:noWrap/>
          </w:tcPr>
          <w:p w14:paraId="24665E14" w14:textId="2E5ED7B1"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F0E0E">
              <w:rPr>
                <w:rFonts w:ascii="Arial Narrow" w:hAnsi="Arial Narrow" w:cs="Calibri"/>
                <w:color w:val="000000"/>
                <w:sz w:val="18"/>
                <w:szCs w:val="18"/>
              </w:rPr>
              <w:t>Alpine Tree Frog</w:t>
            </w:r>
          </w:p>
        </w:tc>
        <w:tc>
          <w:tcPr>
            <w:tcW w:w="0" w:type="dxa"/>
            <w:noWrap/>
          </w:tcPr>
          <w:p w14:paraId="0633F332" w14:textId="0785632B" w:rsidR="00424A57"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0" w:type="dxa"/>
            <w:noWrap/>
          </w:tcPr>
          <w:p w14:paraId="1205750C" w14:textId="75410669" w:rsidR="00424A57"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76680374" w14:textId="05637322" w:rsidR="00424A57"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424A57" w:rsidRPr="003F0E0E" w14:paraId="3E7C94EB"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39A1151F" w14:textId="390523D2"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Philoria</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frosti</w:t>
            </w:r>
            <w:proofErr w:type="spellEnd"/>
          </w:p>
        </w:tc>
        <w:tc>
          <w:tcPr>
            <w:tcW w:w="0" w:type="dxa"/>
            <w:noWrap/>
          </w:tcPr>
          <w:p w14:paraId="73B4269E" w14:textId="153C090E"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F0E0E">
              <w:rPr>
                <w:rFonts w:ascii="Arial Narrow" w:hAnsi="Arial Narrow" w:cs="Calibri"/>
                <w:color w:val="000000"/>
                <w:sz w:val="18"/>
                <w:szCs w:val="18"/>
              </w:rPr>
              <w:t xml:space="preserve">Baw </w:t>
            </w:r>
            <w:proofErr w:type="spellStart"/>
            <w:r w:rsidRPr="003F0E0E">
              <w:rPr>
                <w:rFonts w:ascii="Arial Narrow" w:hAnsi="Arial Narrow" w:cs="Calibri"/>
                <w:color w:val="000000"/>
                <w:sz w:val="18"/>
                <w:szCs w:val="18"/>
              </w:rPr>
              <w:t>Baw</w:t>
            </w:r>
            <w:proofErr w:type="spellEnd"/>
            <w:r w:rsidRPr="003F0E0E">
              <w:rPr>
                <w:rFonts w:ascii="Arial Narrow" w:hAnsi="Arial Narrow" w:cs="Calibri"/>
                <w:color w:val="000000"/>
                <w:sz w:val="18"/>
                <w:szCs w:val="18"/>
              </w:rPr>
              <w:t xml:space="preserve"> Frog</w:t>
            </w:r>
          </w:p>
        </w:tc>
        <w:tc>
          <w:tcPr>
            <w:tcW w:w="0" w:type="dxa"/>
            <w:noWrap/>
          </w:tcPr>
          <w:p w14:paraId="613A6BDD" w14:textId="3B3428CA" w:rsidR="00424A57"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0" w:type="dxa"/>
            <w:noWrap/>
          </w:tcPr>
          <w:p w14:paraId="1948EFDA" w14:textId="420B3FCE" w:rsidR="00424A57"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1E264D9F" w14:textId="3661E10B" w:rsidR="00424A57"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424A57" w:rsidRPr="003F0E0E" w14:paraId="01D55634"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26F0077F" w14:textId="64033245"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Pseudophryne</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bibronii</w:t>
            </w:r>
            <w:proofErr w:type="spellEnd"/>
            <w:r w:rsidRPr="003F0E0E">
              <w:rPr>
                <w:rFonts w:ascii="Arial Narrow" w:hAnsi="Arial Narrow" w:cs="Calibri"/>
                <w:color w:val="000000"/>
                <w:sz w:val="18"/>
                <w:szCs w:val="18"/>
              </w:rPr>
              <w:t xml:space="preserve"> </w:t>
            </w:r>
          </w:p>
        </w:tc>
        <w:tc>
          <w:tcPr>
            <w:tcW w:w="0" w:type="dxa"/>
            <w:noWrap/>
          </w:tcPr>
          <w:p w14:paraId="615C634F" w14:textId="69AC61A6"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F0E0E">
              <w:rPr>
                <w:rFonts w:ascii="Arial Narrow" w:hAnsi="Arial Narrow" w:cs="Calibri"/>
                <w:color w:val="000000"/>
                <w:sz w:val="18"/>
                <w:szCs w:val="18"/>
              </w:rPr>
              <w:t xml:space="preserve">Brown Toadlet </w:t>
            </w:r>
          </w:p>
        </w:tc>
        <w:tc>
          <w:tcPr>
            <w:tcW w:w="0" w:type="dxa"/>
            <w:noWrap/>
          </w:tcPr>
          <w:p w14:paraId="305AB52D" w14:textId="152AFC51" w:rsidR="00424A57"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0" w:type="dxa"/>
            <w:noWrap/>
          </w:tcPr>
          <w:p w14:paraId="22E55345" w14:textId="21EF1F2B" w:rsidR="00424A57"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52B84253" w14:textId="039C7462" w:rsidR="00424A57"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Extreme</w:t>
            </w:r>
          </w:p>
        </w:tc>
      </w:tr>
      <w:tr w:rsidR="00424A57" w:rsidRPr="003F0E0E" w14:paraId="3C9FEC9A" w14:textId="5CC11D2F"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B3DF214" w14:textId="77777777"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Heleioporus</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australiacus</w:t>
            </w:r>
            <w:proofErr w:type="spellEnd"/>
          </w:p>
        </w:tc>
        <w:tc>
          <w:tcPr>
            <w:tcW w:w="0" w:type="dxa"/>
            <w:noWrap/>
            <w:hideMark/>
          </w:tcPr>
          <w:p w14:paraId="727CC6B3" w14:textId="77777777"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F0E0E">
              <w:rPr>
                <w:rFonts w:ascii="Arial Narrow" w:hAnsi="Arial Narrow" w:cs="Calibri"/>
                <w:color w:val="000000"/>
                <w:sz w:val="18"/>
                <w:szCs w:val="18"/>
              </w:rPr>
              <w:t>Giant Burrowing Frog</w:t>
            </w:r>
          </w:p>
        </w:tc>
        <w:tc>
          <w:tcPr>
            <w:tcW w:w="0" w:type="dxa"/>
            <w:noWrap/>
            <w:hideMark/>
          </w:tcPr>
          <w:p w14:paraId="37DFAE46" w14:textId="1CFB91E1" w:rsidR="00424A57" w:rsidRPr="003F0E0E"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0" w:type="dxa"/>
            <w:noWrap/>
          </w:tcPr>
          <w:p w14:paraId="1B2D86FA" w14:textId="1884347D" w:rsidR="00424A57" w:rsidRPr="003F0E0E"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77898447" w14:textId="6F01A451"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424A57" w:rsidRPr="003F0E0E" w14:paraId="7E66BD9A" w14:textId="77777777"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17CA96F7" w14:textId="76498185"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Mixophyes</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balbus</w:t>
            </w:r>
            <w:proofErr w:type="spellEnd"/>
          </w:p>
        </w:tc>
        <w:tc>
          <w:tcPr>
            <w:tcW w:w="0" w:type="dxa"/>
            <w:noWrap/>
          </w:tcPr>
          <w:p w14:paraId="520E44F1" w14:textId="7CFABAF5"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F0E0E">
              <w:rPr>
                <w:rFonts w:ascii="Arial Narrow" w:hAnsi="Arial Narrow" w:cs="Calibri"/>
                <w:color w:val="000000"/>
                <w:sz w:val="18"/>
                <w:szCs w:val="18"/>
              </w:rPr>
              <w:t>Southern Barred Frog</w:t>
            </w:r>
          </w:p>
        </w:tc>
        <w:tc>
          <w:tcPr>
            <w:tcW w:w="0" w:type="dxa"/>
            <w:noWrap/>
          </w:tcPr>
          <w:p w14:paraId="0877A8C5" w14:textId="39E33BB8" w:rsidR="00424A57"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CR</w:t>
            </w:r>
          </w:p>
        </w:tc>
        <w:tc>
          <w:tcPr>
            <w:tcW w:w="0" w:type="dxa"/>
            <w:noWrap/>
          </w:tcPr>
          <w:p w14:paraId="71925186" w14:textId="48AE02A6" w:rsidR="00424A57"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154E7838" w14:textId="3460940A" w:rsidR="00424A57"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424A57" w:rsidRPr="003F0E0E" w14:paraId="35041E6A" w14:textId="7C5B39FA"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1A05187" w14:textId="77777777"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Litoria</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booroolongensis</w:t>
            </w:r>
            <w:proofErr w:type="spellEnd"/>
          </w:p>
        </w:tc>
        <w:tc>
          <w:tcPr>
            <w:tcW w:w="0" w:type="dxa"/>
            <w:noWrap/>
            <w:hideMark/>
          </w:tcPr>
          <w:p w14:paraId="6E646DCC" w14:textId="77777777"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proofErr w:type="spellStart"/>
            <w:r w:rsidRPr="003F0E0E">
              <w:rPr>
                <w:rFonts w:ascii="Arial Narrow" w:hAnsi="Arial Narrow" w:cs="Calibri"/>
                <w:color w:val="000000"/>
                <w:sz w:val="18"/>
                <w:szCs w:val="18"/>
              </w:rPr>
              <w:t>Booroolong</w:t>
            </w:r>
            <w:proofErr w:type="spellEnd"/>
            <w:r w:rsidRPr="003F0E0E">
              <w:rPr>
                <w:rFonts w:ascii="Arial Narrow" w:hAnsi="Arial Narrow" w:cs="Calibri"/>
                <w:color w:val="000000"/>
                <w:sz w:val="18"/>
                <w:szCs w:val="18"/>
              </w:rPr>
              <w:t xml:space="preserve"> Tree Frog</w:t>
            </w:r>
          </w:p>
        </w:tc>
        <w:tc>
          <w:tcPr>
            <w:tcW w:w="0" w:type="dxa"/>
            <w:noWrap/>
          </w:tcPr>
          <w:p w14:paraId="1DD52F6F" w14:textId="298AAC8E" w:rsidR="00424A57" w:rsidRPr="003F0E0E"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0" w:type="dxa"/>
            <w:noWrap/>
          </w:tcPr>
          <w:p w14:paraId="168986C6" w14:textId="1A56A044" w:rsidR="00424A57" w:rsidRPr="003F0E0E"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52CC1E29" w14:textId="2B66216A"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r w:rsidR="00424A57" w:rsidRPr="003F0E0E" w14:paraId="02C1E673" w14:textId="28D12D1E" w:rsidTr="00270D41">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252CA2B" w14:textId="77777777" w:rsidR="00424A57" w:rsidRPr="003F0E0E" w:rsidRDefault="00424A57" w:rsidP="00424A57">
            <w:pPr>
              <w:spacing w:after="0"/>
              <w:rPr>
                <w:rFonts w:ascii="Arial Narrow" w:hAnsi="Arial Narrow" w:cs="Calibri"/>
                <w:i/>
                <w:iCs/>
                <w:color w:val="000000"/>
                <w:sz w:val="18"/>
                <w:szCs w:val="18"/>
              </w:rPr>
            </w:pPr>
            <w:proofErr w:type="spellStart"/>
            <w:r w:rsidRPr="003F0E0E">
              <w:rPr>
                <w:rFonts w:ascii="Arial Narrow" w:hAnsi="Arial Narrow" w:cs="Calibri"/>
                <w:i/>
                <w:iCs/>
                <w:color w:val="000000"/>
                <w:sz w:val="18"/>
                <w:szCs w:val="18"/>
              </w:rPr>
              <w:t>Pseudophryne</w:t>
            </w:r>
            <w:proofErr w:type="spellEnd"/>
            <w:r w:rsidRPr="003F0E0E">
              <w:rPr>
                <w:rFonts w:ascii="Arial Narrow" w:hAnsi="Arial Narrow" w:cs="Calibri"/>
                <w:i/>
                <w:iCs/>
                <w:color w:val="000000"/>
                <w:sz w:val="18"/>
                <w:szCs w:val="18"/>
              </w:rPr>
              <w:t xml:space="preserve"> </w:t>
            </w:r>
            <w:proofErr w:type="spellStart"/>
            <w:r w:rsidRPr="003F0E0E">
              <w:rPr>
                <w:rFonts w:ascii="Arial Narrow" w:hAnsi="Arial Narrow" w:cs="Calibri"/>
                <w:i/>
                <w:iCs/>
                <w:color w:val="000000"/>
                <w:sz w:val="18"/>
                <w:szCs w:val="18"/>
              </w:rPr>
              <w:t>semimarmorata</w:t>
            </w:r>
            <w:proofErr w:type="spellEnd"/>
          </w:p>
        </w:tc>
        <w:tc>
          <w:tcPr>
            <w:tcW w:w="0" w:type="dxa"/>
            <w:noWrap/>
            <w:hideMark/>
          </w:tcPr>
          <w:p w14:paraId="1D22BC13" w14:textId="77777777"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sidRPr="003F0E0E">
              <w:rPr>
                <w:rFonts w:ascii="Arial Narrow" w:hAnsi="Arial Narrow" w:cs="Calibri"/>
                <w:color w:val="000000"/>
                <w:sz w:val="18"/>
                <w:szCs w:val="18"/>
              </w:rPr>
              <w:t>Southern Toadlet</w:t>
            </w:r>
          </w:p>
        </w:tc>
        <w:tc>
          <w:tcPr>
            <w:tcW w:w="0" w:type="dxa"/>
            <w:noWrap/>
          </w:tcPr>
          <w:p w14:paraId="5895E052" w14:textId="4F65E88B" w:rsidR="00424A57" w:rsidRPr="003F0E0E" w:rsidRDefault="00424A57" w:rsidP="00424A5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EN</w:t>
            </w:r>
          </w:p>
        </w:tc>
        <w:tc>
          <w:tcPr>
            <w:tcW w:w="0" w:type="dxa"/>
            <w:noWrap/>
          </w:tcPr>
          <w:p w14:paraId="08CB8535" w14:textId="5E6AFBD3" w:rsidR="00424A57" w:rsidRPr="003F0E0E" w:rsidRDefault="000E0BE1"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Chytridiomycosis</w:t>
            </w:r>
          </w:p>
        </w:tc>
        <w:tc>
          <w:tcPr>
            <w:tcW w:w="0" w:type="dxa"/>
          </w:tcPr>
          <w:p w14:paraId="7BBC98DC" w14:textId="1B197C93" w:rsidR="00424A57" w:rsidRPr="003F0E0E" w:rsidRDefault="00424A57" w:rsidP="00424A5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18"/>
                <w:szCs w:val="18"/>
              </w:rPr>
            </w:pPr>
            <w:r>
              <w:rPr>
                <w:rFonts w:ascii="Arial Narrow" w:hAnsi="Arial Narrow" w:cs="Calibri"/>
                <w:color w:val="000000"/>
                <w:sz w:val="18"/>
                <w:szCs w:val="18"/>
              </w:rPr>
              <w:t>High</w:t>
            </w:r>
          </w:p>
        </w:tc>
      </w:tr>
    </w:tbl>
    <w:p w14:paraId="038EE5BF" w14:textId="77777777" w:rsidR="00B846A3" w:rsidRDefault="00B846A3">
      <w:pPr>
        <w:rPr>
          <w:color w:val="FF0000"/>
        </w:rPr>
      </w:pPr>
    </w:p>
    <w:p w14:paraId="4A3E6B35" w14:textId="02200481" w:rsidR="001C4B51" w:rsidRDefault="001C4B51" w:rsidP="00DA5824">
      <w:pPr>
        <w:pStyle w:val="Heading2-Numbered"/>
        <w:numPr>
          <w:ilvl w:val="0"/>
          <w:numId w:val="0"/>
        </w:numPr>
      </w:pPr>
    </w:p>
    <w:p w14:paraId="67806FA7" w14:textId="77777777" w:rsidR="00871193" w:rsidRDefault="00871193">
      <w:pPr>
        <w:spacing w:after="0"/>
        <w:rPr>
          <w:b/>
          <w:color w:val="2E1E66" w:themeColor="accent3" w:themeTint="E6"/>
          <w:sz w:val="24"/>
          <w:szCs w:val="28"/>
        </w:rPr>
      </w:pPr>
      <w:r>
        <w:br w:type="page"/>
      </w:r>
    </w:p>
    <w:p w14:paraId="02DACE13" w14:textId="0D393A5B" w:rsidR="002B094C" w:rsidRDefault="0088608E" w:rsidP="000F4D17">
      <w:pPr>
        <w:pStyle w:val="Heading2-Numbered"/>
      </w:pPr>
      <w:r w:rsidRPr="0088608E">
        <w:lastRenderedPageBreak/>
        <w:t xml:space="preserve"> </w:t>
      </w:r>
      <w:bookmarkStart w:id="81" w:name="_Toc198634111"/>
      <w:r w:rsidRPr="006433B2">
        <w:t xml:space="preserve">Modelling </w:t>
      </w:r>
      <w:r>
        <w:t xml:space="preserve">disease impacts and </w:t>
      </w:r>
      <w:r w:rsidRPr="006433B2">
        <w:t>potential mitigation options</w:t>
      </w:r>
      <w:bookmarkEnd w:id="81"/>
    </w:p>
    <w:p w14:paraId="32A4173E" w14:textId="7CF0275E" w:rsidR="00C5029C" w:rsidRDefault="00E07B96" w:rsidP="00C5029C">
      <w:pPr>
        <w:pStyle w:val="Heading3-Numbered"/>
      </w:pPr>
      <w:bookmarkStart w:id="82" w:name="_Toc198634112"/>
      <w:r>
        <w:t>Foot and Mouth Disease</w:t>
      </w:r>
      <w:r w:rsidR="00C5029C">
        <w:t xml:space="preserve"> in </w:t>
      </w:r>
      <w:r w:rsidR="00E548AE">
        <w:t>Feral Pig</w:t>
      </w:r>
      <w:r w:rsidR="00C5029C">
        <w:t>s</w:t>
      </w:r>
      <w:bookmarkEnd w:id="82"/>
    </w:p>
    <w:p w14:paraId="3289E30D" w14:textId="3B51AF44" w:rsidR="00794EE1" w:rsidRPr="00917311" w:rsidRDefault="00E07B96" w:rsidP="00A62758">
      <w:r>
        <w:t>Foot and Mouth Disease</w:t>
      </w:r>
      <w:r w:rsidR="00794EE1" w:rsidRPr="00917311">
        <w:t xml:space="preserve"> (</w:t>
      </w:r>
      <w:r w:rsidR="00794EE1" w:rsidRPr="006A17B5">
        <w:rPr>
          <w:i/>
          <w:iCs/>
        </w:rPr>
        <w:t xml:space="preserve">Aphthae </w:t>
      </w:r>
      <w:proofErr w:type="spellStart"/>
      <w:r w:rsidR="00794EE1" w:rsidRPr="006A17B5">
        <w:rPr>
          <w:i/>
          <w:iCs/>
        </w:rPr>
        <w:t>epizooticae</w:t>
      </w:r>
      <w:proofErr w:type="spellEnd"/>
      <w:r w:rsidR="00794EE1" w:rsidRPr="00917311">
        <w:t>) is a highly contagious viral disease of cloven-hoofed animals, including pigs</w:t>
      </w:r>
      <w:r w:rsidR="009201E3">
        <w:t xml:space="preserve"> (</w:t>
      </w:r>
      <w:r w:rsidR="009201E3" w:rsidRPr="009201E3">
        <w:rPr>
          <w:i/>
          <w:iCs/>
        </w:rPr>
        <w:t>Sus scrofa</w:t>
      </w:r>
      <w:r w:rsidR="009201E3">
        <w:t>)</w:t>
      </w:r>
      <w:r w:rsidR="00794EE1" w:rsidRPr="00917311">
        <w:t>, cattle</w:t>
      </w:r>
      <w:r w:rsidR="00CE1DC1">
        <w:t xml:space="preserve"> (</w:t>
      </w:r>
      <w:r w:rsidR="00CE1DC1" w:rsidRPr="00DA5824">
        <w:rPr>
          <w:i/>
          <w:iCs/>
        </w:rPr>
        <w:t>Bos taurus</w:t>
      </w:r>
      <w:r w:rsidR="00CE1DC1">
        <w:t>)</w:t>
      </w:r>
      <w:r w:rsidR="00794EE1" w:rsidRPr="00917311">
        <w:t>, sheep</w:t>
      </w:r>
      <w:r w:rsidR="00CE1DC1">
        <w:t xml:space="preserve"> (</w:t>
      </w:r>
      <w:r w:rsidR="00CE1DC1" w:rsidRPr="00DA5824">
        <w:rPr>
          <w:i/>
          <w:iCs/>
        </w:rPr>
        <w:t xml:space="preserve">Ovis </w:t>
      </w:r>
      <w:proofErr w:type="spellStart"/>
      <w:r w:rsidR="00CE1DC1" w:rsidRPr="00DA5824">
        <w:rPr>
          <w:i/>
          <w:iCs/>
        </w:rPr>
        <w:t>aries</w:t>
      </w:r>
      <w:proofErr w:type="spellEnd"/>
      <w:r w:rsidR="00CE1DC1">
        <w:t>)</w:t>
      </w:r>
      <w:r w:rsidR="00794EE1" w:rsidRPr="00917311">
        <w:t>, goats</w:t>
      </w:r>
      <w:r w:rsidR="00CE1DC1">
        <w:t xml:space="preserve"> (</w:t>
      </w:r>
      <w:r w:rsidR="00CE1DC1" w:rsidRPr="00DA5824">
        <w:rPr>
          <w:i/>
          <w:iCs/>
        </w:rPr>
        <w:t xml:space="preserve">Capra </w:t>
      </w:r>
      <w:proofErr w:type="spellStart"/>
      <w:r w:rsidR="00CE1DC1" w:rsidRPr="00DA5824">
        <w:rPr>
          <w:i/>
          <w:iCs/>
        </w:rPr>
        <w:t>hircus</w:t>
      </w:r>
      <w:proofErr w:type="spellEnd"/>
      <w:r w:rsidR="00CE1DC1">
        <w:t>)</w:t>
      </w:r>
      <w:r w:rsidR="00794EE1" w:rsidRPr="00917311">
        <w:t xml:space="preserve"> and deer</w:t>
      </w:r>
      <w:r w:rsidR="009201E3">
        <w:t xml:space="preserve"> (family Cervidae)</w:t>
      </w:r>
      <w:r w:rsidR="00794EE1" w:rsidRPr="00917311">
        <w:t>.</w:t>
      </w:r>
      <w:r w:rsidR="00BE3EC4">
        <w:t xml:space="preserve"> </w:t>
      </w:r>
      <w:r w:rsidR="00794EE1" w:rsidRPr="00917311">
        <w:t>While the disease is not usually fatal to adult individuals</w:t>
      </w:r>
      <w:r w:rsidR="00CE1DC1">
        <w:t>,</w:t>
      </w:r>
      <w:r w:rsidR="00794EE1" w:rsidRPr="00917311">
        <w:t xml:space="preserve"> the symptoms include fever and vesicles (blisters) on the feet and in the mouth causing serious losses in productivity.</w:t>
      </w:r>
      <w:r w:rsidR="00BE3EC4">
        <w:t xml:space="preserve"> </w:t>
      </w:r>
      <w:r w:rsidR="00794EE1" w:rsidRPr="00917311">
        <w:t>FMD is not present in Australia</w:t>
      </w:r>
      <w:r w:rsidR="00CE1DC1">
        <w:t>,</w:t>
      </w:r>
      <w:r w:rsidR="00794EE1" w:rsidRPr="00917311">
        <w:t xml:space="preserve"> but there have been recent outbreaks reported in Indonesia </w:t>
      </w:r>
      <w:r w:rsidR="008F3262">
        <w:t>(</w:t>
      </w:r>
      <w:r w:rsidR="00794EE1" w:rsidRPr="00917311">
        <w:t>May 2022</w:t>
      </w:r>
      <w:r w:rsidR="008F3262">
        <w:t>)</w:t>
      </w:r>
      <w:r w:rsidR="00794EE1" w:rsidRPr="00917311">
        <w:t>.</w:t>
      </w:r>
      <w:r w:rsidR="00BE3EC4">
        <w:t xml:space="preserve"> </w:t>
      </w:r>
      <w:r w:rsidR="00794EE1" w:rsidRPr="00917311">
        <w:t xml:space="preserve">FMD is typically spread through close contact with infected individuals and/or other objects (fomites) that have been in close contact with infected individuals. </w:t>
      </w:r>
    </w:p>
    <w:p w14:paraId="6ED8431C" w14:textId="1F259B90" w:rsidR="00794EE1" w:rsidRPr="00917311" w:rsidRDefault="00794EE1" w:rsidP="00A62758">
      <w:r w:rsidRPr="00917311">
        <w:t>Pigs are particularly susceptible to FMD infection and have the potential to excrete large amounts of airborne virus.</w:t>
      </w:r>
      <w:r w:rsidR="00CE1DC1">
        <w:t xml:space="preserve"> Given that</w:t>
      </w:r>
      <w:r w:rsidRPr="00917311">
        <w:t xml:space="preserve"> Australia has not had an FMD epidemic in over 100 years</w:t>
      </w:r>
      <w:r w:rsidR="00CE1DC1">
        <w:t>,</w:t>
      </w:r>
      <w:r w:rsidRPr="00917311">
        <w:t xml:space="preserve"> the role of </w:t>
      </w:r>
      <w:r w:rsidR="00E548AE">
        <w:t>Feral Pig</w:t>
      </w:r>
      <w:r w:rsidRPr="00917311">
        <w:t>s in an outbreak of FMD in Australia is largely unknown.</w:t>
      </w:r>
      <w:r w:rsidR="00BE3EC4">
        <w:t xml:space="preserve"> </w:t>
      </w:r>
      <w:r w:rsidRPr="00917311">
        <w:t xml:space="preserve">However, some investigations of FMD outbreaks in </w:t>
      </w:r>
      <w:r w:rsidR="00E548AE">
        <w:t>Feral Pig</w:t>
      </w:r>
      <w:r w:rsidRPr="00917311">
        <w:t xml:space="preserve">s have been explored using modelling </w:t>
      </w:r>
      <w:r w:rsidR="00416B72" w:rsidRPr="00917311">
        <w:fldChar w:fldCharType="begin"/>
      </w:r>
      <w:r w:rsidR="009F541F">
        <w:instrText xml:space="preserve"> ADDIN ZOTERO_ITEM CSL_CITATION {"citationID":"kfqn5D35","properties":{"formattedCitation":"(Pech and Hone 1988; Dexter 2003; Ward {\\i{}et al.} 2015)","plainCitation":"(Pech and Hone 1988; Dexter 2003; Ward et al. 2015)","noteIndex":0},"citationItems":[{"id":9468,"uris":["http://zotero.org/users/634364/items/DVW63NPB"],"itemData":{"id":9468,"type":"article-journal","container-title":"Journal of Applied Ecology","note":"publisher: JSTOR","page":"63–77","title":"A model of the dynamics and control of an outbreak of foot and mouth disease in feral pigs in Australia","author":[{"family":"Pech","given":"RP"},{"family":"Hone","given":"J"}],"issued":{"date-parts":[["1988"]]}}},{"id":9451,"uris":["http://zotero.org/users/634364/items/NJHBVNYA"],"itemData":{"id":9451,"type":"article-journal","abstract":"Summary\n            \n              \n                \n                  \n                    Foot and mouth disease (FMD) is one of the world's most important livestock diseases and pigs\n                    Sus scrofa\n                    are highly susceptible. In countries with significant feral pig populations, such as Australia, the possibility that FMD may become established in these populations is a cause of considerable concern.\n                  \n                \n                \n                  Current models of FMD in feral pigs in Australia are based on deterministic population and behavioural parameters. However, the population dynamics of feral pigs in the semi</w:instrText>
      </w:r>
      <w:r w:rsidR="009F541F">
        <w:rPr>
          <w:rFonts w:ascii="Cambria Math" w:hAnsi="Cambria Math" w:cs="Cambria Math"/>
        </w:rPr>
        <w:instrText>‐</w:instrText>
      </w:r>
      <w:r w:rsidR="009F541F">
        <w:instrText>arid regions of Australia vary stochastically, in concert with the biomass of rainfall</w:instrText>
      </w:r>
      <w:r w:rsidR="009F541F">
        <w:rPr>
          <w:rFonts w:ascii="Cambria Math" w:hAnsi="Cambria Math" w:cs="Cambria Math"/>
        </w:rPr>
        <w:instrText>‐</w:instrText>
      </w:r>
      <w:r w:rsidR="009F541F">
        <w:instrText>driven pasture.\n                \n                \n                  This study explored how stochastic variation in the population dynamics of feral pigs in semi</w:instrText>
      </w:r>
      <w:r w:rsidR="009F541F">
        <w:rPr>
          <w:rFonts w:ascii="Cambria Math" w:hAnsi="Cambria Math" w:cs="Cambria Math"/>
        </w:rPr>
        <w:instrText>‐</w:instrText>
      </w:r>
      <w:r w:rsidR="009F541F">
        <w:instrText>arid rangelands affected the probability of persistence of an FMD epizootic, and its impact on the density of feral pigs. A stochastic model of feral pig population dynamics, with death rate linked to vegetation and rainfall, was linked to a deterministic model of FMD in feral pigs.\n                \n                \n                  \n                    Unlike the fully deterministic model, the stochastic model predicted inevitable extinction of the disease. When the transmission coefficient for FMD (β) was set at the mean value of 9 km\n                    2\n                    pig\n                    −1\n                     day\n                    −1\n                    , the mean persistence time of the epizootic (in 1000 simulations) was 3338 days, with a maximum persistence time of 8439 days.\n                  \n                \n                \n                  \n                    On average the FMD epizootic reduced the population density of feral pigs, compared with the density of uninfected pig populations, by between 54% and 43% for transmission coefficients (β) equal to the estimated likely mean and minimum values (9·0 km\n                    2\n                    pig\n                    −1\n                     day\n                    −1\n                    and 2·5 km\n                    2\n                    pig\n                    −1\n                     day\n                    −1\n                    ), respectively. This compares with a suppression of 27% in density for the equivalent deterministic model.\n                  \n                \n                \n                  Further stochasticity was introduced to the linked population and disease model by making the transmission coefficient β stochastic with values based on radio</w:instrText>
      </w:r>
      <w:r w:rsidR="009F541F">
        <w:rPr>
          <w:rFonts w:ascii="Cambria Math" w:hAnsi="Cambria Math" w:cs="Cambria Math"/>
        </w:rPr>
        <w:instrText>‐</w:instrText>
      </w:r>
      <w:r w:rsidR="009F541F">
        <w:instrText>telemetry of a population of feral pigs in the semi</w:instrText>
      </w:r>
      <w:r w:rsidR="009F541F">
        <w:rPr>
          <w:rFonts w:ascii="Cambria Math" w:hAnsi="Cambria Math" w:cs="Cambria Math"/>
        </w:rPr>
        <w:instrText>‐</w:instrText>
      </w:r>
      <w:r w:rsidR="009F541F">
        <w:instrText>arid rangelands over an 18</w:instrText>
      </w:r>
      <w:r w:rsidR="009F541F">
        <w:rPr>
          <w:rFonts w:ascii="Cambria Math" w:hAnsi="Cambria Math" w:cs="Cambria Math"/>
        </w:rPr>
        <w:instrText>‐</w:instrText>
      </w:r>
      <w:r w:rsidR="009F541F">
        <w:instrText>month period.\n                \n                \n                  The addition of a stochastically varying β lowered the mean persistence time of the simulated epizootic to 1037 days in 1000 simulations and reduced the maximum persistence time to 3907 days. Pig density was reduced by 45% compared with uninfected populations.\n                \n                \n                  \n                    Synthesis and applications.\n                    These simulations suggest that any control programme to suppress a FMD outbreak in feral pigs in the semi</w:instrText>
      </w:r>
      <w:r w:rsidR="009F541F">
        <w:rPr>
          <w:rFonts w:ascii="Cambria Math" w:hAnsi="Cambria Math" w:cs="Cambria Math"/>
        </w:rPr>
        <w:instrText>‐</w:instrText>
      </w:r>
      <w:r w:rsidR="009F541F">
        <w:instrText>arid rangelands of Australia should take account of prevailing environmental conditions when aiming to reduce feral pig populations beneath a threshold density (\n                    N\n                    T\n                    ) below which the disease cannot persist. As the\n                    N\n                    T\n                    is higher than for the equivalent deterministic model, the disease may be easier to control than such models suggest.","container-title":"Journal of Applied Ecology","DOI":"10.1046/j.1365-2664.2003.00792.x","ISSN":"0021-8901, 1365-2664","issue":"2","journalAbbreviation":"Journal of Applied Ecology","language":"en","license":"http://onlinelibrary.wiley.com/termsAndConditions#vor","page":"293-306","source":"DOI.org (Crossref)","title":"Stochastic models of foot and mouth disease in feral pigs in the Australian semi</w:instrText>
      </w:r>
      <w:r w:rsidR="009F541F">
        <w:rPr>
          <w:rFonts w:ascii="Cambria Math" w:hAnsi="Cambria Math" w:cs="Cambria Math"/>
        </w:rPr>
        <w:instrText>‐</w:instrText>
      </w:r>
      <w:r w:rsidR="009F541F">
        <w:instrText xml:space="preserve">arid rangelands","volume":"40","author":[{"family":"Dexter","given":"N."}],"issued":{"date-parts":[["2003",4]]}}},{"id":515,"uris":["http://zotero.org/users/634364/items/PVP4SD7K"],"itemData":{"id":515,"type":"article-journal","abstract":"Objective\n\nTo use simulation modelling to predict the potential spread and to explore control options for a foot-and-mouth disease (FMD) incursion in a mixed wild pig–domestic cattle ecosystem in northern Australia.\n\n\nDesign\n\nBased on aerial surveys, expert opinion and published data, the wild pig and grazing cattle distributions were simulated. A susceptible–infected–resistant disease-spread model was coded and parameterised according to published literature and expert opinion.\n\n\nMethods\n\nA baseline scenario was simulated in which infection was introduced via wild pigs, with transmission from pigs to cattle and no disease control. Assumptions regarding disease transmission were investigated via sensitivity analyses. Predicted size and length of outbreaks were compared for different control strategies based on movement standstill, surveillance and depopulation.\n\n\nResults\n\nIn most of the simulations, FMD outbreaks were predicted to be ongoing after 6 months, with more cattle herds infected than wild pig herds (median 907 vs 22, respectively). Assuming only pig-to-pig transmission, the infection routinely died out. In contrast, assuming cattle-to-cattle, cattle-to-pig or pig-to-cattle transmission resulted in FMD establishing and spreading in more than 75% of simulations. A control strategy targeting wild pigs only was not predicted to be successful. Control based on cattle only was successful in eradicating the disease. However, control targeting both pigs and cattle resulted in smaller outbreaks.\n\n\nConclusions\n\nIf FMD is controlled in cattle in the modelled ecosystem, it is likely to be self-limiting in wild pigs. However, to eradicate disease as quickly as possible, both wild pigs and cattle should be targeted for control.","container-title":"Australian Veterinary Journal","DOI":"10.1111/avj.12278","ISSN":"1751-0813","issue":"1-2","language":"en","page":"4-12","title":"Modelling foot-and-mouth disease transmission in a wild pig–domestic cattle ecosystem","volume":"93","author":[{"family":"Ward","given":"Mp"},{"family":"Garner","given":"Mg"},{"family":"Cowled","given":"Bd"}],"issued":{"date-parts":[["2015",1]]}}}],"schema":"https://github.com/citation-style-language/schema/raw/master/csl-citation.json"} </w:instrText>
      </w:r>
      <w:r w:rsidR="00416B72" w:rsidRPr="00917311">
        <w:fldChar w:fldCharType="separate"/>
      </w:r>
      <w:r w:rsidR="009F541F" w:rsidRPr="009F541F">
        <w:t xml:space="preserve">(Pech and Hone 1988; Dexter 2003; Ward </w:t>
      </w:r>
      <w:r w:rsidR="009F541F" w:rsidRPr="00DA5824">
        <w:t>et al</w:t>
      </w:r>
      <w:r w:rsidR="009F541F" w:rsidRPr="009F541F">
        <w:rPr>
          <w:i/>
          <w:iCs/>
        </w:rPr>
        <w:t>.</w:t>
      </w:r>
      <w:r w:rsidR="009F541F" w:rsidRPr="009F541F">
        <w:t xml:space="preserve"> 2015)</w:t>
      </w:r>
      <w:r w:rsidR="00416B72" w:rsidRPr="00917311">
        <w:fldChar w:fldCharType="end"/>
      </w:r>
      <w:r w:rsidRPr="00917311">
        <w:t>.</w:t>
      </w:r>
      <w:r w:rsidR="00BE3EC4">
        <w:t xml:space="preserve"> </w:t>
      </w:r>
      <w:r w:rsidRPr="00917311">
        <w:t xml:space="preserve">A model of FMD incursion into a </w:t>
      </w:r>
      <w:r w:rsidR="00E548AE">
        <w:t xml:space="preserve">Feral Pig </w:t>
      </w:r>
      <w:r w:rsidRPr="00917311">
        <w:t xml:space="preserve">population by Pech and Hone </w:t>
      </w:r>
      <w:r w:rsidRPr="00917311">
        <w:fldChar w:fldCharType="begin"/>
      </w:r>
      <w:r w:rsidRPr="00917311">
        <w:instrText xml:space="preserve"> ADDIN ZOTERO_ITEM CSL_CITATION {"citationID":"P653ulD9","properties":{"formattedCitation":"(1988)","plainCitation":"(1988)","noteIndex":0},"citationItems":[{"id":9468,"uris":["http://zotero.org/users/634364/items/DVW63NPB"],"itemData":{"id":9468,"type":"article-journal","container-title":"Journal of Applied Ecology","note":"publisher: JSTOR","page":"63–77","title":"A model of the dynamics and control of an outbreak of foot and mouth disease in feral pigs in Australia","author":[{"family":"Pech","given":"RP"},{"family":"Hone","given":"J"}],"issued":{"date-parts":[["1988"]]}},"label":"page","suppress-author":true}],"schema":"https://github.com/citation-style-language/schema/raw/master/csl-citation.json"} </w:instrText>
      </w:r>
      <w:r w:rsidRPr="00917311">
        <w:fldChar w:fldCharType="separate"/>
      </w:r>
      <w:r w:rsidR="009F541F" w:rsidRPr="009F541F">
        <w:t>(1988)</w:t>
      </w:r>
      <w:r w:rsidRPr="00917311">
        <w:fldChar w:fldCharType="end"/>
      </w:r>
      <w:r w:rsidRPr="00917311">
        <w:t xml:space="preserve"> suggested that </w:t>
      </w:r>
      <w:r w:rsidR="00E548AE">
        <w:t>Feral Pig</w:t>
      </w:r>
      <w:r w:rsidRPr="00917311">
        <w:t xml:space="preserve"> densities in excess of 2.3 pigs/km</w:t>
      </w:r>
      <w:r w:rsidRPr="006B603B">
        <w:rPr>
          <w:vertAlign w:val="superscript"/>
        </w:rPr>
        <w:t>2</w:t>
      </w:r>
      <w:r w:rsidRPr="00917311">
        <w:t xml:space="preserve"> would be sufficient for the disease to spread and persist with</w:t>
      </w:r>
      <w:r w:rsidR="00CE1DC1">
        <w:t>in</w:t>
      </w:r>
      <w:r w:rsidRPr="00917311">
        <w:t xml:space="preserve"> the </w:t>
      </w:r>
      <w:r w:rsidR="00E548AE">
        <w:t>Feral Pig</w:t>
      </w:r>
      <w:r w:rsidRPr="00917311">
        <w:t xml:space="preserve"> population.</w:t>
      </w:r>
      <w:r w:rsidR="00BE3EC4">
        <w:t xml:space="preserve"> </w:t>
      </w:r>
      <w:r w:rsidRPr="00917311">
        <w:t xml:space="preserve">However, a more recent study modelling an outbreak of FMD in northwestern Australia suggested that, if FMD </w:t>
      </w:r>
      <w:r w:rsidR="00CE1DC1">
        <w:t>wa</w:t>
      </w:r>
      <w:r w:rsidRPr="00917311">
        <w:t xml:space="preserve">s controlled in domestic livestock, it </w:t>
      </w:r>
      <w:r w:rsidR="00CE1DC1">
        <w:t>would</w:t>
      </w:r>
      <w:r w:rsidR="00CE1DC1" w:rsidRPr="00917311">
        <w:t xml:space="preserve"> </w:t>
      </w:r>
      <w:r w:rsidRPr="00917311">
        <w:t xml:space="preserve">be unlikely to persist in </w:t>
      </w:r>
      <w:r w:rsidR="00E548AE">
        <w:t>Feral Pig</w:t>
      </w:r>
      <w:r w:rsidRPr="00917311">
        <w:t xml:space="preserve">s </w:t>
      </w:r>
      <w:r w:rsidRPr="00917311">
        <w:fldChar w:fldCharType="begin"/>
      </w:r>
      <w:r w:rsidR="009F541F">
        <w:instrText xml:space="preserve"> ADDIN ZOTERO_ITEM CSL_CITATION {"citationID":"UuCEP3OJ","properties":{"formattedCitation":"(Ward {\\i{}et al.} 2015)","plainCitation":"(Ward et al. 2015)","noteIndex":0},"citationItems":[{"id":515,"uris":["http://zotero.org/users/634364/items/PVP4SD7K"],"itemData":{"id":515,"type":"article-journal","abstract":"Objective\n\nTo use simulation modelling to predict the potential spread and to explore control options for a foot-and-mouth disease (FMD) incursion in a mixed wild pig–domestic cattle ecosystem in northern Australia.\n\n\nDesign\n\nBased on aerial surveys, expert opinion and published data, the wild pig and grazing cattle distributions were simulated. A susceptible–infected–resistant disease-spread model was coded and parameterised according to published literature and expert opinion.\n\n\nMethods\n\nA baseline scenario was simulated in which infection was introduced via wild pigs, with transmission from pigs to cattle and no disease control. Assumptions regarding disease transmission were investigated via sensitivity analyses. Predicted size and length of outbreaks were compared for different control strategies based on movement standstill, surveillance and depopulation.\n\n\nResults\n\nIn most of the simulations, FMD outbreaks were predicted to be ongoing after 6 months, with more cattle herds infected than wild pig herds (median 907 vs 22, respectively). Assuming only pig-to-pig transmission, the infection routinely died out. In contrast, assuming cattle-to-cattle, cattle-to-pig or pig-to-cattle transmission resulted in FMD establishing and spreading in more than 75% of simulations. A control strategy targeting wild pigs only was not predicted to be successful. Control based on cattle only was successful in eradicating the disease. However, control targeting both pigs and cattle resulted in smaller outbreaks.\n\n\nConclusions\n\nIf FMD is controlled in cattle in the modelled ecosystem, it is likely to be self-limiting in wild pigs. However, to eradicate disease as quickly as possible, both wild pigs and cattle should be targeted for control.","container-title":"Australian Veterinary Journal","DOI":"10.1111/avj.12278","ISSN":"1751-0813","issue":"1-2","language":"en","page":"4-12","title":"Modelling foot-and-mouth disease transmission in a wild pig–domestic cattle ecosystem","volume":"93","author":[{"family":"Ward","given":"Mp"},{"family":"Garner","given":"Mg"},{"family":"Cowled","given":"Bd"}],"issued":{"date-parts":[["2015",1]]}}}],"schema":"https://github.com/citation-style-language/schema/raw/master/csl-citation.json"} </w:instrText>
      </w:r>
      <w:r w:rsidRPr="00917311">
        <w:fldChar w:fldCharType="separate"/>
      </w:r>
      <w:r w:rsidR="009F541F" w:rsidRPr="00CE1DC1">
        <w:t>(Ward</w:t>
      </w:r>
      <w:r w:rsidR="00CE1DC1">
        <w:t> </w:t>
      </w:r>
      <w:r w:rsidR="009F541F" w:rsidRPr="00DA5824">
        <w:t>et</w:t>
      </w:r>
      <w:r w:rsidR="00CE1DC1">
        <w:t> </w:t>
      </w:r>
      <w:r w:rsidR="009F541F" w:rsidRPr="00DA5824">
        <w:t>al</w:t>
      </w:r>
      <w:r w:rsidR="009F541F" w:rsidRPr="009F541F">
        <w:rPr>
          <w:i/>
          <w:iCs/>
        </w:rPr>
        <w:t>.</w:t>
      </w:r>
      <w:r w:rsidR="009F541F" w:rsidRPr="009F541F">
        <w:t xml:space="preserve"> 2015)</w:t>
      </w:r>
      <w:r w:rsidRPr="00917311">
        <w:fldChar w:fldCharType="end"/>
      </w:r>
      <w:r w:rsidRPr="00917311">
        <w:t>.</w:t>
      </w:r>
      <w:r w:rsidR="00BE3EC4">
        <w:t xml:space="preserve"> </w:t>
      </w:r>
      <w:r w:rsidRPr="00917311">
        <w:t xml:space="preserve">However, the </w:t>
      </w:r>
      <w:r w:rsidR="00E548AE">
        <w:t>Feral Pig</w:t>
      </w:r>
      <w:r w:rsidRPr="00917311">
        <w:t xml:space="preserve"> densities included in the model of Ward </w:t>
      </w:r>
      <w:r w:rsidRPr="00DA5824">
        <w:rPr>
          <w:iCs/>
        </w:rPr>
        <w:t>et al</w:t>
      </w:r>
      <w:r w:rsidRPr="09498378">
        <w:rPr>
          <w:i/>
        </w:rPr>
        <w:t>.</w:t>
      </w:r>
      <w:r w:rsidRPr="00917311">
        <w:t xml:space="preserve"> </w:t>
      </w:r>
      <w:r w:rsidRPr="00917311">
        <w:fldChar w:fldCharType="begin"/>
      </w:r>
      <w:r w:rsidRPr="00917311">
        <w:instrText xml:space="preserve"> ADDIN ZOTERO_ITEM CSL_CITATION {"citationID":"v9Gnf8Mz","properties":{"formattedCitation":"(2015)","plainCitation":"(2015)","noteIndex":0},"citationItems":[{"id":515,"uris":["http://zotero.org/users/634364/items/PVP4SD7K"],"itemData":{"id":515,"type":"article-journal","abstract":"Objective\n\nTo use simulation modelling to predict the potential spread and to explore control options for a foot-and-mouth disease (FMD) incursion in a mixed wild pig–domestic cattle ecosystem in northern Australia.\n\n\nDesign\n\nBased on aerial surveys, expert opinion and published data, the wild pig and grazing cattle distributions were simulated. A susceptible–infected–resistant disease-spread model was coded and parameterised according to published literature and expert opinion.\n\n\nMethods\n\nA baseline scenario was simulated in which infection was introduced via wild pigs, with transmission from pigs to cattle and no disease control. Assumptions regarding disease transmission were investigated via sensitivity analyses. Predicted size and length of outbreaks were compared for different control strategies based on movement standstill, surveillance and depopulation.\n\n\nResults\n\nIn most of the simulations, FMD outbreaks were predicted to be ongoing after 6 months, with more cattle herds infected than wild pig herds (median 907 vs 22, respectively). Assuming only pig-to-pig transmission, the infection routinely died out. In contrast, assuming cattle-to-cattle, cattle-to-pig or pig-to-cattle transmission resulted in FMD establishing and spreading in more than 75% of simulations. A control strategy targeting wild pigs only was not predicted to be successful. Control based on cattle only was successful in eradicating the disease. However, control targeting both pigs and cattle resulted in smaller outbreaks.\n\n\nConclusions\n\nIf FMD is controlled in cattle in the modelled ecosystem, it is likely to be self-limiting in wild pigs. However, to eradicate disease as quickly as possible, both wild pigs and cattle should be targeted for control.","container-title":"Australian Veterinary Journal","DOI":"10.1111/avj.12278","ISSN":"1751-0813","issue":"1-2","language":"en","page":"4-12","title":"Modelling foot-and-mouth disease transmission in a wild pig–domestic cattle ecosystem","volume":"93","author":[{"family":"Ward","given":"Mp"},{"family":"Garner","given":"Mg"},{"family":"Cowled","given":"Bd"}],"issued":{"date-parts":[["2015",1]]}},"label":"page","suppress-author":true}],"schema":"https://github.com/citation-style-language/schema/raw/master/csl-citation.json"} </w:instrText>
      </w:r>
      <w:r w:rsidRPr="00917311">
        <w:fldChar w:fldCharType="separate"/>
      </w:r>
      <w:r w:rsidR="009F541F" w:rsidRPr="009F541F">
        <w:t>(2015)</w:t>
      </w:r>
      <w:r w:rsidRPr="00917311">
        <w:fldChar w:fldCharType="end"/>
      </w:r>
      <w:r w:rsidRPr="00917311">
        <w:t xml:space="preserve"> ranged from 0.6–1.7 pigs/km</w:t>
      </w:r>
      <w:r w:rsidRPr="006B603B">
        <w:rPr>
          <w:vertAlign w:val="superscript"/>
        </w:rPr>
        <w:t>2</w:t>
      </w:r>
      <w:r w:rsidRPr="00917311">
        <w:t xml:space="preserve">, which were lower than the threshold density required for FMD persistence estimated by Pech and Hone </w:t>
      </w:r>
      <w:r w:rsidRPr="00917311">
        <w:fldChar w:fldCharType="begin"/>
      </w:r>
      <w:r w:rsidRPr="00917311">
        <w:instrText xml:space="preserve"> ADDIN ZOTERO_ITEM CSL_CITATION {"citationID":"cE1LeKAE","properties":{"formattedCitation":"(1988)","plainCitation":"(1988)","noteIndex":0},"citationItems":[{"id":9468,"uris":["http://zotero.org/users/634364/items/DVW63NPB"],"itemData":{"id":9468,"type":"article-journal","container-title":"Journal of Applied Ecology","note":"publisher: JSTOR","page":"63–77","title":"A model of the dynamics and control of an outbreak of foot and mouth disease in feral pigs in Australia","author":[{"family":"Pech","given":"RP"},{"family":"Hone","given":"J"}],"issued":{"date-parts":[["1988"]]}},"label":"page","suppress-author":true}],"schema":"https://github.com/citation-style-language/schema/raw/master/csl-citation.json"} </w:instrText>
      </w:r>
      <w:r w:rsidRPr="00917311">
        <w:fldChar w:fldCharType="separate"/>
      </w:r>
      <w:r w:rsidR="009F541F" w:rsidRPr="009F541F">
        <w:t>(1988)</w:t>
      </w:r>
      <w:r w:rsidRPr="00917311">
        <w:fldChar w:fldCharType="end"/>
      </w:r>
      <w:r w:rsidRPr="00917311">
        <w:t>.</w:t>
      </w:r>
    </w:p>
    <w:p w14:paraId="4EFE9002" w14:textId="6D2A81FE" w:rsidR="00436F08" w:rsidRDefault="00794EE1" w:rsidP="00436F08">
      <w:r w:rsidRPr="00917311">
        <w:t xml:space="preserve">We constructed a </w:t>
      </w:r>
      <w:r w:rsidR="001136F0">
        <w:t>m</w:t>
      </w:r>
      <w:r w:rsidRPr="00917311">
        <w:t xml:space="preserve">odel for FMD in </w:t>
      </w:r>
      <w:r w:rsidR="00E548AE">
        <w:t>Feral Pig</w:t>
      </w:r>
      <w:r w:rsidRPr="00917311">
        <w:t>s</w:t>
      </w:r>
      <w:r w:rsidR="00E326BA">
        <w:t xml:space="preserve"> (Figure 4)</w:t>
      </w:r>
      <w:r w:rsidRPr="00917311">
        <w:t xml:space="preserve"> based on the model of Pech and Hone </w:t>
      </w:r>
      <w:r w:rsidRPr="00917311">
        <w:fldChar w:fldCharType="begin"/>
      </w:r>
      <w:r w:rsidRPr="00917311">
        <w:instrText xml:space="preserve"> ADDIN ZOTERO_ITEM CSL_CITATION {"citationID":"oPXZQ2Nm","properties":{"formattedCitation":"(1988)","plainCitation":"(1988)","noteIndex":0},"citationItems":[{"id":9468,"uris":["http://zotero.org/users/634364/items/DVW63NPB"],"itemData":{"id":9468,"type":"article-journal","container-title":"Journal of Applied Ecology","note":"publisher: JSTOR","page":"63–77","title":"A model of the dynamics and control of an outbreak of foot and mouth disease in feral pigs in Australia","author":[{"family":"Pech","given":"RP"},{"family":"Hone","given":"J"}],"issued":{"date-parts":[["1988"]]}},"label":"page","suppress-author":true}],"schema":"https://github.com/citation-style-language/schema/raw/master/csl-citation.json"} </w:instrText>
      </w:r>
      <w:r w:rsidRPr="00917311">
        <w:fldChar w:fldCharType="separate"/>
      </w:r>
      <w:r w:rsidR="009F541F" w:rsidRPr="009F541F">
        <w:t>(1988)</w:t>
      </w:r>
      <w:r w:rsidRPr="00917311">
        <w:fldChar w:fldCharType="end"/>
      </w:r>
      <w:r w:rsidRPr="00917311">
        <w:t>.</w:t>
      </w:r>
      <w:r w:rsidR="00BE3EC4">
        <w:t xml:space="preserve"> </w:t>
      </w:r>
      <w:r w:rsidRPr="00917311">
        <w:t xml:space="preserve">This model was constructed </w:t>
      </w:r>
      <w:r w:rsidR="00DF7A25">
        <w:t xml:space="preserve">as </w:t>
      </w:r>
      <w:r w:rsidR="00436F08">
        <w:t>a</w:t>
      </w:r>
      <w:r w:rsidR="00BC7E99">
        <w:t xml:space="preserve"> stochastic,</w:t>
      </w:r>
      <w:r w:rsidR="00436F08">
        <w:t xml:space="preserve"> individual based model (IBM) </w:t>
      </w:r>
      <w:r w:rsidR="00AE35F5">
        <w:t>founded</w:t>
      </w:r>
      <w:r w:rsidR="00CE1DC1">
        <w:t xml:space="preserve"> up</w:t>
      </w:r>
      <w:r w:rsidR="00436F08">
        <w:t xml:space="preserve">on the set of differential equations and parameters given in </w:t>
      </w:r>
      <w:r w:rsidR="0088608E">
        <w:t>section 6.</w:t>
      </w:r>
      <w:r w:rsidR="00B4324B">
        <w:t>1</w:t>
      </w:r>
      <w:r w:rsidR="0088608E">
        <w:t>.</w:t>
      </w:r>
    </w:p>
    <w:p w14:paraId="2FF9C580" w14:textId="77777777" w:rsidR="00967ADF" w:rsidRDefault="00967ADF" w:rsidP="00436F08">
      <w:pPr>
        <w:rPr>
          <w:rFonts w:eastAsiaTheme="minorEastAsia"/>
        </w:rPr>
      </w:pPr>
    </w:p>
    <w:p w14:paraId="16E76D6D" w14:textId="77777777" w:rsidR="00436F08" w:rsidRDefault="00436F08" w:rsidP="00436F08">
      <w:pPr>
        <w:rPr>
          <w:rFonts w:eastAsiaTheme="minorEastAsia"/>
        </w:rPr>
      </w:pPr>
      <w:r>
        <w:rPr>
          <w:rFonts w:eastAsiaTheme="minorEastAsia"/>
          <w:noProof/>
        </w:rPr>
        <w:drawing>
          <wp:inline distT="0" distB="0" distL="0" distR="0" wp14:anchorId="71BA3B0F" wp14:editId="78D99CCC">
            <wp:extent cx="5113802" cy="1924050"/>
            <wp:effectExtent l="0" t="0" r="0" b="0"/>
            <wp:docPr id="422699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9924" name="Picture 42269924"/>
                    <pic:cNvPicPr/>
                  </pic:nvPicPr>
                  <pic:blipFill>
                    <a:blip r:embed="rId44" cstate="screen">
                      <a:extLst>
                        <a:ext uri="{28A0092B-C50C-407E-A947-70E740481C1C}">
                          <a14:useLocalDpi xmlns:a14="http://schemas.microsoft.com/office/drawing/2010/main" val="0"/>
                        </a:ext>
                      </a:extLst>
                    </a:blip>
                    <a:stretch>
                      <a:fillRect/>
                    </a:stretch>
                  </pic:blipFill>
                  <pic:spPr>
                    <a:xfrm>
                      <a:off x="0" y="0"/>
                      <a:ext cx="5125098" cy="1928300"/>
                    </a:xfrm>
                    <a:prstGeom prst="rect">
                      <a:avLst/>
                    </a:prstGeom>
                  </pic:spPr>
                </pic:pic>
              </a:graphicData>
            </a:graphic>
          </wp:inline>
        </w:drawing>
      </w:r>
    </w:p>
    <w:p w14:paraId="475DBA20" w14:textId="60A6124F" w:rsidR="00436F08" w:rsidRDefault="00436F08" w:rsidP="00DB2AD8">
      <w:pPr>
        <w:pStyle w:val="Caption-Figure"/>
      </w:pPr>
      <w:bookmarkStart w:id="83" w:name="_Toc198634154"/>
      <w:r w:rsidRPr="003C1AEF">
        <w:t xml:space="preserve">Figure </w:t>
      </w:r>
      <w:r w:rsidR="00DB2AD8">
        <w:t>4</w:t>
      </w:r>
      <w:r>
        <w:t>.</w:t>
      </w:r>
      <w:r w:rsidR="00BE3EC4">
        <w:t xml:space="preserve"> </w:t>
      </w:r>
      <w:r>
        <w:t xml:space="preserve">Flow chart of the </w:t>
      </w:r>
      <w:r w:rsidR="00E548AE">
        <w:t>Feral Pig</w:t>
      </w:r>
      <w:r>
        <w:t xml:space="preserve"> FMD individual-based model showing the progression of individuals through each of the model compartments.</w:t>
      </w:r>
      <w:r w:rsidR="00BE3EC4">
        <w:t xml:space="preserve"> </w:t>
      </w:r>
      <m:oMath>
        <m:r>
          <m:rPr>
            <m:sty m:val="bi"/>
          </m:rPr>
          <w:rPr>
            <w:rFonts w:ascii="Cambria Math" w:hAnsi="Cambria Math"/>
          </w:rPr>
          <m:t>S</m:t>
        </m:r>
      </m:oMath>
      <w:r>
        <w:t xml:space="preserve"> – susceptible, </w:t>
      </w:r>
      <m:oMath>
        <m:r>
          <m:rPr>
            <m:sty m:val="bi"/>
          </m:rPr>
          <w:rPr>
            <w:rFonts w:ascii="Cambria Math" w:hAnsi="Cambria Math"/>
          </w:rPr>
          <m:t>E</m:t>
        </m:r>
      </m:oMath>
      <w:r>
        <w:t xml:space="preserve"> – exposed, </w:t>
      </w:r>
      <m:oMath>
        <m:r>
          <m:rPr>
            <m:sty m:val="bi"/>
          </m:rPr>
          <w:rPr>
            <w:rFonts w:ascii="Cambria Math" w:hAnsi="Cambria Math"/>
          </w:rPr>
          <m:t>I</m:t>
        </m:r>
      </m:oMath>
      <w:r>
        <w:t xml:space="preserve"> – infectious, </w:t>
      </w:r>
      <m:oMath>
        <m:r>
          <m:rPr>
            <m:sty m:val="bi"/>
          </m:rPr>
          <w:rPr>
            <w:rFonts w:ascii="Cambria Math" w:hAnsi="Cambria Math"/>
          </w:rPr>
          <m:t>R</m:t>
        </m:r>
      </m:oMath>
      <w:r w:rsidR="00CE1DC1">
        <w:t> </w:t>
      </w:r>
      <w:r>
        <w:t>– recovered.</w:t>
      </w:r>
      <w:r w:rsidR="00BE3EC4">
        <w:t xml:space="preserve"> </w:t>
      </w:r>
      <w:r>
        <w:t xml:space="preserve">Parameter descriptions are given in </w:t>
      </w:r>
      <w:r w:rsidR="009201E3">
        <w:t>section 6.1</w:t>
      </w:r>
      <w:r>
        <w:t>.</w:t>
      </w:r>
      <w:bookmarkEnd w:id="83"/>
    </w:p>
    <w:p w14:paraId="47D893C9" w14:textId="77777777" w:rsidR="00AE35F5" w:rsidRPr="00AE35F5" w:rsidRDefault="00AE35F5" w:rsidP="00DA5824"/>
    <w:p w14:paraId="3254CE5C" w14:textId="38FA92D8" w:rsidR="00E032C0" w:rsidRDefault="00B20714" w:rsidP="00E032C0">
      <w:pPr>
        <w:rPr>
          <w:rFonts w:eastAsiaTheme="minorEastAsia"/>
        </w:rPr>
      </w:pPr>
      <w:r w:rsidRPr="00917311">
        <w:rPr>
          <w:rFonts w:eastAsiaTheme="minorEastAsia"/>
        </w:rPr>
        <w:t xml:space="preserve">Where </w:t>
      </w:r>
      <m:oMath>
        <m:r>
          <w:rPr>
            <w:rFonts w:ascii="Cambria Math" w:eastAsiaTheme="minorEastAsia" w:hAnsi="Cambria Math"/>
          </w:rPr>
          <m:t>S</m:t>
        </m:r>
      </m:oMath>
      <w:r w:rsidRPr="00917311">
        <w:rPr>
          <w:rFonts w:eastAsiaTheme="minorEastAsia"/>
        </w:rPr>
        <w:t xml:space="preserve"> are susceptible, </w:t>
      </w:r>
      <m:oMath>
        <m:r>
          <w:rPr>
            <w:rFonts w:ascii="Cambria Math" w:eastAsiaTheme="minorEastAsia" w:hAnsi="Cambria Math"/>
          </w:rPr>
          <m:t>E</m:t>
        </m:r>
      </m:oMath>
      <w:r w:rsidRPr="00917311">
        <w:rPr>
          <w:rFonts w:eastAsiaTheme="minorEastAsia"/>
        </w:rPr>
        <w:t xml:space="preserve"> are exposed (latent), </w:t>
      </w:r>
      <m:oMath>
        <m:r>
          <w:rPr>
            <w:rFonts w:ascii="Cambria Math" w:eastAsiaTheme="minorEastAsia" w:hAnsi="Cambria Math"/>
          </w:rPr>
          <m:t>I</m:t>
        </m:r>
      </m:oMath>
      <w:r w:rsidRPr="00917311">
        <w:rPr>
          <w:rFonts w:eastAsiaTheme="minorEastAsia"/>
        </w:rPr>
        <w:t xml:space="preserve"> are infectious and </w:t>
      </w:r>
      <m:oMath>
        <m:r>
          <w:rPr>
            <w:rFonts w:ascii="Cambria Math" w:eastAsiaTheme="minorEastAsia" w:hAnsi="Cambria Math"/>
          </w:rPr>
          <m:t>R</m:t>
        </m:r>
      </m:oMath>
      <w:r w:rsidRPr="00917311">
        <w:rPr>
          <w:rFonts w:eastAsiaTheme="minorEastAsia"/>
        </w:rPr>
        <w:t xml:space="preserve"> are recovered individuals.</w:t>
      </w:r>
      <w:r w:rsidR="00BE3EC4">
        <w:rPr>
          <w:rFonts w:eastAsiaTheme="minorEastAsia"/>
        </w:rPr>
        <w:t xml:space="preserve"> </w:t>
      </w:r>
      <w:r w:rsidRPr="00917311">
        <w:rPr>
          <w:rFonts w:eastAsiaTheme="minorEastAsia"/>
        </w:rPr>
        <w:t xml:space="preserve">The parameter </w:t>
      </w:r>
      <m:oMath>
        <m:r>
          <w:rPr>
            <w:rFonts w:ascii="Cambria Math" w:eastAsiaTheme="minorEastAsia" w:hAnsi="Cambria Math"/>
          </w:rPr>
          <m:t>b</m:t>
        </m:r>
      </m:oMath>
      <w:r w:rsidRPr="00917311">
        <w:rPr>
          <w:rFonts w:eastAsiaTheme="minorEastAsia"/>
        </w:rPr>
        <w:t xml:space="preserve"> is the density-independent per capita birth rate and </w:t>
      </w:r>
      <m:oMath>
        <m:r>
          <w:rPr>
            <w:rFonts w:ascii="Cambria Math" w:eastAsiaTheme="minorEastAsia" w:hAnsi="Cambria Math"/>
          </w:rPr>
          <m:t>d</m:t>
        </m:r>
      </m:oMath>
      <w:r w:rsidRPr="00917311">
        <w:rPr>
          <w:rFonts w:eastAsiaTheme="minorEastAsia"/>
        </w:rPr>
        <w:t xml:space="preserve"> is the density-dependent per capita minimum death rate, with </w:t>
      </w:r>
      <m:oMath>
        <m:r>
          <w:rPr>
            <w:rFonts w:ascii="Cambria Math" w:eastAsiaTheme="minorEastAsia" w:hAnsi="Cambria Math"/>
          </w:rPr>
          <m:t>g</m:t>
        </m:r>
      </m:oMath>
      <w:r w:rsidRPr="00917311">
        <w:rPr>
          <w:rFonts w:eastAsiaTheme="minorEastAsia"/>
        </w:rPr>
        <w:t xml:space="preserve"> governing the strength of density-dependence.</w:t>
      </w:r>
      <w:r w:rsidR="00BE3EC4">
        <w:rPr>
          <w:rFonts w:eastAsiaTheme="minorEastAsia"/>
        </w:rPr>
        <w:t xml:space="preserve"> </w:t>
      </w:r>
      <w:r w:rsidRPr="00917311">
        <w:rPr>
          <w:rFonts w:eastAsiaTheme="minorEastAsia"/>
        </w:rPr>
        <w:t xml:space="preserve">This notation differs slightly from the notation given in Pech and Hone </w:t>
      </w:r>
      <w:r w:rsidRPr="00917311">
        <w:rPr>
          <w:rFonts w:eastAsiaTheme="minorEastAsia"/>
        </w:rPr>
        <w:fldChar w:fldCharType="begin"/>
      </w:r>
      <w:r w:rsidRPr="00917311">
        <w:rPr>
          <w:rFonts w:eastAsiaTheme="minorEastAsia"/>
        </w:rPr>
        <w:instrText xml:space="preserve"> ADDIN ZOTERO_ITEM CSL_CITATION {"citationID":"Z4IsHQhb","properties":{"formattedCitation":"(1988)","plainCitation":"(1988)","noteIndex":0},"citationItems":[{"id":9468,"uris":["http://zotero.org/users/634364/items/DVW63NPB"],"itemData":{"id":9468,"type":"article-journal","container-title":"Journal of Applied Ecology","note":"publisher: JSTOR","page":"63–77","title":"A model of the dynamics and control of an outbreak of foot and mouth disease in feral pigs in Australia","author":[{"family":"Pech","given":"RP"},{"family":"Hone","given":"J"}],"issued":{"date-parts":[["1988"]]}},"label":"page","suppress-author":true}],"schema":"https://github.com/citation-style-language/schema/raw/master/csl-citation.json"} </w:instrText>
      </w:r>
      <w:r w:rsidRPr="00917311">
        <w:rPr>
          <w:rFonts w:eastAsiaTheme="minorEastAsia"/>
        </w:rPr>
        <w:fldChar w:fldCharType="separate"/>
      </w:r>
      <w:r w:rsidR="009F541F" w:rsidRPr="009F541F">
        <w:t>(1988)</w:t>
      </w:r>
      <w:r w:rsidRPr="00917311">
        <w:rPr>
          <w:rFonts w:eastAsiaTheme="minorEastAsia"/>
        </w:rPr>
        <w:fldChar w:fldCharType="end"/>
      </w:r>
      <w:r w:rsidRPr="00917311">
        <w:rPr>
          <w:rFonts w:eastAsiaTheme="minorEastAsia"/>
        </w:rPr>
        <w:t>.</w:t>
      </w:r>
      <w:r w:rsidR="00BE3EC4">
        <w:rPr>
          <w:rFonts w:eastAsiaTheme="minorEastAsia"/>
        </w:rPr>
        <w:t xml:space="preserve"> </w:t>
      </w:r>
      <w:r w:rsidRPr="00917311">
        <w:rPr>
          <w:rFonts w:eastAsiaTheme="minorEastAsia"/>
        </w:rPr>
        <w:t xml:space="preserve">Other parameters are </w:t>
      </w:r>
      <w:r w:rsidR="003540D3">
        <w:rPr>
          <w:rFonts w:eastAsiaTheme="minorEastAsia"/>
        </w:rPr>
        <w:t xml:space="preserve">the transmission rate </w:t>
      </w:r>
      <m:oMath>
        <m:r>
          <w:rPr>
            <w:rFonts w:ascii="Cambria Math" w:eastAsiaTheme="minorEastAsia" w:hAnsi="Cambria Math"/>
          </w:rPr>
          <m:t>β</m:t>
        </m:r>
      </m:oMath>
      <w:r w:rsidR="003540D3">
        <w:rPr>
          <w:rFonts w:eastAsiaTheme="minorEastAsia"/>
        </w:rPr>
        <w:t xml:space="preserve">, </w:t>
      </w:r>
      <w:r w:rsidR="00E60516">
        <w:rPr>
          <w:rFonts w:eastAsiaTheme="minorEastAsia"/>
        </w:rPr>
        <w:t xml:space="preserve">inverse of the latent period </w:t>
      </w:r>
      <m:oMath>
        <m:r>
          <w:rPr>
            <w:rFonts w:ascii="Cambria Math" w:eastAsiaTheme="minorEastAsia" w:hAnsi="Cambria Math"/>
          </w:rPr>
          <m:t>σ</m:t>
        </m:r>
      </m:oMath>
      <w:r w:rsidR="00E60516">
        <w:rPr>
          <w:rFonts w:eastAsiaTheme="minorEastAsia"/>
        </w:rPr>
        <w:t xml:space="preserve">, recovery rate </w:t>
      </w:r>
      <m:oMath>
        <m:r>
          <w:rPr>
            <w:rFonts w:ascii="Cambria Math" w:eastAsiaTheme="minorEastAsia" w:hAnsi="Cambria Math"/>
          </w:rPr>
          <m:t>υ</m:t>
        </m:r>
      </m:oMath>
      <w:r w:rsidR="00E60516">
        <w:rPr>
          <w:rFonts w:eastAsiaTheme="minorEastAsia"/>
        </w:rPr>
        <w:t xml:space="preserve"> and </w:t>
      </w:r>
      <w:r w:rsidR="00474B97">
        <w:rPr>
          <w:rFonts w:eastAsiaTheme="minorEastAsia"/>
        </w:rPr>
        <w:t xml:space="preserve">rate that recovered individuals lose immunity </w:t>
      </w:r>
      <m:oMath>
        <m:r>
          <w:rPr>
            <w:rFonts w:ascii="Cambria Math" w:eastAsiaTheme="minorEastAsia" w:hAnsi="Cambria Math"/>
          </w:rPr>
          <m:t>ω</m:t>
        </m:r>
      </m:oMath>
      <w:r w:rsidR="00474B97">
        <w:rPr>
          <w:rFonts w:eastAsiaTheme="minorEastAsia"/>
        </w:rPr>
        <w:t>.</w:t>
      </w:r>
      <w:r w:rsidR="00BE3EC4">
        <w:rPr>
          <w:rFonts w:eastAsiaTheme="minorEastAsia"/>
        </w:rPr>
        <w:t xml:space="preserve"> </w:t>
      </w:r>
      <w:r w:rsidR="00474B97">
        <w:rPr>
          <w:rFonts w:eastAsiaTheme="minorEastAsia"/>
        </w:rPr>
        <w:t xml:space="preserve">Parameter values are given in Table A1 </w:t>
      </w:r>
      <w:r w:rsidR="006B5E65">
        <w:rPr>
          <w:rFonts w:eastAsiaTheme="minorEastAsia"/>
        </w:rPr>
        <w:t>(</w:t>
      </w:r>
      <w:r w:rsidR="000F5EDF">
        <w:rPr>
          <w:rFonts w:eastAsiaTheme="minorEastAsia"/>
        </w:rPr>
        <w:t>section 6.1)</w:t>
      </w:r>
      <w:r w:rsidR="006B5E65">
        <w:rPr>
          <w:rFonts w:eastAsiaTheme="minorEastAsia"/>
        </w:rPr>
        <w:t>, which also provides</w:t>
      </w:r>
      <w:r w:rsidR="00E67043">
        <w:rPr>
          <w:rFonts w:eastAsiaTheme="minorEastAsia"/>
        </w:rPr>
        <w:t xml:space="preserve"> a sensitivity analysis of the model to the key parameters</w:t>
      </w:r>
      <w:r w:rsidR="00AB5965">
        <w:rPr>
          <w:rFonts w:eastAsiaTheme="minorEastAsia"/>
        </w:rPr>
        <w:t>.</w:t>
      </w:r>
    </w:p>
    <w:p w14:paraId="12FB042F" w14:textId="0C5CE9FA" w:rsidR="00E032C0" w:rsidRDefault="00E032C0" w:rsidP="006033C1">
      <w:pPr>
        <w:rPr>
          <w:rFonts w:eastAsiaTheme="minorEastAsia"/>
        </w:rPr>
      </w:pPr>
      <w:r w:rsidRPr="006033C1">
        <w:rPr>
          <w:rFonts w:eastAsiaTheme="minorEastAsia"/>
        </w:rPr>
        <w:t>We conducted ou</w:t>
      </w:r>
      <w:r w:rsidR="00412A5B" w:rsidRPr="006033C1">
        <w:rPr>
          <w:rFonts w:eastAsiaTheme="minorEastAsia"/>
        </w:rPr>
        <w:t>r</w:t>
      </w:r>
      <w:r w:rsidRPr="006033C1">
        <w:rPr>
          <w:rFonts w:eastAsiaTheme="minorEastAsia"/>
        </w:rPr>
        <w:t xml:space="preserve"> simulations based on a single, hypothetical population of 500 </w:t>
      </w:r>
      <w:r w:rsidR="00E548AE">
        <w:rPr>
          <w:rFonts w:eastAsiaTheme="minorEastAsia"/>
        </w:rPr>
        <w:t>Feral Pig</w:t>
      </w:r>
      <w:r w:rsidRPr="006033C1">
        <w:rPr>
          <w:rFonts w:eastAsiaTheme="minorEastAsia"/>
        </w:rPr>
        <w:t xml:space="preserve">s inhabiting an isolated patch of habitat. The simulated population resembles in size and density the population of </w:t>
      </w:r>
      <w:r w:rsidR="00E548AE">
        <w:rPr>
          <w:rFonts w:eastAsiaTheme="minorEastAsia"/>
        </w:rPr>
        <w:t>Feral Pig</w:t>
      </w:r>
      <w:r w:rsidRPr="006033C1">
        <w:rPr>
          <w:rFonts w:eastAsiaTheme="minorEastAsia"/>
        </w:rPr>
        <w:t xml:space="preserve">s </w:t>
      </w:r>
      <w:r w:rsidR="00313439">
        <w:rPr>
          <w:rFonts w:eastAsiaTheme="minorEastAsia"/>
        </w:rPr>
        <w:t xml:space="preserve">in the area surrounding </w:t>
      </w:r>
      <w:r w:rsidRPr="006033C1">
        <w:rPr>
          <w:rFonts w:eastAsiaTheme="minorEastAsia"/>
        </w:rPr>
        <w:t xml:space="preserve">Budj Bim National Park in </w:t>
      </w:r>
      <w:r w:rsidR="009201E3">
        <w:rPr>
          <w:rFonts w:eastAsiaTheme="minorEastAsia"/>
        </w:rPr>
        <w:t>w</w:t>
      </w:r>
      <w:r w:rsidRPr="006033C1">
        <w:rPr>
          <w:rFonts w:eastAsiaTheme="minorEastAsia"/>
        </w:rPr>
        <w:t>estern Victoria, which was found to consist of 490 pigs (</w:t>
      </w:r>
      <w:r w:rsidR="00E90BEE">
        <w:rPr>
          <w:rFonts w:eastAsiaTheme="minorEastAsia"/>
        </w:rPr>
        <w:t xml:space="preserve">95% </w:t>
      </w:r>
      <w:r w:rsidRPr="006033C1">
        <w:rPr>
          <w:rFonts w:eastAsiaTheme="minorEastAsia"/>
        </w:rPr>
        <w:t>CI: 415</w:t>
      </w:r>
      <w:r w:rsidR="00CE1DC1">
        <w:rPr>
          <w:rFonts w:eastAsiaTheme="minorEastAsia"/>
        </w:rPr>
        <w:t>–</w:t>
      </w:r>
      <w:r w:rsidRPr="006033C1">
        <w:rPr>
          <w:rFonts w:eastAsiaTheme="minorEastAsia"/>
        </w:rPr>
        <w:t>571) at a density of 5.4 pigs per km</w:t>
      </w:r>
      <w:r w:rsidRPr="006033C1">
        <w:rPr>
          <w:rFonts w:eastAsiaTheme="minorEastAsia"/>
          <w:vertAlign w:val="superscript"/>
        </w:rPr>
        <w:t>2</w:t>
      </w:r>
      <w:r w:rsidRPr="006033C1">
        <w:rPr>
          <w:rFonts w:eastAsiaTheme="minorEastAsia"/>
        </w:rPr>
        <w:t xml:space="preserve"> </w:t>
      </w:r>
      <w:r w:rsidRPr="006033C1">
        <w:rPr>
          <w:rFonts w:eastAsiaTheme="minorEastAsia"/>
        </w:rPr>
        <w:fldChar w:fldCharType="begin"/>
      </w:r>
      <w:r w:rsidR="009F541F">
        <w:rPr>
          <w:rFonts w:eastAsiaTheme="minorEastAsia"/>
        </w:rPr>
        <w:instrText xml:space="preserve"> ADDIN ZOTERO_ITEM CSL_CITATION {"citationID":"iW9qmOS7","properties":{"formattedCitation":"(Woodford {\\i{}et al.} 2023)","plainCitation":"(Woodford et al. 2023)","noteIndex":0},"citationItems":[{"id":5200,"uris":["http://zotero.org/users/634364/items/SXJ9PIXI"],"itemData":{"id":5200,"type":"report","event-place":"Arthur Rylah Institute for Environmental Research Technical Report Series No. 350. Department of Environment, Land, Water and Planning, Heidelberg, Victoria","publisher":"Arthur Rylah Institute for Environmental Research Technical Report Series No. 350.","publisher-place":"Arthur Rylah Institute for Environmental Research Technical Report Series No. 350. Department of Environment, Land, Water and Planning, Heidelberg, Victoria","title":"Assessing feral pig and deer abundance on Indigenous Protected Areas adjoining Budj Bim National Park","author":[{"family":"Woodford","given":"L.P."},{"family":"Ramsey","given":"D.S.L."},{"family":"Robley","given":"A."}],"issued":{"date-parts":[["2023"]]}}}],"schema":"https://github.com/citation-style-language/schema/raw/master/csl-citation.json"} </w:instrText>
      </w:r>
      <w:r w:rsidRPr="006033C1">
        <w:rPr>
          <w:rFonts w:eastAsiaTheme="minorEastAsia"/>
        </w:rPr>
        <w:fldChar w:fldCharType="separate"/>
      </w:r>
      <w:r w:rsidR="009F541F" w:rsidRPr="009F541F">
        <w:t xml:space="preserve">(Woodford </w:t>
      </w:r>
      <w:r w:rsidR="009F541F" w:rsidRPr="00DA5824">
        <w:t>et al.</w:t>
      </w:r>
      <w:r w:rsidR="009F541F" w:rsidRPr="00CE1DC1">
        <w:t xml:space="preserve"> </w:t>
      </w:r>
      <w:r w:rsidR="009F541F" w:rsidRPr="009F541F">
        <w:t>2023)</w:t>
      </w:r>
      <w:r w:rsidRPr="006033C1">
        <w:rPr>
          <w:rFonts w:eastAsiaTheme="minorEastAsia"/>
        </w:rPr>
        <w:fldChar w:fldCharType="end"/>
      </w:r>
      <w:r w:rsidRPr="006033C1">
        <w:rPr>
          <w:rFonts w:eastAsiaTheme="minorEastAsia"/>
        </w:rPr>
        <w:t>.</w:t>
      </w:r>
      <w:r w:rsidR="00BE3EC4">
        <w:rPr>
          <w:rFonts w:eastAsiaTheme="minorEastAsia"/>
        </w:rPr>
        <w:t xml:space="preserve"> </w:t>
      </w:r>
      <w:r w:rsidRPr="006033C1">
        <w:rPr>
          <w:rFonts w:eastAsiaTheme="minorEastAsia"/>
        </w:rPr>
        <w:t xml:space="preserve">We proceeded on the basis that this was a </w:t>
      </w:r>
      <w:r w:rsidR="00CE1DC1">
        <w:rPr>
          <w:rFonts w:eastAsiaTheme="minorEastAsia"/>
        </w:rPr>
        <w:t>‘</w:t>
      </w:r>
      <w:r w:rsidRPr="006033C1">
        <w:rPr>
          <w:rFonts w:eastAsiaTheme="minorEastAsia"/>
        </w:rPr>
        <w:t>typical</w:t>
      </w:r>
      <w:r w:rsidR="00CE1DC1">
        <w:rPr>
          <w:rFonts w:eastAsiaTheme="minorEastAsia"/>
        </w:rPr>
        <w:t>’</w:t>
      </w:r>
      <w:r w:rsidRPr="006033C1">
        <w:rPr>
          <w:rFonts w:eastAsiaTheme="minorEastAsia"/>
        </w:rPr>
        <w:t xml:space="preserve"> population of </w:t>
      </w:r>
      <w:r w:rsidR="00E548AE">
        <w:rPr>
          <w:rFonts w:eastAsiaTheme="minorEastAsia"/>
        </w:rPr>
        <w:t>Feral Pig</w:t>
      </w:r>
      <w:r w:rsidRPr="006033C1">
        <w:rPr>
          <w:rFonts w:eastAsiaTheme="minorEastAsia"/>
        </w:rPr>
        <w:t>s for such habitat in Victoria. The model could</w:t>
      </w:r>
      <w:r w:rsidR="00CE1DC1">
        <w:rPr>
          <w:rFonts w:eastAsiaTheme="minorEastAsia"/>
        </w:rPr>
        <w:t>,</w:t>
      </w:r>
      <w:r w:rsidRPr="006033C1">
        <w:rPr>
          <w:rFonts w:eastAsiaTheme="minorEastAsia"/>
        </w:rPr>
        <w:t xml:space="preserve"> however, easily be adapted to a </w:t>
      </w:r>
      <w:r w:rsidR="00E548AE">
        <w:rPr>
          <w:rFonts w:eastAsiaTheme="minorEastAsia"/>
        </w:rPr>
        <w:t>Feral Pig</w:t>
      </w:r>
      <w:r w:rsidRPr="006033C1">
        <w:rPr>
          <w:rFonts w:eastAsiaTheme="minorEastAsia"/>
        </w:rPr>
        <w:t xml:space="preserve"> population of any size or density.</w:t>
      </w:r>
    </w:p>
    <w:p w14:paraId="577707AF" w14:textId="77777777" w:rsidR="00EC6029" w:rsidRPr="00104906" w:rsidRDefault="00EC6029" w:rsidP="008C6392">
      <w:pPr>
        <w:pStyle w:val="Heading4"/>
        <w:rPr>
          <w:rFonts w:eastAsiaTheme="minorEastAsia"/>
        </w:rPr>
      </w:pPr>
      <w:r>
        <w:rPr>
          <w:rFonts w:eastAsiaTheme="minorEastAsia"/>
        </w:rPr>
        <w:t>Analysis of mitigation strategies</w:t>
      </w:r>
    </w:p>
    <w:p w14:paraId="0C6EA5C2" w14:textId="002034C1" w:rsidR="00EC6029" w:rsidRDefault="00EC6029" w:rsidP="00EC6029">
      <w:pPr>
        <w:rPr>
          <w:rFonts w:eastAsiaTheme="minorEastAsia"/>
        </w:rPr>
      </w:pPr>
      <w:r>
        <w:rPr>
          <w:rFonts w:eastAsiaTheme="minorEastAsia"/>
        </w:rPr>
        <w:t xml:space="preserve">Assessment of some simple disease mitigation scenarios under likely and high-risk parameter combinations were explored by examining how the outcome of the simulation changed when a single population cull was conducted to remove a fixed proportion of the total population at varying times after the introduction of </w:t>
      </w:r>
      <w:r w:rsidR="00E606AB">
        <w:rPr>
          <w:rFonts w:eastAsiaTheme="minorEastAsia"/>
        </w:rPr>
        <w:t>FMD</w:t>
      </w:r>
      <w:r>
        <w:rPr>
          <w:rFonts w:eastAsiaTheme="minorEastAsia"/>
        </w:rPr>
        <w:t xml:space="preserve">. </w:t>
      </w:r>
      <w:r>
        <w:rPr>
          <w:rFonts w:eastAsiaTheme="minorEastAsia"/>
        </w:rPr>
        <w:lastRenderedPageBreak/>
        <w:t xml:space="preserve">For </w:t>
      </w:r>
      <w:r w:rsidR="00C91802">
        <w:rPr>
          <w:rFonts w:eastAsiaTheme="minorEastAsia"/>
        </w:rPr>
        <w:t xml:space="preserve">these </w:t>
      </w:r>
      <w:r>
        <w:rPr>
          <w:rFonts w:eastAsiaTheme="minorEastAsia"/>
        </w:rPr>
        <w:t>scenarios, culling intensities of 20, 40, 60 or 80% of the population were simulated with the culls conducted at 7, 28 and 64 days</w:t>
      </w:r>
      <w:r w:rsidR="00A00DD8">
        <w:rPr>
          <w:rFonts w:eastAsiaTheme="minorEastAsia"/>
        </w:rPr>
        <w:t xml:space="preserve"> post</w:t>
      </w:r>
      <w:r w:rsidR="00C165DB">
        <w:rPr>
          <w:rFonts w:eastAsiaTheme="minorEastAsia"/>
        </w:rPr>
        <w:t>-</w:t>
      </w:r>
      <w:r w:rsidR="00A00DD8">
        <w:rPr>
          <w:rFonts w:eastAsiaTheme="minorEastAsia"/>
        </w:rPr>
        <w:t>FMD introduction</w:t>
      </w:r>
      <w:r>
        <w:rPr>
          <w:rFonts w:eastAsiaTheme="minorEastAsia"/>
        </w:rPr>
        <w:t xml:space="preserve">. </w:t>
      </w:r>
    </w:p>
    <w:p w14:paraId="0BD9CD82" w14:textId="579B58F9" w:rsidR="00EC6029" w:rsidRDefault="00EC6029" w:rsidP="00EC6029">
      <w:pPr>
        <w:rPr>
          <w:rFonts w:eastAsiaTheme="minorEastAsia"/>
        </w:rPr>
      </w:pPr>
      <w:r>
        <w:rPr>
          <w:rFonts w:eastAsiaTheme="minorEastAsia"/>
        </w:rPr>
        <w:t>These scenarios (under the most likely parameter values) were compared to a smaller set of worst-case scenarios with a value of the transmission parameter β at the upper bound (</w:t>
      </w:r>
      <w:r w:rsidR="00E74B90">
        <w:rPr>
          <w:rFonts w:eastAsiaTheme="minorEastAsia"/>
        </w:rPr>
        <w:t>Section 6.1</w:t>
      </w:r>
      <w:r>
        <w:rPr>
          <w:rFonts w:eastAsiaTheme="minorEastAsia"/>
        </w:rPr>
        <w:t xml:space="preserve">), but with the culls always conducted on day 28. The purpose of this set of simulations was to explore the extent to which the effectiveness of the culling intervention is reduced under circumstances where transmission of the pathogen occurs at a </w:t>
      </w:r>
      <w:r w:rsidR="00A01198">
        <w:rPr>
          <w:rFonts w:eastAsiaTheme="minorEastAsia"/>
        </w:rPr>
        <w:t>higher-than-expected</w:t>
      </w:r>
      <w:r>
        <w:rPr>
          <w:rFonts w:eastAsiaTheme="minorEastAsia"/>
        </w:rPr>
        <w:t xml:space="preserve"> rate. </w:t>
      </w:r>
    </w:p>
    <w:p w14:paraId="1860E18A" w14:textId="6E94786C" w:rsidR="00E026DB" w:rsidRDefault="00EC6029" w:rsidP="00EC6029">
      <w:pPr>
        <w:rPr>
          <w:rFonts w:eastAsiaTheme="minorEastAsia"/>
        </w:rPr>
      </w:pPr>
      <w:r>
        <w:rPr>
          <w:rFonts w:eastAsiaTheme="minorEastAsia"/>
        </w:rPr>
        <w:t>The set of scenarios explored reflects culling rates that are likely to be achievable using control methods such as poison baits, aerial shooting or ground shooting, with all categories of pigs (susceptible, exposed, infectious and recovered) being equally at risk from the culling operation.</w:t>
      </w:r>
      <w:r w:rsidR="00BE3EC4">
        <w:rPr>
          <w:rFonts w:eastAsiaTheme="minorEastAsia"/>
        </w:rPr>
        <w:t xml:space="preserve"> </w:t>
      </w:r>
      <w:r>
        <w:rPr>
          <w:rFonts w:eastAsiaTheme="minorEastAsia"/>
        </w:rPr>
        <w:t>The selected timing of the simulated culling operations (7, 28 or 64 days) represents an essentially proactive approach to management</w:t>
      </w:r>
      <w:r w:rsidR="00C165DB">
        <w:rPr>
          <w:rFonts w:eastAsiaTheme="minorEastAsia"/>
        </w:rPr>
        <w:t>, because</w:t>
      </w:r>
      <w:r>
        <w:rPr>
          <w:rFonts w:eastAsiaTheme="minorEastAsia"/>
        </w:rPr>
        <w:t xml:space="preserve"> it is considered unlikely that suitable surveillance data (e.g. blood samples from live or dead pigs sampled from the population) could be collected and analysed quickly enough to respond to a rapidly growing</w:t>
      </w:r>
      <w:r w:rsidR="00BD59AD">
        <w:rPr>
          <w:rFonts w:eastAsiaTheme="minorEastAsia"/>
        </w:rPr>
        <w:t xml:space="preserve"> FMD</w:t>
      </w:r>
      <w:r>
        <w:rPr>
          <w:rFonts w:eastAsiaTheme="minorEastAsia"/>
        </w:rPr>
        <w:t xml:space="preserve"> outbreak with a reactive cull.</w:t>
      </w:r>
    </w:p>
    <w:p w14:paraId="0CF937A5" w14:textId="50DCBCCC" w:rsidR="00E71A36" w:rsidRDefault="00E71A36" w:rsidP="00A0449E">
      <w:pPr>
        <w:pStyle w:val="Heading4"/>
        <w:rPr>
          <w:rFonts w:eastAsiaTheme="minorEastAsia"/>
        </w:rPr>
      </w:pPr>
      <w:r>
        <w:rPr>
          <w:rFonts w:eastAsiaTheme="minorEastAsia"/>
        </w:rPr>
        <w:t xml:space="preserve">Simulated FMD outbreak in </w:t>
      </w:r>
      <w:r w:rsidR="00E548AE">
        <w:rPr>
          <w:rFonts w:eastAsiaTheme="minorEastAsia"/>
        </w:rPr>
        <w:t>Feral Pig</w:t>
      </w:r>
      <w:r>
        <w:rPr>
          <w:rFonts w:eastAsiaTheme="minorEastAsia"/>
        </w:rPr>
        <w:t>s</w:t>
      </w:r>
    </w:p>
    <w:p w14:paraId="725153B3" w14:textId="6D8DEC31" w:rsidR="00E71A36" w:rsidRDefault="00FE5024" w:rsidP="00EC6029">
      <w:pPr>
        <w:rPr>
          <w:rFonts w:eastAsiaTheme="minorEastAsia"/>
        </w:rPr>
      </w:pPr>
      <w:r>
        <w:rPr>
          <w:rFonts w:eastAsiaTheme="minorEastAsia"/>
        </w:rPr>
        <w:t xml:space="preserve">For the deterministic model, the progress of an FMD outbreak in </w:t>
      </w:r>
      <w:r w:rsidR="00E548AE">
        <w:rPr>
          <w:rFonts w:eastAsiaTheme="minorEastAsia"/>
        </w:rPr>
        <w:t>Feral Pig</w:t>
      </w:r>
      <w:r>
        <w:rPr>
          <w:rFonts w:eastAsiaTheme="minorEastAsia"/>
        </w:rPr>
        <w:t xml:space="preserve">s was characterised by a rapid increase in prevalence, </w:t>
      </w:r>
      <w:r w:rsidR="000F74BC">
        <w:rPr>
          <w:rFonts w:eastAsiaTheme="minorEastAsia"/>
        </w:rPr>
        <w:t xml:space="preserve">with the proportion of exposed and infectious pigs </w:t>
      </w:r>
      <w:r>
        <w:rPr>
          <w:rFonts w:eastAsiaTheme="minorEastAsia"/>
        </w:rPr>
        <w:t xml:space="preserve">reaching 19% approximately </w:t>
      </w:r>
      <w:r w:rsidR="00AE35A2">
        <w:rPr>
          <w:rFonts w:eastAsiaTheme="minorEastAsia"/>
        </w:rPr>
        <w:t>38</w:t>
      </w:r>
      <w:r w:rsidR="00C165DB">
        <w:rPr>
          <w:rFonts w:eastAsiaTheme="minorEastAsia"/>
        </w:rPr>
        <w:t> </w:t>
      </w:r>
      <w:r w:rsidR="00AE35A2">
        <w:rPr>
          <w:rFonts w:eastAsiaTheme="minorEastAsia"/>
        </w:rPr>
        <w:t>days</w:t>
      </w:r>
      <w:r>
        <w:rPr>
          <w:rFonts w:eastAsiaTheme="minorEastAsia"/>
        </w:rPr>
        <w:t xml:space="preserve"> from the start of the outbreak (Figure 5</w:t>
      </w:r>
      <w:r w:rsidR="004B5319">
        <w:rPr>
          <w:rFonts w:eastAsiaTheme="minorEastAsia"/>
        </w:rPr>
        <w:t>a,</w:t>
      </w:r>
      <w:r w:rsidR="008644EB">
        <w:rPr>
          <w:rFonts w:eastAsiaTheme="minorEastAsia"/>
        </w:rPr>
        <w:t xml:space="preserve"> </w:t>
      </w:r>
      <w:r w:rsidR="004B5319">
        <w:rPr>
          <w:rFonts w:eastAsiaTheme="minorEastAsia"/>
        </w:rPr>
        <w:t>b</w:t>
      </w:r>
      <w:r>
        <w:rPr>
          <w:rFonts w:eastAsiaTheme="minorEastAsia"/>
        </w:rPr>
        <w:t>)</w:t>
      </w:r>
      <w:r w:rsidR="00431AF7">
        <w:rPr>
          <w:rFonts w:eastAsiaTheme="minorEastAsia"/>
        </w:rPr>
        <w:t xml:space="preserve">. </w:t>
      </w:r>
      <w:r w:rsidR="000F74BC">
        <w:rPr>
          <w:rFonts w:eastAsiaTheme="minorEastAsia"/>
        </w:rPr>
        <w:t>Following the initial peak prevalence, the proportion of exposed and infectious pigs declined to an equilibrium of around 2%, with the proportion of recovered individuals peaking at 60% before steadily declining</w:t>
      </w:r>
      <w:r w:rsidR="00431AF7">
        <w:rPr>
          <w:rFonts w:eastAsiaTheme="minorEastAsia"/>
        </w:rPr>
        <w:t xml:space="preserve">. </w:t>
      </w:r>
      <w:r w:rsidR="000F74BC">
        <w:rPr>
          <w:rFonts w:eastAsiaTheme="minorEastAsia"/>
        </w:rPr>
        <w:t>Total population size declined by around 25% over the course of the 5</w:t>
      </w:r>
      <w:r w:rsidR="008F3262">
        <w:rPr>
          <w:rFonts w:eastAsiaTheme="minorEastAsia"/>
        </w:rPr>
        <w:t>-</w:t>
      </w:r>
      <w:r w:rsidR="000F74BC">
        <w:rPr>
          <w:rFonts w:eastAsiaTheme="minorEastAsia"/>
        </w:rPr>
        <w:t>year</w:t>
      </w:r>
      <w:r w:rsidR="00AE35A2">
        <w:rPr>
          <w:rFonts w:eastAsiaTheme="minorEastAsia"/>
        </w:rPr>
        <w:t xml:space="preserve"> outbreak</w:t>
      </w:r>
      <w:r w:rsidR="000F74BC">
        <w:rPr>
          <w:rFonts w:eastAsiaTheme="minorEastAsia"/>
        </w:rPr>
        <w:t xml:space="preserve"> (Figure 5</w:t>
      </w:r>
      <w:r w:rsidR="004B5319">
        <w:rPr>
          <w:rFonts w:eastAsiaTheme="minorEastAsia"/>
        </w:rPr>
        <w:t>a,</w:t>
      </w:r>
      <w:r w:rsidR="008644EB">
        <w:rPr>
          <w:rFonts w:eastAsiaTheme="minorEastAsia"/>
        </w:rPr>
        <w:t xml:space="preserve"> </w:t>
      </w:r>
      <w:r w:rsidR="004B5319">
        <w:rPr>
          <w:rFonts w:eastAsiaTheme="minorEastAsia"/>
        </w:rPr>
        <w:t>b</w:t>
      </w:r>
      <w:r w:rsidR="000F74BC">
        <w:rPr>
          <w:rFonts w:eastAsiaTheme="minorEastAsia"/>
        </w:rPr>
        <w:t>)</w:t>
      </w:r>
      <w:r w:rsidR="00431AF7">
        <w:rPr>
          <w:rFonts w:eastAsiaTheme="minorEastAsia"/>
        </w:rPr>
        <w:t xml:space="preserve">. </w:t>
      </w:r>
      <w:r w:rsidR="000F74BC">
        <w:rPr>
          <w:rFonts w:eastAsiaTheme="minorEastAsia"/>
        </w:rPr>
        <w:t xml:space="preserve">These results are </w:t>
      </w:r>
      <w:proofErr w:type="gramStart"/>
      <w:r w:rsidR="000F74BC">
        <w:rPr>
          <w:rFonts w:eastAsiaTheme="minorEastAsia"/>
        </w:rPr>
        <w:t>similar to</w:t>
      </w:r>
      <w:proofErr w:type="gramEnd"/>
      <w:r w:rsidR="000F74BC">
        <w:rPr>
          <w:rFonts w:eastAsiaTheme="minorEastAsia"/>
        </w:rPr>
        <w:t xml:space="preserve"> that reported in Pech and Hone (1998)</w:t>
      </w:r>
      <w:r w:rsidR="00337556">
        <w:rPr>
          <w:rFonts w:eastAsiaTheme="minorEastAsia"/>
        </w:rPr>
        <w:t>.</w:t>
      </w:r>
    </w:p>
    <w:p w14:paraId="2D7455CE" w14:textId="77777777" w:rsidR="00337556" w:rsidRDefault="00337556" w:rsidP="00EC6029">
      <w:pPr>
        <w:rPr>
          <w:rFonts w:eastAsiaTheme="minorEastAsia"/>
        </w:rPr>
      </w:pPr>
    </w:p>
    <w:p w14:paraId="62A7B139" w14:textId="66C1B71B" w:rsidR="000F74BC" w:rsidRDefault="0084358A" w:rsidP="00A0449E">
      <w:pPr>
        <w:jc w:val="center"/>
        <w:rPr>
          <w:rFonts w:eastAsiaTheme="minorEastAsia"/>
        </w:rPr>
      </w:pPr>
      <w:r>
        <w:rPr>
          <w:rFonts w:eastAsiaTheme="minorEastAsia"/>
          <w:noProof/>
        </w:rPr>
        <w:drawing>
          <wp:inline distT="0" distB="0" distL="0" distR="0" wp14:anchorId="309A690A" wp14:editId="18A47999">
            <wp:extent cx="6120765" cy="4066540"/>
            <wp:effectExtent l="0" t="0" r="0" b="0"/>
            <wp:docPr id="1329610713" name="Picture 11" descr="A graph showing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610713" name="Picture 11" descr="A graph showing different colored lines&#10;&#10;AI-generated content may be incorrect."/>
                    <pic:cNvPicPr/>
                  </pic:nvPicPr>
                  <pic:blipFill>
                    <a:blip r:embed="rId45" cstate="screen">
                      <a:extLst>
                        <a:ext uri="{28A0092B-C50C-407E-A947-70E740481C1C}">
                          <a14:useLocalDpi xmlns:a14="http://schemas.microsoft.com/office/drawing/2010/main" val="0"/>
                        </a:ext>
                      </a:extLst>
                    </a:blip>
                    <a:stretch>
                      <a:fillRect/>
                    </a:stretch>
                  </pic:blipFill>
                  <pic:spPr>
                    <a:xfrm>
                      <a:off x="0" y="0"/>
                      <a:ext cx="6120765" cy="4066540"/>
                    </a:xfrm>
                    <a:prstGeom prst="rect">
                      <a:avLst/>
                    </a:prstGeom>
                  </pic:spPr>
                </pic:pic>
              </a:graphicData>
            </a:graphic>
          </wp:inline>
        </w:drawing>
      </w:r>
    </w:p>
    <w:p w14:paraId="227F1E10" w14:textId="65CB7482" w:rsidR="0084358A" w:rsidRDefault="000F74BC" w:rsidP="0084358A">
      <w:pPr>
        <w:pStyle w:val="Caption-Figure"/>
      </w:pPr>
      <w:bookmarkStart w:id="84" w:name="_Toc198634155"/>
      <w:r>
        <w:t>Figure 5</w:t>
      </w:r>
      <w:r w:rsidR="004B5319">
        <w:t>a</w:t>
      </w:r>
      <w:r w:rsidR="00431AF7">
        <w:t xml:space="preserve">. </w:t>
      </w:r>
      <w:r>
        <w:t xml:space="preserve">The progression of an outbreak of FMD in </w:t>
      </w:r>
      <w:r w:rsidR="00E548AE">
        <w:t>Feral Pig</w:t>
      </w:r>
      <w:r>
        <w:t>s</w:t>
      </w:r>
      <w:r w:rsidR="00337556">
        <w:t xml:space="preserve"> over a 5</w:t>
      </w:r>
      <w:r w:rsidR="00375CB9">
        <w:t>-</w:t>
      </w:r>
      <w:r w:rsidR="00337556">
        <w:t>year period from the deterministic model</w:t>
      </w:r>
      <w:r w:rsidR="00431AF7">
        <w:t xml:space="preserve">. </w:t>
      </w:r>
      <w:r w:rsidR="00337556">
        <w:t xml:space="preserve">Parameter estimates are given in </w:t>
      </w:r>
      <w:r w:rsidR="00C165DB">
        <w:t>S</w:t>
      </w:r>
      <w:r w:rsidR="00337556">
        <w:t>ection 6.1</w:t>
      </w:r>
      <w:r w:rsidR="00431AF7">
        <w:t xml:space="preserve">. </w:t>
      </w:r>
      <w:r w:rsidR="00337556">
        <w:t xml:space="preserve">N – total </w:t>
      </w:r>
      <w:r w:rsidR="0084358A">
        <w:t xml:space="preserve">relative </w:t>
      </w:r>
      <w:r w:rsidR="00337556">
        <w:t>population</w:t>
      </w:r>
      <w:r w:rsidR="0084358A">
        <w:t xml:space="preserve"> size</w:t>
      </w:r>
      <w:r w:rsidR="00C165DB">
        <w:t>.</w:t>
      </w:r>
      <w:r w:rsidR="00337556">
        <w:t xml:space="preserve"> S</w:t>
      </w:r>
      <w:r w:rsidR="00C165DB">
        <w:t xml:space="preserve"> </w:t>
      </w:r>
      <w:r w:rsidR="00337556">
        <w:t xml:space="preserve">– </w:t>
      </w:r>
      <w:proofErr w:type="gramStart"/>
      <w:r w:rsidR="00337556">
        <w:t xml:space="preserve">susceptible,  </w:t>
      </w:r>
      <w:r w:rsidR="00C165DB">
        <w:t>I</w:t>
      </w:r>
      <w:proofErr w:type="gramEnd"/>
      <w:r w:rsidR="00C165DB">
        <w:t xml:space="preserve"> – </w:t>
      </w:r>
      <w:r w:rsidR="00337556">
        <w:t xml:space="preserve">exposed </w:t>
      </w:r>
      <w:r w:rsidR="004B5319">
        <w:t>+</w:t>
      </w:r>
      <w:r w:rsidR="00337556">
        <w:t xml:space="preserve"> infected</w:t>
      </w:r>
      <w:r w:rsidR="00C165DB">
        <w:t>,</w:t>
      </w:r>
      <w:r w:rsidR="00681CE2">
        <w:t xml:space="preserve"> and </w:t>
      </w:r>
      <w:r w:rsidR="00C165DB">
        <w:t xml:space="preserve">R – </w:t>
      </w:r>
      <w:r w:rsidR="00337556">
        <w:t>recovered</w:t>
      </w:r>
      <w:r w:rsidR="00C165DB">
        <w:t xml:space="preserve"> (prevalence).</w:t>
      </w:r>
      <w:bookmarkEnd w:id="84"/>
    </w:p>
    <w:p w14:paraId="460D9CE8" w14:textId="77777777" w:rsidR="00337556" w:rsidRDefault="00337556" w:rsidP="00337556">
      <w:pPr>
        <w:rPr>
          <w:rFonts w:eastAsiaTheme="minorEastAsia"/>
        </w:rPr>
      </w:pPr>
    </w:p>
    <w:p w14:paraId="5E69ABAD" w14:textId="32FF643B" w:rsidR="00337556" w:rsidRDefault="0084358A" w:rsidP="00337556">
      <w:pPr>
        <w:rPr>
          <w:rFonts w:eastAsiaTheme="minorEastAsia"/>
        </w:rPr>
      </w:pPr>
      <w:r>
        <w:rPr>
          <w:rFonts w:eastAsiaTheme="minorEastAsia"/>
          <w:noProof/>
        </w:rPr>
        <w:lastRenderedPageBreak/>
        <w:drawing>
          <wp:inline distT="0" distB="0" distL="0" distR="0" wp14:anchorId="0AB50D4B" wp14:editId="6840CA79">
            <wp:extent cx="6120765" cy="4066540"/>
            <wp:effectExtent l="0" t="0" r="0" b="0"/>
            <wp:docPr id="1713637142" name="Picture 12" descr="A graph of a graph showing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37142" name="Picture 12" descr="A graph of a graph showing different colored lines&#10;&#10;AI-generated content may be incorrect."/>
                    <pic:cNvPicPr/>
                  </pic:nvPicPr>
                  <pic:blipFill>
                    <a:blip r:embed="rId46" cstate="screen">
                      <a:extLst>
                        <a:ext uri="{28A0092B-C50C-407E-A947-70E740481C1C}">
                          <a14:useLocalDpi xmlns:a14="http://schemas.microsoft.com/office/drawing/2010/main" val="0"/>
                        </a:ext>
                      </a:extLst>
                    </a:blip>
                    <a:stretch>
                      <a:fillRect/>
                    </a:stretch>
                  </pic:blipFill>
                  <pic:spPr>
                    <a:xfrm>
                      <a:off x="0" y="0"/>
                      <a:ext cx="6120765" cy="4066540"/>
                    </a:xfrm>
                    <a:prstGeom prst="rect">
                      <a:avLst/>
                    </a:prstGeom>
                  </pic:spPr>
                </pic:pic>
              </a:graphicData>
            </a:graphic>
          </wp:inline>
        </w:drawing>
      </w:r>
    </w:p>
    <w:p w14:paraId="74DE2A03" w14:textId="5F732ACD" w:rsidR="004B5319" w:rsidRDefault="004B5319" w:rsidP="004B5319">
      <w:pPr>
        <w:pStyle w:val="Caption-Figure"/>
      </w:pPr>
      <w:bookmarkStart w:id="85" w:name="_Toc198634156"/>
      <w:r>
        <w:t xml:space="preserve">Figure 5b. </w:t>
      </w:r>
      <w:r w:rsidR="002818D7">
        <w:t xml:space="preserve">Predicted uncertainty in total (relative) population size and </w:t>
      </w:r>
      <w:r>
        <w:t xml:space="preserve">disease states </w:t>
      </w:r>
      <w:r w:rsidR="00CE0D3C">
        <w:t>for simulated o</w:t>
      </w:r>
      <w:r>
        <w:t>utbreak</w:t>
      </w:r>
      <w:r w:rsidR="00CE0D3C">
        <w:t>s</w:t>
      </w:r>
      <w:r>
        <w:t xml:space="preserve"> of FMD in a population of </w:t>
      </w:r>
      <w:r w:rsidR="00E548AE">
        <w:t>Feral Pig</w:t>
      </w:r>
      <w:r>
        <w:t xml:space="preserve">s </w:t>
      </w:r>
      <w:r w:rsidR="00CE0D3C">
        <w:t xml:space="preserve">from </w:t>
      </w:r>
      <w:r>
        <w:t>the stochastic individual-based model.</w:t>
      </w:r>
      <w:r w:rsidR="002818D7">
        <w:t xml:space="preserve"> Trajectories were generated by varying key parameters by </w:t>
      </w:r>
      <m:oMath>
        <m:r>
          <m:rPr>
            <m:sty m:val="bi"/>
          </m:rPr>
          <w:rPr>
            <w:rFonts w:ascii="Cambria Math" w:hAnsi="Cambria Math"/>
          </w:rPr>
          <m:t>±</m:t>
        </m:r>
      </m:oMath>
      <w:r w:rsidR="002818D7">
        <w:t xml:space="preserve"> 30% and simulating 250 sets of random parameter values using Latin hypercube sampling, Solid black line – mean, dashed black lines – 90% confidence intervals.</w:t>
      </w:r>
      <w:r>
        <w:t xml:space="preserve"> N – total </w:t>
      </w:r>
      <w:r w:rsidR="0084358A">
        <w:t xml:space="preserve">relative </w:t>
      </w:r>
      <w:r>
        <w:t>population</w:t>
      </w:r>
      <w:r w:rsidR="0084358A">
        <w:t xml:space="preserve"> size</w:t>
      </w:r>
      <w:r>
        <w:t>, S – susceptible, I – exposed + infected</w:t>
      </w:r>
      <w:r w:rsidR="0084358A">
        <w:t xml:space="preserve"> (prevalence)</w:t>
      </w:r>
      <w:r w:rsidR="00431AF7">
        <w:t>.</w:t>
      </w:r>
      <w:bookmarkEnd w:id="85"/>
      <w:r w:rsidR="00431AF7">
        <w:t xml:space="preserve"> </w:t>
      </w:r>
    </w:p>
    <w:p w14:paraId="7911929F" w14:textId="09FEA70F" w:rsidR="004B5319" w:rsidRPr="00337556" w:rsidRDefault="004B5319" w:rsidP="004B5319">
      <w:pPr>
        <w:pStyle w:val="Caption-Figure"/>
      </w:pPr>
    </w:p>
    <w:p w14:paraId="37D93880" w14:textId="52003F12" w:rsidR="00AA5668" w:rsidRPr="00980B2F" w:rsidRDefault="00111762" w:rsidP="00960A0F">
      <w:pPr>
        <w:pStyle w:val="Heading4"/>
        <w:rPr>
          <w:rFonts w:eastAsiaTheme="minorEastAsia"/>
        </w:rPr>
      </w:pPr>
      <w:r>
        <w:rPr>
          <w:rFonts w:eastAsiaTheme="minorEastAsia"/>
        </w:rPr>
        <w:t>Effects of intensity and timing of culling</w:t>
      </w:r>
    </w:p>
    <w:p w14:paraId="37029914" w14:textId="08EE9D1F" w:rsidR="00AA5668" w:rsidRDefault="003A092A" w:rsidP="00AA5668">
      <w:r>
        <w:t xml:space="preserve">Using the stochastic </w:t>
      </w:r>
      <w:r w:rsidR="00E74B90">
        <w:t xml:space="preserve">IBM </w:t>
      </w:r>
      <w:r>
        <w:t>version of the FMD model, s</w:t>
      </w:r>
      <w:r w:rsidR="00AA5668">
        <w:t xml:space="preserve">imulations assessed the effectiveness of one-off culls of varying timing and intensity on the persistence of the disease under </w:t>
      </w:r>
      <w:r w:rsidR="009201E3">
        <w:t>l</w:t>
      </w:r>
      <w:r w:rsidR="00AA5668">
        <w:t>ikely and</w:t>
      </w:r>
      <w:r w:rsidR="00765A27">
        <w:t xml:space="preserve"> </w:t>
      </w:r>
      <w:r w:rsidR="009201E3">
        <w:t>h</w:t>
      </w:r>
      <w:r w:rsidR="00AA5668">
        <w:t xml:space="preserve">igh (i.e. worst case) values for the transmission parameter. Under the </w:t>
      </w:r>
      <w:r w:rsidR="009201E3">
        <w:t>l</w:t>
      </w:r>
      <w:r w:rsidR="00AA5668">
        <w:t xml:space="preserve">ikely parameter values, </w:t>
      </w:r>
      <w:r w:rsidR="00884BCA">
        <w:t xml:space="preserve">and </w:t>
      </w:r>
      <w:r w:rsidR="00967ADF">
        <w:t>n</w:t>
      </w:r>
      <w:r w:rsidR="00884BCA">
        <w:t xml:space="preserve">o (0%) culling of </w:t>
      </w:r>
      <w:r w:rsidR="00E548AE">
        <w:t>Feral Pig</w:t>
      </w:r>
      <w:r w:rsidR="00884BCA">
        <w:t xml:space="preserve">s, the FMD outbreak lasted for an average of 47 weeks with </w:t>
      </w:r>
      <w:r w:rsidR="00967ADF">
        <w:t>h</w:t>
      </w:r>
      <w:r w:rsidR="00884BCA">
        <w:t xml:space="preserve">igh </w:t>
      </w:r>
      <w:r w:rsidR="00211842">
        <w:t xml:space="preserve">(34%) </w:t>
      </w:r>
      <w:r w:rsidR="00884BCA">
        <w:t>probability of persist</w:t>
      </w:r>
      <w:r w:rsidR="00211842">
        <w:t>ing for at least 1</w:t>
      </w:r>
      <w:r w:rsidR="00765A27">
        <w:t> </w:t>
      </w:r>
      <w:r w:rsidR="00211842">
        <w:t>year</w:t>
      </w:r>
      <w:r w:rsidR="00884BCA">
        <w:t xml:space="preserve"> (Figure </w:t>
      </w:r>
      <w:r w:rsidR="00E74B90">
        <w:t>6</w:t>
      </w:r>
      <w:r w:rsidR="00884BCA">
        <w:t>)</w:t>
      </w:r>
      <w:r w:rsidR="00431AF7">
        <w:t xml:space="preserve">. </w:t>
      </w:r>
      <w:r w:rsidR="00211842">
        <w:t>In contrast, one</w:t>
      </w:r>
      <w:r w:rsidR="00111762">
        <w:t>-</w:t>
      </w:r>
      <w:r w:rsidR="00211842">
        <w:t>of</w:t>
      </w:r>
      <w:r w:rsidR="00111762">
        <w:t>f</w:t>
      </w:r>
      <w:r w:rsidR="00211842">
        <w:t xml:space="preserve"> </w:t>
      </w:r>
      <w:r w:rsidR="00164AB4">
        <w:t xml:space="preserve">60% or </w:t>
      </w:r>
      <w:r w:rsidR="00211842">
        <w:t>80% cull</w:t>
      </w:r>
      <w:r w:rsidR="00164AB4">
        <w:t>s</w:t>
      </w:r>
      <w:r w:rsidR="00211842">
        <w:t xml:space="preserve"> had 95% </w:t>
      </w:r>
      <w:r w:rsidR="00164AB4">
        <w:t xml:space="preserve">probability </w:t>
      </w:r>
      <w:r w:rsidR="00211842">
        <w:t>of eradicat</w:t>
      </w:r>
      <w:r w:rsidR="00164AB4">
        <w:t xml:space="preserve">ing FMD </w:t>
      </w:r>
      <w:r w:rsidR="00211842">
        <w:t xml:space="preserve">within </w:t>
      </w:r>
      <w:r w:rsidR="00164AB4">
        <w:t>9</w:t>
      </w:r>
      <w:r w:rsidR="00211842">
        <w:t>0</w:t>
      </w:r>
      <w:r w:rsidR="00765A27">
        <w:t> </w:t>
      </w:r>
      <w:r w:rsidR="00211842">
        <w:t>days</w:t>
      </w:r>
      <w:r w:rsidR="00164AB4">
        <w:t>, regardless of the timing of the cull</w:t>
      </w:r>
      <w:r w:rsidR="00211842">
        <w:t xml:space="preserve"> (Figure </w:t>
      </w:r>
      <w:r w:rsidR="00E74B90">
        <w:t>6</w:t>
      </w:r>
      <w:r w:rsidR="00211842">
        <w:t>)</w:t>
      </w:r>
      <w:r w:rsidR="00431AF7">
        <w:t xml:space="preserve">. </w:t>
      </w:r>
      <w:r w:rsidR="00884BCA">
        <w:t>O</w:t>
      </w:r>
      <w:r w:rsidR="00AA5668">
        <w:t>ne</w:t>
      </w:r>
      <w:r w:rsidR="00111762">
        <w:t>-</w:t>
      </w:r>
      <w:r w:rsidR="00AA5668">
        <w:t xml:space="preserve">off culls of </w:t>
      </w:r>
      <w:r w:rsidR="000C355F">
        <w:t>60% o</w:t>
      </w:r>
      <w:r w:rsidR="00AA5668">
        <w:t xml:space="preserve">r 80% of the pig population </w:t>
      </w:r>
      <w:r w:rsidR="000C355F">
        <w:t xml:space="preserve">initiated 7 days after the outbreak </w:t>
      </w:r>
      <w:r w:rsidR="00AA5668">
        <w:t>resulted in near-immediate eradication of the disease from the population</w:t>
      </w:r>
      <w:r w:rsidR="000C355F">
        <w:t xml:space="preserve"> with</w:t>
      </w:r>
      <w:r w:rsidR="00CB434A">
        <w:t>in</w:t>
      </w:r>
      <w:r w:rsidR="000C355F">
        <w:t xml:space="preserve"> 2.5 weeks (Figure </w:t>
      </w:r>
      <w:r w:rsidR="00E74B90">
        <w:t>7</w:t>
      </w:r>
      <w:r w:rsidR="000C355F">
        <w:t>)</w:t>
      </w:r>
      <w:r w:rsidR="00164AB4">
        <w:t xml:space="preserve">, with peak prevalence averaging </w:t>
      </w:r>
      <w:r w:rsidR="00111762">
        <w:t>less than</w:t>
      </w:r>
      <w:r w:rsidR="00164AB4">
        <w:t xml:space="preserve"> 1% (Figure </w:t>
      </w:r>
      <w:r w:rsidR="00E74B90">
        <w:t>8</w:t>
      </w:r>
      <w:r w:rsidR="00164AB4">
        <w:t>)</w:t>
      </w:r>
      <w:r w:rsidR="00AA5668">
        <w:t xml:space="preserve">. Under less </w:t>
      </w:r>
      <w:r w:rsidR="00111762">
        <w:t>i</w:t>
      </w:r>
      <w:r w:rsidR="00AA5668">
        <w:t>ntense culls of 20% or 40%</w:t>
      </w:r>
      <w:r w:rsidR="00765A27">
        <w:t xml:space="preserve">, </w:t>
      </w:r>
      <w:r w:rsidR="000C355F">
        <w:t>the time to eradication</w:t>
      </w:r>
      <w:r w:rsidR="00AA5668">
        <w:t xml:space="preserve"> was </w:t>
      </w:r>
      <w:r w:rsidR="00111762">
        <w:t>longer and more variable</w:t>
      </w:r>
      <w:r w:rsidR="00AA5668">
        <w:t xml:space="preserve">, </w:t>
      </w:r>
      <w:r w:rsidR="00111762">
        <w:t>with mean eradication times between</w:t>
      </w:r>
      <w:r w:rsidR="000C355F">
        <w:t xml:space="preserve"> 12–33 weeks</w:t>
      </w:r>
      <w:r w:rsidR="00111762">
        <w:t xml:space="preserve"> (Figure </w:t>
      </w:r>
      <w:r w:rsidR="00E74B90">
        <w:t>7</w:t>
      </w:r>
      <w:r w:rsidR="00111762">
        <w:t>)</w:t>
      </w:r>
      <w:r w:rsidR="00431AF7">
        <w:t xml:space="preserve">. </w:t>
      </w:r>
      <w:r w:rsidR="00164AB4">
        <w:t>Furthermore, the timing of the cull influenced the progress of the outbreak, with later culls (</w:t>
      </w:r>
      <w:r w:rsidR="005B24DC">
        <w:t xml:space="preserve">e.g. </w:t>
      </w:r>
      <w:r w:rsidR="00164AB4">
        <w:t>64 days post</w:t>
      </w:r>
      <w:r w:rsidR="00765A27">
        <w:t>-</w:t>
      </w:r>
      <w:r w:rsidR="00164AB4">
        <w:t>outbreak) resulting in high peak prevalences</w:t>
      </w:r>
      <w:r w:rsidR="00CB434A">
        <w:t xml:space="preserve">, </w:t>
      </w:r>
      <w:r w:rsidR="00111762">
        <w:t>regardless of the intensity of the cull</w:t>
      </w:r>
      <w:r w:rsidR="00344EDA">
        <w:t xml:space="preserve"> (Figure </w:t>
      </w:r>
      <w:r w:rsidR="00E74B90">
        <w:t>8</w:t>
      </w:r>
      <w:r w:rsidR="00344EDA">
        <w:t>).</w:t>
      </w:r>
    </w:p>
    <w:p w14:paraId="2C1DA559" w14:textId="2D27F9A4" w:rsidR="00337757" w:rsidRDefault="00337757" w:rsidP="00337757"/>
    <w:p w14:paraId="50B04710" w14:textId="02B86DF1" w:rsidR="00211842" w:rsidRDefault="00211842" w:rsidP="00337757">
      <w:r>
        <w:rPr>
          <w:noProof/>
        </w:rPr>
        <w:lastRenderedPageBreak/>
        <w:drawing>
          <wp:inline distT="0" distB="0" distL="0" distR="0" wp14:anchorId="785E5A10" wp14:editId="4D0231E4">
            <wp:extent cx="6120765" cy="3032760"/>
            <wp:effectExtent l="0" t="0" r="0" b="0"/>
            <wp:docPr id="394749930" name="Picture 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49930" name="Picture 7" descr="A graph of different colored lines&#10;&#10;AI-generated content may be incorrect."/>
                    <pic:cNvPicPr/>
                  </pic:nvPicPr>
                  <pic:blipFill>
                    <a:blip r:embed="rId47" cstate="screen">
                      <a:extLst>
                        <a:ext uri="{28A0092B-C50C-407E-A947-70E740481C1C}">
                          <a14:useLocalDpi xmlns:a14="http://schemas.microsoft.com/office/drawing/2010/main" val="0"/>
                        </a:ext>
                      </a:extLst>
                    </a:blip>
                    <a:stretch>
                      <a:fillRect/>
                    </a:stretch>
                  </pic:blipFill>
                  <pic:spPr>
                    <a:xfrm>
                      <a:off x="0" y="0"/>
                      <a:ext cx="6120765" cy="3032760"/>
                    </a:xfrm>
                    <a:prstGeom prst="rect">
                      <a:avLst/>
                    </a:prstGeom>
                  </pic:spPr>
                </pic:pic>
              </a:graphicData>
            </a:graphic>
          </wp:inline>
        </w:drawing>
      </w:r>
    </w:p>
    <w:p w14:paraId="406CE1C2" w14:textId="3AAB1365" w:rsidR="00337757" w:rsidRDefault="00211842" w:rsidP="00A0449E">
      <w:pPr>
        <w:pStyle w:val="Caption-Figure"/>
      </w:pPr>
      <w:bookmarkStart w:id="86" w:name="_Toc198634157"/>
      <w:r>
        <w:t xml:space="preserve">Figure </w:t>
      </w:r>
      <w:r w:rsidR="00C05B4A">
        <w:t>6</w:t>
      </w:r>
      <w:r w:rsidR="00431AF7">
        <w:t xml:space="preserve">. </w:t>
      </w:r>
      <w:r>
        <w:t xml:space="preserve">Cumulative probability of eradication of an FMD outbreak in </w:t>
      </w:r>
      <w:r w:rsidR="00E548AE">
        <w:t>Feral Pig</w:t>
      </w:r>
      <w:r>
        <w:t>s over time under the most likely parameter values with one-off culling operations of varying intensity (0, 20, 40, 60 or 80%) at either 7, 28 or 64 days after the initiation of the outbreak</w:t>
      </w:r>
      <w:bookmarkEnd w:id="86"/>
    </w:p>
    <w:p w14:paraId="4EB537DD" w14:textId="77777777" w:rsidR="00E74B90" w:rsidRPr="00E74B90" w:rsidRDefault="00E74B90" w:rsidP="00E74B90"/>
    <w:p w14:paraId="79B77452" w14:textId="02B33572" w:rsidR="00AA5668" w:rsidRDefault="00884BCA" w:rsidP="00AA5668">
      <w:pPr>
        <w:jc w:val="center"/>
      </w:pPr>
      <w:r>
        <w:rPr>
          <w:noProof/>
        </w:rPr>
        <w:drawing>
          <wp:inline distT="0" distB="0" distL="0" distR="0" wp14:anchorId="437C881C" wp14:editId="005EB995">
            <wp:extent cx="6120765" cy="2415540"/>
            <wp:effectExtent l="0" t="0" r="0" b="3810"/>
            <wp:docPr id="102603902" name="Picture 5" descr="A graph of a number of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3902" name="Picture 5" descr="A graph of a number of blue bars&#10;&#10;AI-generated content may be incorrect."/>
                    <pic:cNvPicPr/>
                  </pic:nvPicPr>
                  <pic:blipFill>
                    <a:blip r:embed="rId48" cstate="screen">
                      <a:extLst>
                        <a:ext uri="{28A0092B-C50C-407E-A947-70E740481C1C}">
                          <a14:useLocalDpi xmlns:a14="http://schemas.microsoft.com/office/drawing/2010/main" val="0"/>
                        </a:ext>
                      </a:extLst>
                    </a:blip>
                    <a:stretch>
                      <a:fillRect/>
                    </a:stretch>
                  </pic:blipFill>
                  <pic:spPr>
                    <a:xfrm>
                      <a:off x="0" y="0"/>
                      <a:ext cx="6120765" cy="2415540"/>
                    </a:xfrm>
                    <a:prstGeom prst="rect">
                      <a:avLst/>
                    </a:prstGeom>
                  </pic:spPr>
                </pic:pic>
              </a:graphicData>
            </a:graphic>
          </wp:inline>
        </w:drawing>
      </w:r>
    </w:p>
    <w:p w14:paraId="0DF668C0" w14:textId="5013E81A" w:rsidR="00AA5668" w:rsidRDefault="00AA5668" w:rsidP="009A36CC">
      <w:pPr>
        <w:pStyle w:val="Caption-Figure"/>
      </w:pPr>
      <w:bookmarkStart w:id="87" w:name="_Toc198634158"/>
      <w:r>
        <w:t xml:space="preserve">Figure </w:t>
      </w:r>
      <w:r w:rsidR="00C05B4A">
        <w:t>7</w:t>
      </w:r>
      <w:r>
        <w:t xml:space="preserve">. </w:t>
      </w:r>
      <w:r w:rsidR="00884BCA">
        <w:t>Mean time to eradication (in weeks) for s</w:t>
      </w:r>
      <w:r>
        <w:t>imulated FMD outbreaks under the likely parameter values with one-off culling operations of varying intensity (</w:t>
      </w:r>
      <w:r w:rsidR="00884BCA">
        <w:t xml:space="preserve">0, </w:t>
      </w:r>
      <w:r>
        <w:t>20, 40, 60 or 80%) at either 7, 28 or 64</w:t>
      </w:r>
      <w:r w:rsidR="00765A27">
        <w:t> </w:t>
      </w:r>
      <w:r>
        <w:t>days after the initiation of the outbreak.</w:t>
      </w:r>
      <w:r w:rsidR="00884BCA">
        <w:t xml:space="preserve"> Black horizontal lines give the mean and blue bars give the width of the 95% confidence interval.</w:t>
      </w:r>
      <w:bookmarkEnd w:id="87"/>
      <w:r>
        <w:t xml:space="preserve"> </w:t>
      </w:r>
    </w:p>
    <w:p w14:paraId="714285D9" w14:textId="77777777" w:rsidR="00164AB4" w:rsidRPr="00164AB4" w:rsidRDefault="00164AB4" w:rsidP="00A0449E"/>
    <w:p w14:paraId="5A97A521" w14:textId="77777777" w:rsidR="00EF52AA" w:rsidRDefault="00EF52AA" w:rsidP="00AA5668"/>
    <w:p w14:paraId="237FD882" w14:textId="24756BF6" w:rsidR="001D540B" w:rsidRDefault="00164AB4" w:rsidP="00A83313">
      <w:r>
        <w:rPr>
          <w:noProof/>
        </w:rPr>
        <w:lastRenderedPageBreak/>
        <w:drawing>
          <wp:inline distT="0" distB="0" distL="0" distR="0" wp14:anchorId="4969DA91" wp14:editId="660C4923">
            <wp:extent cx="6120765" cy="2415540"/>
            <wp:effectExtent l="0" t="0" r="0" b="3810"/>
            <wp:docPr id="483689781" name="Picture 9" descr="A graph of a number of 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89781" name="Picture 9" descr="A graph of a number of red squares&#10;&#10;AI-generated content may be incorrect."/>
                    <pic:cNvPicPr/>
                  </pic:nvPicPr>
                  <pic:blipFill>
                    <a:blip r:embed="rId49" cstate="screen">
                      <a:extLst>
                        <a:ext uri="{28A0092B-C50C-407E-A947-70E740481C1C}">
                          <a14:useLocalDpi xmlns:a14="http://schemas.microsoft.com/office/drawing/2010/main" val="0"/>
                        </a:ext>
                      </a:extLst>
                    </a:blip>
                    <a:stretch>
                      <a:fillRect/>
                    </a:stretch>
                  </pic:blipFill>
                  <pic:spPr>
                    <a:xfrm>
                      <a:off x="0" y="0"/>
                      <a:ext cx="6120765" cy="2415540"/>
                    </a:xfrm>
                    <a:prstGeom prst="rect">
                      <a:avLst/>
                    </a:prstGeom>
                  </pic:spPr>
                </pic:pic>
              </a:graphicData>
            </a:graphic>
          </wp:inline>
        </w:drawing>
      </w:r>
    </w:p>
    <w:p w14:paraId="5748602F" w14:textId="78B20809" w:rsidR="00344EDA" w:rsidRDefault="00E84CE2" w:rsidP="00344EDA">
      <w:pPr>
        <w:pStyle w:val="Caption-Figure"/>
      </w:pPr>
      <w:bookmarkStart w:id="88" w:name="_Toc198634159"/>
      <w:r w:rsidRPr="00E84CE2">
        <w:t>Figure</w:t>
      </w:r>
      <w:r>
        <w:t xml:space="preserve"> </w:t>
      </w:r>
      <w:r w:rsidR="00C05B4A">
        <w:t>8</w:t>
      </w:r>
      <w:r>
        <w:t>.</w:t>
      </w:r>
      <w:r w:rsidR="00BE3EC4">
        <w:t xml:space="preserve"> </w:t>
      </w:r>
      <w:r w:rsidR="00344EDA">
        <w:t>P</w:t>
      </w:r>
      <w:r w:rsidRPr="00E84CE2">
        <w:t>eak FMD prevalences (proportion of exposed and infectious individuals in the population) for simulated FMD outbreaks under the likely parameter values with one-off culling operations of varying intensity (</w:t>
      </w:r>
      <w:r w:rsidR="00344EDA">
        <w:t xml:space="preserve">0, </w:t>
      </w:r>
      <w:r w:rsidRPr="00E84CE2">
        <w:t xml:space="preserve">20, 40, 60 or 80%) at either 7, 28 or 64 days after the initiation of the outbreak. </w:t>
      </w:r>
      <w:r w:rsidR="00344EDA">
        <w:t xml:space="preserve">Black horizontal lines give the mean and </w:t>
      </w:r>
      <w:r w:rsidR="00F751BF">
        <w:t>pink</w:t>
      </w:r>
      <w:r w:rsidR="00344EDA">
        <w:t xml:space="preserve"> bars give the width of the 95% confidence interval.</w:t>
      </w:r>
      <w:bookmarkEnd w:id="88"/>
      <w:r w:rsidR="00344EDA">
        <w:t xml:space="preserve"> </w:t>
      </w:r>
    </w:p>
    <w:p w14:paraId="51F0C860" w14:textId="77777777" w:rsidR="00E62399" w:rsidRDefault="00E62399" w:rsidP="00A0449E">
      <w:pPr>
        <w:pStyle w:val="Caption-Figure"/>
        <w:rPr>
          <w:sz w:val="18"/>
          <w:szCs w:val="18"/>
        </w:rPr>
      </w:pPr>
    </w:p>
    <w:p w14:paraId="1F8E53FC" w14:textId="29050639" w:rsidR="00E62399" w:rsidRDefault="00CD4439" w:rsidP="00E62399">
      <w:pPr>
        <w:pStyle w:val="Heading4"/>
      </w:pPr>
      <w:r>
        <w:t>Conclusions</w:t>
      </w:r>
    </w:p>
    <w:p w14:paraId="423290EB" w14:textId="02BB7575" w:rsidR="00E62399" w:rsidRDefault="00E62399" w:rsidP="00E62399">
      <w:r>
        <w:t>While these results are sensitive to the value of the transmission parameter</w:t>
      </w:r>
      <w:r w:rsidR="006945CC">
        <w:t xml:space="preserve"> (</w:t>
      </w:r>
      <w:r w:rsidR="000958D8">
        <w:t>s</w:t>
      </w:r>
      <w:r w:rsidR="006945CC">
        <w:t>ection 6.1)</w:t>
      </w:r>
      <w:r>
        <w:t xml:space="preserve">, the simulations clearly demonstrate the general principle that a sufficiently intense one-off cull in the early stages of the outbreak can drive the disease to eradication with a high degree of certainty. If continued transmission of FMD into the pig population remains a risk (perhaps due to the presence of infected livestock herds in </w:t>
      </w:r>
      <w:proofErr w:type="gramStart"/>
      <w:r>
        <w:t>close proximity</w:t>
      </w:r>
      <w:proofErr w:type="gramEnd"/>
      <w:r>
        <w:t xml:space="preserve">), then repeated culling (or even local eradication) of </w:t>
      </w:r>
      <w:r w:rsidR="00E548AE">
        <w:t>Feral Pig</w:t>
      </w:r>
      <w:r>
        <w:t xml:space="preserve"> populations with ongoing surveillance for the presence of the disease may prove necessary. Similarly, if it proves difficult to kill a sufficiently high proportion of the pig population in a one-off cull, then a series of culls of lower intensity would likely allow reliable eradication. </w:t>
      </w:r>
    </w:p>
    <w:p w14:paraId="6ED6B96F" w14:textId="3126E994" w:rsidR="00AA5668" w:rsidRDefault="00E62399" w:rsidP="00AA5668">
      <w:r>
        <w:t xml:space="preserve">The individual-based model used could be easily adapted </w:t>
      </w:r>
      <w:r w:rsidR="00C942D5">
        <w:t>t</w:t>
      </w:r>
      <w:r>
        <w:t xml:space="preserve">o support the analysis of other management strategies for the disease, such as continuous low-intensity culling. Further elaboration of the model might include spatialisation, to allow for the occurrence of hosts in discrete patches of habitat, and the inclusion of multiple host species (both livestock and feral ungulates). Such models may prove useful both for planning the state’s response to incursions and for decision-support </w:t>
      </w:r>
      <w:proofErr w:type="gramStart"/>
      <w:r>
        <w:t>subsequent to</w:t>
      </w:r>
      <w:proofErr w:type="gramEnd"/>
      <w:r>
        <w:t xml:space="preserve"> any outbreak of FMD that may occur in Victoria the future. Given the likely economic and social impacts of an FMD outbreak in Victoria, investment in decision support tools to support both planning and responses is likely to be a worthwhile </w:t>
      </w:r>
      <w:r w:rsidR="00E90BEE">
        <w:t>strategy</w:t>
      </w:r>
      <w:r>
        <w:t>.</w:t>
      </w:r>
    </w:p>
    <w:p w14:paraId="1A4DCC95" w14:textId="77777777" w:rsidR="00DB604F" w:rsidRDefault="00DB604F" w:rsidP="00AA5668"/>
    <w:p w14:paraId="6AB1AF5A" w14:textId="7D8503DE" w:rsidR="00C5029C" w:rsidRDefault="007901CB" w:rsidP="00C5029C">
      <w:pPr>
        <w:pStyle w:val="Heading3-Numbered"/>
      </w:pPr>
      <w:bookmarkStart w:id="89" w:name="_Toc198634113"/>
      <w:r>
        <w:t>High</w:t>
      </w:r>
      <w:r w:rsidR="009D28FA">
        <w:t>ly</w:t>
      </w:r>
      <w:r>
        <w:t xml:space="preserve"> </w:t>
      </w:r>
      <w:r w:rsidR="00785096">
        <w:t xml:space="preserve">Pathogenic </w:t>
      </w:r>
      <w:r>
        <w:t>Avian Influenza in Little Penguins</w:t>
      </w:r>
      <w:bookmarkEnd w:id="89"/>
    </w:p>
    <w:p w14:paraId="4676C4A6" w14:textId="0B426F34" w:rsidR="001227A0" w:rsidRPr="00520FD0" w:rsidRDefault="001227A0" w:rsidP="001227A0">
      <w:pPr>
        <w:rPr>
          <w:rFonts w:eastAsiaTheme="minorEastAsia"/>
        </w:rPr>
      </w:pPr>
      <w:r w:rsidRPr="00520FD0">
        <w:rPr>
          <w:rFonts w:eastAsiaTheme="minorEastAsia"/>
        </w:rPr>
        <w:t>Avian Influenza (AI) is a viral pathogen predominantly affecting domestic and wild birds.</w:t>
      </w:r>
      <w:r w:rsidR="004057D8">
        <w:rPr>
          <w:rFonts w:eastAsiaTheme="minorEastAsia"/>
        </w:rPr>
        <w:t xml:space="preserve"> </w:t>
      </w:r>
      <w:r w:rsidRPr="00520FD0">
        <w:rPr>
          <w:rFonts w:eastAsiaTheme="minorEastAsia"/>
        </w:rPr>
        <w:t xml:space="preserve">The range of </w:t>
      </w:r>
      <w:r w:rsidR="00B44B04">
        <w:rPr>
          <w:rFonts w:eastAsiaTheme="minorEastAsia"/>
        </w:rPr>
        <w:t>clinical signs</w:t>
      </w:r>
      <w:r w:rsidRPr="00520FD0">
        <w:rPr>
          <w:rFonts w:eastAsiaTheme="minorEastAsia"/>
        </w:rPr>
        <w:t xml:space="preserve"> presented by infected bird populations has been used to classify the virulence of the virus</w:t>
      </w:r>
      <w:r w:rsidR="00631005">
        <w:rPr>
          <w:rFonts w:eastAsiaTheme="minorEastAsia"/>
        </w:rPr>
        <w:t xml:space="preserve">, </w:t>
      </w:r>
      <w:r w:rsidRPr="00520FD0">
        <w:rPr>
          <w:rFonts w:eastAsiaTheme="minorEastAsia"/>
        </w:rPr>
        <w:t xml:space="preserve">with </w:t>
      </w:r>
      <w:r w:rsidR="00631005">
        <w:rPr>
          <w:rFonts w:eastAsiaTheme="minorEastAsia"/>
        </w:rPr>
        <w:t>L</w:t>
      </w:r>
      <w:r w:rsidRPr="00520FD0">
        <w:rPr>
          <w:rFonts w:eastAsiaTheme="minorEastAsia"/>
        </w:rPr>
        <w:t xml:space="preserve">ow </w:t>
      </w:r>
      <w:r w:rsidR="00631005">
        <w:rPr>
          <w:rFonts w:eastAsiaTheme="minorEastAsia"/>
        </w:rPr>
        <w:t>P</w:t>
      </w:r>
      <w:r w:rsidRPr="00520FD0">
        <w:rPr>
          <w:rFonts w:eastAsiaTheme="minorEastAsia"/>
        </w:rPr>
        <w:t xml:space="preserve">athogenic </w:t>
      </w:r>
      <w:r w:rsidR="00631005">
        <w:rPr>
          <w:rFonts w:eastAsiaTheme="minorEastAsia"/>
        </w:rPr>
        <w:t>A</w:t>
      </w:r>
      <w:r w:rsidRPr="00520FD0">
        <w:rPr>
          <w:rFonts w:eastAsiaTheme="minorEastAsia"/>
        </w:rPr>
        <w:t xml:space="preserve">vian </w:t>
      </w:r>
      <w:r w:rsidR="00631005">
        <w:rPr>
          <w:rFonts w:eastAsiaTheme="minorEastAsia"/>
        </w:rPr>
        <w:t>I</w:t>
      </w:r>
      <w:r w:rsidRPr="00520FD0">
        <w:rPr>
          <w:rFonts w:eastAsiaTheme="minorEastAsia"/>
        </w:rPr>
        <w:t>nfluenza (LPAI) causing only mild or no symptoms</w:t>
      </w:r>
      <w:r w:rsidR="004057D8">
        <w:rPr>
          <w:rFonts w:eastAsiaTheme="minorEastAsia"/>
        </w:rPr>
        <w:t>,</w:t>
      </w:r>
      <w:r w:rsidRPr="00520FD0">
        <w:rPr>
          <w:rFonts w:eastAsiaTheme="minorEastAsia"/>
        </w:rPr>
        <w:t xml:space="preserve"> </w:t>
      </w:r>
      <w:r w:rsidR="00631005">
        <w:rPr>
          <w:rFonts w:eastAsiaTheme="minorEastAsia"/>
        </w:rPr>
        <w:t>and HPAI</w:t>
      </w:r>
      <w:r w:rsidRPr="00520FD0">
        <w:rPr>
          <w:rFonts w:eastAsiaTheme="minorEastAsia"/>
        </w:rPr>
        <w:t xml:space="preserve"> usually associated with systemic disease and high mortality </w:t>
      </w:r>
      <w:r w:rsidRPr="00520FD0">
        <w:rPr>
          <w:rFonts w:eastAsiaTheme="minorEastAsia"/>
        </w:rPr>
        <w:fldChar w:fldCharType="begin"/>
      </w:r>
      <w:r w:rsidR="009F541F">
        <w:rPr>
          <w:rFonts w:eastAsiaTheme="minorEastAsia"/>
        </w:rPr>
        <w:instrText xml:space="preserve"> ADDIN ZOTERO_ITEM CSL_CITATION {"citationID":"Jr2QDLf0","properties":{"formattedCitation":"(Olsen {\\i{}et al.} 2006)","plainCitation":"(Olsen et al. 2006)","noteIndex":0},"citationItems":[{"id":2363,"uris":["http://zotero.org/users/634364/items/KXL9T8XZ"],"itemData":{"id":2363,"type":"article-journal","container-title":"Science","DOI":"10.1126/science.1122438","issue":"5772","note":"Citation Key: RN928","page":"384-388","title":"Global Patterns of Influenza A Virus in Wild Birds","volume":"312","author":[{"family":"Olsen","given":"Bjorn"},{"family":"Munster","given":"Vincent J"},{"family":"Wallensten","given":"Anders"},{"family":"Waldenstrom","given":"Jonas"},{"family":"Osterhaus","given":"Albert D M E"},{"family":"Fouchier","given":"Ron A M"}],"issued":{"date-parts":[["2006"]]}}}],"schema":"https://github.com/citation-style-language/schema/raw/master/csl-citation.json"} </w:instrText>
      </w:r>
      <w:r w:rsidRPr="00520FD0">
        <w:rPr>
          <w:rFonts w:eastAsiaTheme="minorEastAsia"/>
        </w:rPr>
        <w:fldChar w:fldCharType="separate"/>
      </w:r>
      <w:r w:rsidR="009F541F" w:rsidRPr="009F541F">
        <w:t xml:space="preserve">(Olsen </w:t>
      </w:r>
      <w:r w:rsidR="009F541F" w:rsidRPr="00DA5824">
        <w:t>et al</w:t>
      </w:r>
      <w:r w:rsidR="009F541F" w:rsidRPr="009F541F">
        <w:rPr>
          <w:i/>
          <w:iCs/>
        </w:rPr>
        <w:t>.</w:t>
      </w:r>
      <w:r w:rsidR="009F541F" w:rsidRPr="009F541F">
        <w:t xml:space="preserve"> 2006)</w:t>
      </w:r>
      <w:r w:rsidRPr="00520FD0">
        <w:rPr>
          <w:rFonts w:eastAsiaTheme="minorEastAsia"/>
        </w:rPr>
        <w:fldChar w:fldCharType="end"/>
      </w:r>
      <w:r w:rsidRPr="00520FD0">
        <w:rPr>
          <w:rFonts w:eastAsiaTheme="minorEastAsia"/>
        </w:rPr>
        <w:t xml:space="preserve">. </w:t>
      </w:r>
      <w:r w:rsidR="004057D8">
        <w:rPr>
          <w:rFonts w:eastAsiaTheme="minorEastAsia"/>
        </w:rPr>
        <w:t>Wild birds are the reservoirs for LPAI, and HPAI is thought to only develop in poultry after a spill-over event into the population from wild birds</w:t>
      </w:r>
      <w:r w:rsidR="00200E5A">
        <w:rPr>
          <w:rFonts w:eastAsiaTheme="minorEastAsia"/>
        </w:rPr>
        <w:t xml:space="preserve"> </w:t>
      </w:r>
      <w:r w:rsidR="00491578">
        <w:rPr>
          <w:rFonts w:eastAsiaTheme="minorEastAsia"/>
        </w:rPr>
        <w:fldChar w:fldCharType="begin"/>
      </w:r>
      <w:r w:rsidR="00491578">
        <w:rPr>
          <w:rFonts w:eastAsiaTheme="minorEastAsia"/>
        </w:rPr>
        <w:instrText xml:space="preserve"> ADDIN ZOTERO_ITEM CSL_CITATION {"citationID":"LLCBTMJt","properties":{"formattedCitation":"(Alexander 2000)","plainCitation":"(Alexander 2000)","noteIndex":0},"citationItems":[{"id":9655,"uris":["http://zotero.org/users/634364/items/VFGZDPNU"],"itemData":{"id":9655,"type":"article-journal","abstract":"Only type A infuenza viruses are known to cause natural infections in birds, but viruses of all 15 haemagglutinin and all nine neuraminidase infuenza A subtypes in the majority of possible combinations have been isolated from avian species. Infuenza A viruses infecting poultry can be divided into two distinct groups on the basis of their ability to cause disease. The very virulent viruses cause highly pathogenic avian in¯uenza (HPAI), in which mortality may be as high as 100%. These viruses have been restricted to subtypes H5 and H7, although not all viruses of these subtypes cause HPAI. All other viruses cause a much milder, primarily respiratory disease, which may be exacerbated by other infections or environmental conditions. Since 1959, primary outbreaks of HPAI in poultry have been reported 17 times (eight since 1990), ®ve in turkeys and 12 in chickens. HPAI viruses are rarely isolated from wild birds, but extremely high isolation rates of viruses of low virulence for poultry have been recorded in surveillance studies, giving overall ®gures of about 15% for ducks and geese and around 2% for all other species. In¯uenza viruses have been shown to affect all types of domestic or captive birds in all areas of the world, but the frequency with which primary infections occur in any type of bird depends on the degree of contact there is with feral birds. Secondary spread is usually associated with human involvement, probably by transferring infective faeces from infected to susceptible birds. # 2000 Elsevier Science B.V. All rights reserved.","container-title":"Veterinary Microbiology","language":"en","source":"Zotero","title":"A review of avian infuenza in different bird species","author":[{"family":"Alexander","given":"Dennis J"}],"issued":{"date-parts":[["2000"]]}}}],"schema":"https://github.com/citation-style-language/schema/raw/master/csl-citation.json"} </w:instrText>
      </w:r>
      <w:r w:rsidR="00491578">
        <w:rPr>
          <w:rFonts w:eastAsiaTheme="minorEastAsia"/>
        </w:rPr>
        <w:fldChar w:fldCharType="separate"/>
      </w:r>
      <w:r w:rsidR="009F541F" w:rsidRPr="009F541F">
        <w:rPr>
          <w:rFonts w:eastAsiaTheme="minorEastAsia"/>
        </w:rPr>
        <w:t>(Alexander 2000)</w:t>
      </w:r>
      <w:r w:rsidR="00491578">
        <w:rPr>
          <w:rFonts w:eastAsiaTheme="minorEastAsia"/>
        </w:rPr>
        <w:fldChar w:fldCharType="end"/>
      </w:r>
      <w:r w:rsidR="004057D8">
        <w:rPr>
          <w:rFonts w:eastAsiaTheme="minorEastAsia"/>
        </w:rPr>
        <w:t>.</w:t>
      </w:r>
      <w:r w:rsidRPr="00520FD0">
        <w:rPr>
          <w:rFonts w:eastAsiaTheme="minorEastAsia"/>
        </w:rPr>
        <w:t xml:space="preserve"> </w:t>
      </w:r>
      <w:r w:rsidR="004057D8">
        <w:rPr>
          <w:rFonts w:eastAsiaTheme="minorEastAsia"/>
        </w:rPr>
        <w:t xml:space="preserve">However, HPAI may then spill back into wild bird populations and cause severe disease in these species. </w:t>
      </w:r>
      <w:r w:rsidRPr="00520FD0">
        <w:rPr>
          <w:rFonts w:eastAsiaTheme="minorEastAsia"/>
        </w:rPr>
        <w:t>Prior to 2002, the HPAI strains of the virus were mainly only recorded in domestic poultry.</w:t>
      </w:r>
      <w:r w:rsidR="00BE3EC4">
        <w:rPr>
          <w:rFonts w:eastAsiaTheme="minorEastAsia"/>
        </w:rPr>
        <w:t xml:space="preserve"> </w:t>
      </w:r>
      <w:r w:rsidRPr="00520FD0">
        <w:rPr>
          <w:rFonts w:eastAsiaTheme="minorEastAsia"/>
        </w:rPr>
        <w:t xml:space="preserve">However, since 2002, there have been increasing outbreaks of HPAI recorded in wild birds associated with a particular subtype, first detected in domestic geese in China in 1996, and subsequently designated as the H5N1 strain </w:t>
      </w:r>
      <w:r w:rsidRPr="00520FD0">
        <w:rPr>
          <w:rFonts w:eastAsiaTheme="minorEastAsia"/>
        </w:rPr>
        <w:fldChar w:fldCharType="begin"/>
      </w:r>
      <w:r w:rsidR="009F541F">
        <w:rPr>
          <w:rFonts w:eastAsiaTheme="minorEastAsia"/>
        </w:rPr>
        <w:instrText xml:space="preserve"> ADDIN ZOTERO_ITEM CSL_CITATION {"citationID":"5detnMTh","properties":{"formattedCitation":"(Olsen {\\i{}et al.} 2006; Ramey {\\i{}et al.} 2022)","plainCitation":"(Olsen et al. 2006; Ramey et al. 2022)","noteIndex":0},"citationItems":[{"id":2363,"uris":["http://zotero.org/users/634364/items/KXL9T8XZ"],"itemData":{"id":2363,"type":"article-journal","container-title":"Science","DOI":"10.1126/science.1122438","issue":"5772","note":"Citation Key: RN928","page":"384-388","title":"Global Patterns of Influenza A Virus in Wild Birds","volume":"312","author":[{"family":"Olsen","given":"Bjorn"},{"family":"Munster","given":"Vincent J"},{"family":"Wallensten","given":"Anders"},{"family":"Waldenstrom","given":"Jonas"},{"family":"Osterhaus","given":"Albert D M E"},{"family":"Fouchier","given":"Ron A M"}],"issued":{"date-parts":[["2006"]]}}},{"id":9484,"uris":["http://zotero.org/users/634364/items/JHIVG9B3"],"itemData":{"id":9484,"type":"article-journal","abstract":"Abstract\n            Prior to the emergence of the A/</w:instrText>
      </w:r>
      <w:r w:rsidR="009F541F">
        <w:rPr>
          <w:rFonts w:eastAsiaTheme="minorEastAsia" w:hint="eastAsia"/>
        </w:rPr>
        <w:instrText>goose/Guangdong/1/1996 (Gs/GD) H5N1 influenza A virus, the long</w:instrText>
      </w:r>
      <w:r w:rsidR="009F541F">
        <w:rPr>
          <w:rFonts w:eastAsiaTheme="minorEastAsia" w:hint="eastAsia"/>
        </w:rPr>
        <w:instrText>‐</w:instrText>
      </w:r>
      <w:r w:rsidR="009F541F">
        <w:rPr>
          <w:rFonts w:eastAsiaTheme="minorEastAsia" w:hint="eastAsia"/>
        </w:rPr>
        <w:instrText>held and well</w:instrText>
      </w:r>
      <w:r w:rsidR="009F541F">
        <w:rPr>
          <w:rFonts w:eastAsiaTheme="minorEastAsia" w:hint="eastAsia"/>
        </w:rPr>
        <w:instrText>‐</w:instrText>
      </w:r>
      <w:r w:rsidR="009F541F">
        <w:rPr>
          <w:rFonts w:eastAsiaTheme="minorEastAsia" w:hint="eastAsia"/>
        </w:rPr>
        <w:instrText>supported paradigm was that highly pathogenic avian influenza (HPAI) outbreaks were restricted to poultry, the result of cross</w:instrText>
      </w:r>
      <w:r w:rsidR="009F541F">
        <w:rPr>
          <w:rFonts w:eastAsiaTheme="minorEastAsia" w:hint="eastAsia"/>
        </w:rPr>
        <w:instrText>‐</w:instrText>
      </w:r>
      <w:r w:rsidR="009F541F">
        <w:rPr>
          <w:rFonts w:eastAsiaTheme="minorEastAsia" w:hint="eastAsia"/>
        </w:rPr>
        <w:instrText>species transmission of precursor viruses from wil</w:instrText>
      </w:r>
      <w:r w:rsidR="009F541F">
        <w:rPr>
          <w:rFonts w:eastAsiaTheme="minorEastAsia"/>
        </w:rPr>
        <w:instrText>d aquatic birds that subsequently gained pathogenicity in domestic birds. Therefore, management agencies typically adopted a prevention, control, and eradication strategy that included strict biosecurity for domestic bird production, isolation of infected and exposed flocks, and prompt depopulation. In most cases, this strategy has proved sufficient for eradicating HPAI. Since 2002, this paradigm has been challenged with many detections of viral descendants of the Gs/GD lineage among wild birds, most of which have been associated with sporadic mortality events. Since the emergence and evolution of the genetically distinct clade 2.3.4.4 Gs/GD lineage HPAI viruses in approximately 2010, there have been further increases in the occurrence of HPAI in wild birds and geographic spread through migratory bird movement. A prominent example is the introduction of clade 2.3.4.4 Gs/GD HPAI viruses from East Asia to North America via migratory birds in autumn 2014 that ultimately led to the largest outbreak of HPAI in the history of the United States. Given the apparent maintenance of Gs/GD lineage HPAI viruses in a global avian reservoir; bidirectional virus exchange between wild and domestic birds facilitating the continued adaptation of Gs/GD HPAI viruses in wild bird hosts; the current frequency of HPAI outbreaks in wild birds globally, and particularly in Eurasia where Gs/GD HPAI viruses may now be enzootic; and ongoing dispersal of AI viruses from East Asia to North America via migratory birds, HPAI now represents an emerging disease threat to North American wildlife. This recent paradigm shift implies that management of HPAI in domestic birds alone may no longer be sufficient to eradicate HPAI viruses from a given country or region. Rather, agencies managing wild birds and their habitats may consider the development or adoption of mitigation strategies to minimize introductions to poultry, to reduce negative impacts on wild bird populations, and to diminish adverse effects to stakeholders using wildlife resources. The main objective of this review is, therefore, to provide information that will assist wildlife managers in developing mitigation strategies or approaches for dealing with outbreaks of Gs/GD HPAI in wild birds in the form of preparedness, surveillan</w:instrText>
      </w:r>
      <w:r w:rsidR="009F541F">
        <w:rPr>
          <w:rFonts w:eastAsiaTheme="minorEastAsia" w:hint="eastAsia"/>
        </w:rPr>
        <w:instrText>ce, research, communications, and targeted management actions. Resultant outbreak response plans and actions may represent meaningful steps of wildlife managers toward the use of collaborative and multi</w:instrText>
      </w:r>
      <w:r w:rsidR="009F541F">
        <w:rPr>
          <w:rFonts w:eastAsiaTheme="minorEastAsia" w:hint="eastAsia"/>
        </w:rPr>
        <w:instrText>‐</w:instrText>
      </w:r>
      <w:r w:rsidR="009F541F">
        <w:rPr>
          <w:rFonts w:eastAsiaTheme="minorEastAsia" w:hint="eastAsia"/>
        </w:rPr>
        <w:instrText>jurisdictional One Health approaches when it comes to the detection, investigation, and mitigation of emerging viruses at the human</w:instrText>
      </w:r>
      <w:r w:rsidR="009F541F">
        <w:rPr>
          <w:rFonts w:eastAsiaTheme="minorEastAsia" w:hint="eastAsia"/>
        </w:rPr>
        <w:instrText>‐</w:instrText>
      </w:r>
      <w:r w:rsidR="009F541F">
        <w:rPr>
          <w:rFonts w:eastAsiaTheme="minorEastAsia" w:hint="eastAsia"/>
        </w:rPr>
        <w:instrText>domestic animal</w:instrText>
      </w:r>
      <w:r w:rsidR="009F541F">
        <w:rPr>
          <w:rFonts w:eastAsiaTheme="minorEastAsia" w:hint="eastAsia"/>
        </w:rPr>
        <w:instrText>‐</w:instrText>
      </w:r>
      <w:r w:rsidR="009F541F">
        <w:rPr>
          <w:rFonts w:eastAsiaTheme="minorEastAsia" w:hint="eastAsia"/>
        </w:rPr>
        <w:instrText>wildlife interface.","container-title":"The Journal of Wildlife Management","DOI":"10.1002/jwmg.22171","ISSN":"0022-541X, 1937-2817","issue":"2","journalAbbrev</w:instrText>
      </w:r>
      <w:r w:rsidR="009F541F">
        <w:rPr>
          <w:rFonts w:eastAsiaTheme="minorEastAsia"/>
        </w:rPr>
        <w:instrText>iation":"J Wildl Manag","language":"en","page":"e22171","source":"DOI.org (Crossref)","title":"Highly pathogenic avian influenza is an emerging disease threat to wild birds in North America","volume":"86","author":[{"family":"Ramey","given":"Andrew M."},{"family":"Hill","given":"Nichola J."},{"family":"DeLiberto","given":"Thomas J."},{"family":"Gibbs","given":"Samantha E. J."},{"family":"Camille Hopkins","given":"M."},{"family":"Lang","given":"Andrew S."},{"family":"Poulson","given":"Rebecca L."},{"family</w:instrText>
      </w:r>
      <w:r w:rsidR="009F541F">
        <w:rPr>
          <w:rFonts w:eastAsiaTheme="minorEastAsia" w:hint="eastAsia"/>
        </w:rPr>
        <w:instrText>":"Prosser","given":"Diann J."},{"family":"Sleeman","given":"Jonathan M."},{"family":"Stallknecht","given":"David E."},{"family":"Wan","given":"Xiu</w:instrText>
      </w:r>
      <w:r w:rsidR="009F541F">
        <w:rPr>
          <w:rFonts w:eastAsiaTheme="minorEastAsia" w:hint="eastAsia"/>
        </w:rPr>
        <w:instrText>‐</w:instrText>
      </w:r>
      <w:r w:rsidR="009F541F">
        <w:rPr>
          <w:rFonts w:eastAsiaTheme="minorEastAsia" w:hint="eastAsia"/>
        </w:rPr>
        <w:instrText>Feng"}],"issued":{"date-parts":[["2022",2]]}}}],"schema":"https://github.com/citation-style-language/schema</w:instrText>
      </w:r>
      <w:r w:rsidR="009F541F">
        <w:rPr>
          <w:rFonts w:eastAsiaTheme="minorEastAsia"/>
        </w:rPr>
        <w:instrText xml:space="preserve">/raw/master/csl-citation.json"} </w:instrText>
      </w:r>
      <w:r w:rsidRPr="00520FD0">
        <w:rPr>
          <w:rFonts w:eastAsiaTheme="minorEastAsia"/>
        </w:rPr>
        <w:fldChar w:fldCharType="separate"/>
      </w:r>
      <w:r w:rsidR="009F541F" w:rsidRPr="009F541F">
        <w:t xml:space="preserve">(Olsen </w:t>
      </w:r>
      <w:r w:rsidR="009F541F" w:rsidRPr="00DA5824">
        <w:t>et al.</w:t>
      </w:r>
      <w:r w:rsidR="009F541F" w:rsidRPr="009F541F">
        <w:t xml:space="preserve"> 2006; Ramey </w:t>
      </w:r>
      <w:r w:rsidR="009F541F" w:rsidRPr="00DA5824">
        <w:t>et al</w:t>
      </w:r>
      <w:r w:rsidR="009F541F" w:rsidRPr="009F541F">
        <w:rPr>
          <w:i/>
          <w:iCs/>
        </w:rPr>
        <w:t>.</w:t>
      </w:r>
      <w:r w:rsidR="009F541F" w:rsidRPr="009F541F">
        <w:t xml:space="preserve"> 2022)</w:t>
      </w:r>
      <w:r w:rsidRPr="00520FD0">
        <w:rPr>
          <w:rFonts w:eastAsiaTheme="minorEastAsia"/>
        </w:rPr>
        <w:fldChar w:fldCharType="end"/>
      </w:r>
      <w:r w:rsidRPr="00520FD0">
        <w:rPr>
          <w:rFonts w:eastAsiaTheme="minorEastAsia"/>
        </w:rPr>
        <w:t>.</w:t>
      </w:r>
    </w:p>
    <w:p w14:paraId="586ED8C4" w14:textId="0EB0D8A3" w:rsidR="00AD78A7" w:rsidRPr="00520FD0" w:rsidRDefault="00AD78A7" w:rsidP="00AD78A7">
      <w:pPr>
        <w:rPr>
          <w:rFonts w:eastAsiaTheme="minorEastAsia"/>
        </w:rPr>
      </w:pPr>
      <w:r w:rsidRPr="00520FD0">
        <w:rPr>
          <w:rFonts w:eastAsiaTheme="minorEastAsia"/>
        </w:rPr>
        <w:t>Since 2006, HPAI viruses have proliferated throughout 38 countries in Asia, Europe, Africa and the Middle East.</w:t>
      </w:r>
      <w:r w:rsidR="00BE3EC4">
        <w:rPr>
          <w:rFonts w:eastAsiaTheme="minorEastAsia"/>
        </w:rPr>
        <w:t xml:space="preserve"> </w:t>
      </w:r>
      <w:r w:rsidRPr="00520FD0">
        <w:rPr>
          <w:rFonts w:eastAsiaTheme="minorEastAsia"/>
        </w:rPr>
        <w:t xml:space="preserve">Affected wild bird taxa predominantly include ducks, geese, swans, gulls, crows and raptors </w:t>
      </w:r>
      <w:r w:rsidRPr="00520FD0">
        <w:rPr>
          <w:rFonts w:eastAsiaTheme="minorEastAsia"/>
        </w:rPr>
        <w:fldChar w:fldCharType="begin"/>
      </w:r>
      <w:r w:rsidRPr="00520FD0">
        <w:rPr>
          <w:rFonts w:eastAsiaTheme="minorEastAsia"/>
        </w:rPr>
        <w:instrText xml:space="preserve"> ADDIN ZOTERO_ITEM CSL_CITATION {"citationID":"lmx9Qm9s","properties":{"formattedCitation":"(Brown 2010)","plainCitation":"(Brown 2010)","noteIndex":0},"citationItems":[{"id":9542,"uris":["http://zotero.org/users/634364/items/5SG38FTV"],"itemData":{"id":9542,"type":"article-journal","container-title":"Avian diseases","issue":"s1","page":"187–193","title":"Summary of avian influenza activity in Europe, Asia, and Africa, 2006–2009","volume":"54","author":[{"family":"Brown","given":"Ian H"}],"issued":{"date-parts":[["2010"]]}}}],"schema":"https://github.com/citation-style-language/schema/raw/master/csl-citation.json"} </w:instrText>
      </w:r>
      <w:r w:rsidRPr="00520FD0">
        <w:rPr>
          <w:rFonts w:eastAsiaTheme="minorEastAsia"/>
        </w:rPr>
        <w:fldChar w:fldCharType="separate"/>
      </w:r>
      <w:r w:rsidR="009F541F" w:rsidRPr="009F541F">
        <w:t>(Brown 2010)</w:t>
      </w:r>
      <w:r w:rsidRPr="00520FD0">
        <w:rPr>
          <w:rFonts w:eastAsiaTheme="minorEastAsia"/>
        </w:rPr>
        <w:fldChar w:fldCharType="end"/>
      </w:r>
      <w:r w:rsidRPr="00520FD0">
        <w:rPr>
          <w:rFonts w:eastAsiaTheme="minorEastAsia"/>
        </w:rPr>
        <w:t>.</w:t>
      </w:r>
      <w:r w:rsidR="00BE3EC4">
        <w:rPr>
          <w:rFonts w:eastAsiaTheme="minorEastAsia"/>
        </w:rPr>
        <w:t xml:space="preserve"> </w:t>
      </w:r>
      <w:r w:rsidRPr="00520FD0">
        <w:rPr>
          <w:rFonts w:eastAsiaTheme="minorEastAsia"/>
        </w:rPr>
        <w:t>Since 2021, a strain of HPAI (H5N1 clade 2.3.4.4b) has caused ongoing outbreaks of disease in wild birds throughout North and South America, Europe, Asia and recently, Antarctica.</w:t>
      </w:r>
      <w:r w:rsidR="00BE3EC4">
        <w:rPr>
          <w:rFonts w:eastAsiaTheme="minorEastAsia"/>
        </w:rPr>
        <w:t xml:space="preserve"> </w:t>
      </w:r>
      <w:r w:rsidRPr="00520FD0">
        <w:rPr>
          <w:rFonts w:eastAsiaTheme="minorEastAsia"/>
        </w:rPr>
        <w:t>Mortalities have been observed in a wide range of bird and mammal species.</w:t>
      </w:r>
      <w:r w:rsidR="00BE3EC4">
        <w:rPr>
          <w:rFonts w:eastAsiaTheme="minorEastAsia"/>
        </w:rPr>
        <w:t xml:space="preserve"> </w:t>
      </w:r>
      <w:r w:rsidRPr="00520FD0">
        <w:rPr>
          <w:rFonts w:eastAsiaTheme="minorEastAsia"/>
        </w:rPr>
        <w:t xml:space="preserve">Between October 2021 and December 2023, there </w:t>
      </w:r>
      <w:r w:rsidR="00631005">
        <w:rPr>
          <w:rFonts w:eastAsiaTheme="minorEastAsia"/>
        </w:rPr>
        <w:t>were</w:t>
      </w:r>
      <w:r w:rsidRPr="00520FD0">
        <w:rPr>
          <w:rFonts w:eastAsiaTheme="minorEastAsia"/>
        </w:rPr>
        <w:t xml:space="preserve"> over 0.5M mortalities recorded in </w:t>
      </w:r>
      <w:r w:rsidR="00D535D6">
        <w:rPr>
          <w:rFonts w:eastAsiaTheme="minorEastAsia"/>
        </w:rPr>
        <w:t>600</w:t>
      </w:r>
      <w:r w:rsidRPr="00520FD0">
        <w:rPr>
          <w:rFonts w:eastAsiaTheme="minorEastAsia"/>
        </w:rPr>
        <w:t xml:space="preserve"> species of wild birds</w:t>
      </w:r>
      <w:r w:rsidR="007A01C1">
        <w:rPr>
          <w:rFonts w:eastAsiaTheme="minorEastAsia"/>
        </w:rPr>
        <w:t xml:space="preserve"> (mainly seabirds)</w:t>
      </w:r>
      <w:r w:rsidRPr="00520FD0">
        <w:rPr>
          <w:rFonts w:eastAsiaTheme="minorEastAsia"/>
        </w:rPr>
        <w:t xml:space="preserve"> and over 50</w:t>
      </w:r>
      <w:r w:rsidR="0043776B">
        <w:rPr>
          <w:rFonts w:eastAsiaTheme="minorEastAsia"/>
        </w:rPr>
        <w:t>K</w:t>
      </w:r>
      <w:r w:rsidRPr="00520FD0">
        <w:rPr>
          <w:rFonts w:eastAsiaTheme="minorEastAsia"/>
        </w:rPr>
        <w:t xml:space="preserve"> mortalities in at least </w:t>
      </w:r>
      <w:r w:rsidR="00CF576A">
        <w:rPr>
          <w:rFonts w:eastAsiaTheme="minorEastAsia"/>
        </w:rPr>
        <w:t>8</w:t>
      </w:r>
      <w:r w:rsidRPr="00520FD0">
        <w:rPr>
          <w:rFonts w:eastAsiaTheme="minorEastAsia"/>
        </w:rPr>
        <w:t>0 species of mammals</w:t>
      </w:r>
      <w:r w:rsidR="007A01C1">
        <w:rPr>
          <w:rFonts w:eastAsiaTheme="minorEastAsia"/>
        </w:rPr>
        <w:t xml:space="preserve"> (mainly marine)</w:t>
      </w:r>
      <w:r w:rsidRPr="00520FD0">
        <w:rPr>
          <w:rFonts w:eastAsiaTheme="minorEastAsia"/>
        </w:rPr>
        <w:t xml:space="preserve"> </w:t>
      </w:r>
      <w:r w:rsidR="00CB5A2B">
        <w:rPr>
          <w:rFonts w:eastAsiaTheme="minorEastAsia"/>
        </w:rPr>
        <w:fldChar w:fldCharType="begin"/>
      </w:r>
      <w:r w:rsidR="00CB5A2B">
        <w:rPr>
          <w:rFonts w:eastAsiaTheme="minorEastAsia"/>
        </w:rPr>
        <w:instrText xml:space="preserve"> ADDIN ZOTERO_ITEM CSL_CITATION {"citationID":"ItubpN14","properties":{"formattedCitation":"(FAO 2024)","plainCitation":"(FAO 2024)","noteIndex":0},"citationItems":[{"id":9656,"uris":["http://zotero.org/users/634364/items/M7X5LW6R"],"itemData":{"id":9656,"type":"post-weblog","title":"Global Avian Influenza Viruses with Zoonotic Potential situation update","URL":"https://www.fao.org/animal-health/situation-updates/global-aiv-with-zoonotic-potential/bird-species-affected-by-h5nx-hpai/en","author":[{"family":"FAO","given":""}],"issued":{"date-parts":[["2024"]]}}}],"schema":"https://github.com/citation-style-language/schema/raw/master/csl-citation.json"} </w:instrText>
      </w:r>
      <w:r w:rsidR="00CB5A2B">
        <w:rPr>
          <w:rFonts w:eastAsiaTheme="minorEastAsia"/>
        </w:rPr>
        <w:fldChar w:fldCharType="separate"/>
      </w:r>
      <w:r w:rsidR="009F541F" w:rsidRPr="009F541F">
        <w:rPr>
          <w:rFonts w:eastAsiaTheme="minorEastAsia"/>
        </w:rPr>
        <w:t>(FAO 2024)</w:t>
      </w:r>
      <w:r w:rsidR="00CB5A2B">
        <w:rPr>
          <w:rFonts w:eastAsiaTheme="minorEastAsia"/>
        </w:rPr>
        <w:fldChar w:fldCharType="end"/>
      </w:r>
      <w:r w:rsidR="00A85A3D">
        <w:rPr>
          <w:rFonts w:eastAsiaTheme="minorEastAsia"/>
        </w:rPr>
        <w:t>.</w:t>
      </w:r>
      <w:r w:rsidR="00BE3EC4">
        <w:rPr>
          <w:rFonts w:eastAsiaTheme="minorEastAsia"/>
        </w:rPr>
        <w:t xml:space="preserve"> </w:t>
      </w:r>
      <w:r w:rsidRPr="00520FD0">
        <w:rPr>
          <w:rFonts w:eastAsiaTheme="minorEastAsia"/>
        </w:rPr>
        <w:t>Outbreaks in penguins have included the 2018 outbreak of H5N1 in African Penguins (</w:t>
      </w:r>
      <w:r w:rsidRPr="00590856">
        <w:rPr>
          <w:rFonts w:eastAsiaTheme="minorEastAsia"/>
          <w:i/>
          <w:iCs/>
        </w:rPr>
        <w:t xml:space="preserve">Spheniscus </w:t>
      </w:r>
      <w:proofErr w:type="spellStart"/>
      <w:r w:rsidRPr="00590856">
        <w:rPr>
          <w:rFonts w:eastAsiaTheme="minorEastAsia"/>
          <w:i/>
          <w:iCs/>
        </w:rPr>
        <w:t>demersus</w:t>
      </w:r>
      <w:proofErr w:type="spellEnd"/>
      <w:r w:rsidRPr="00520FD0">
        <w:rPr>
          <w:rFonts w:eastAsiaTheme="minorEastAsia"/>
        </w:rPr>
        <w:t xml:space="preserve">), which resulted in an estimated 1000 deaths </w:t>
      </w:r>
      <w:r w:rsidRPr="00520FD0">
        <w:rPr>
          <w:rFonts w:eastAsiaTheme="minorEastAsia"/>
        </w:rPr>
        <w:lastRenderedPageBreak/>
        <w:t xml:space="preserve">in the breeding population of around 7000 individuals </w:t>
      </w:r>
      <w:r w:rsidRPr="00520FD0">
        <w:rPr>
          <w:rFonts w:eastAsiaTheme="minorEastAsia"/>
        </w:rPr>
        <w:fldChar w:fldCharType="begin"/>
      </w:r>
      <w:r w:rsidR="009F541F">
        <w:rPr>
          <w:rFonts w:eastAsiaTheme="minorEastAsia"/>
        </w:rPr>
        <w:instrText xml:space="preserve"> ADDIN ZOTERO_ITEM CSL_CITATION {"citationID":"x85GMR00","properties":{"formattedCitation":"(Molini {\\i{}et al.} 2020; Roberts {\\i{}et al.} 2024)","plainCitation":"(Molini et al. 2020; Roberts et al. 2024)","noteIndex":0},"citationItems":[{"id":9538,"uris":["http://zotero.org/users/634364/items/DYH37ZPW"],"itemData":{"id":9538,"type":"article-journal","abstract":"In January 2019, high mortalities were reported among African Penguins (Spheniscus demersus) in a breeding colony on Halifax Island, Namibia, Africa. Analysis of samples by reverse transcription quantitative PCR indicated the presence of highly pathogenic avian influenza (HPAI) subtype H5N8. Sequence analysis of the hemagglutinin and neuraminidase genes confirmed the presence of the virus in the birds and its high similarity to HPAI subtype H5N8 identified in South Africa in 2017. There have been no previous reports of HPAI H5N8 in Namibia.","container-title":"Journal of Wildlife Diseases","DOI":"10.7589/2019-03-067","ISSN":"0090-3558","issue":"1","journalAbbreviation":"Journal of Wildlife Diseases","language":"en","page":"214","source":"DOI.org (Crossref)","title":"Avian Influenza H5N8 Outbreak in African Penguins (Spheniscus demersus), Namibia, 2019","volume":"56","author":[{"family":"Molini","given":"Umberto"},{"family":"Aikukutu","given":"Gottlieb"},{"family":"Roux","given":"Jean-Paul"},{"family":"Kemper","given":"Jessica"},{"family":"Ntahonshikira","given":"Charles"},{"family":"Marruchella","given":"Giuseppe"},{"family":"Khaiseb","given":"Siegfried"},{"family":"Cattoli","given":"Giovanni"},{"family":"Dundon","given":"William G."}],"issued":{"date-parts":[["2020",1,6]]}}},{"id":9544,"uris":["http://zotero.org/users/634364/items/RU6JUDME"],"itemData":{"id":9544,"type":"article-journal","container-title":"Veterinary Record","issue":"2","note":"publisher: Wiley Online Library","page":"no–no","title":"Vaccination of African penguins (Spheniscus demersus) against high-pathogenicity avian influenza","volume":"194","author":[{"family":"Roberts","given":"Laura Christl"},{"family":"Abernethy","given":"Darrell"},{"family":"Roberts","given":"David Gordon"},{"family":"Ludynia","given":"Katrin"},{"family":"O'Kennedy","given":"Martha Magaretha"},{"family":"Abolnik","given":"Celia"}],"issued":{"date-parts":[["2024"]]}}}],"schema":"https://github.com/citation-style-language/schema/raw/master/csl-citation.json"} </w:instrText>
      </w:r>
      <w:r w:rsidRPr="00520FD0">
        <w:rPr>
          <w:rFonts w:eastAsiaTheme="minorEastAsia"/>
        </w:rPr>
        <w:fldChar w:fldCharType="separate"/>
      </w:r>
      <w:r w:rsidR="009F541F" w:rsidRPr="009F541F">
        <w:t xml:space="preserve">(Molini </w:t>
      </w:r>
      <w:r w:rsidR="009F541F" w:rsidRPr="00DA5824">
        <w:t>et al</w:t>
      </w:r>
      <w:r w:rsidR="009F541F" w:rsidRPr="009F541F">
        <w:rPr>
          <w:i/>
          <w:iCs/>
        </w:rPr>
        <w:t>.</w:t>
      </w:r>
      <w:r w:rsidR="009F541F" w:rsidRPr="009F541F">
        <w:t xml:space="preserve"> 2020; Roberts </w:t>
      </w:r>
      <w:r w:rsidR="009F541F" w:rsidRPr="00DA5824">
        <w:t>et al.</w:t>
      </w:r>
      <w:r w:rsidR="009F541F" w:rsidRPr="00631005">
        <w:t xml:space="preserve"> </w:t>
      </w:r>
      <w:r w:rsidR="009F541F" w:rsidRPr="009F541F">
        <w:t>2024)</w:t>
      </w:r>
      <w:r w:rsidRPr="00520FD0">
        <w:rPr>
          <w:rFonts w:eastAsiaTheme="minorEastAsia"/>
        </w:rPr>
        <w:fldChar w:fldCharType="end"/>
      </w:r>
      <w:r w:rsidRPr="00520FD0">
        <w:rPr>
          <w:rFonts w:eastAsiaTheme="minorEastAsia"/>
        </w:rPr>
        <w:t>, suggesting mortality rates in excess of 14%.</w:t>
      </w:r>
      <w:r w:rsidR="00BE3EC4">
        <w:rPr>
          <w:rFonts w:eastAsiaTheme="minorEastAsia"/>
        </w:rPr>
        <w:t xml:space="preserve"> </w:t>
      </w:r>
      <w:r w:rsidRPr="00520FD0">
        <w:rPr>
          <w:rFonts w:eastAsiaTheme="minorEastAsia"/>
        </w:rPr>
        <w:t xml:space="preserve">More recently, mortalities due to HPAI have been reported in Gentoo Penguins in the Falkland Islands and King Penguins on South Georgia in the South Atlantic Ocean </w:t>
      </w:r>
      <w:r w:rsidRPr="00520FD0">
        <w:rPr>
          <w:rFonts w:eastAsiaTheme="minorEastAsia"/>
        </w:rPr>
        <w:fldChar w:fldCharType="begin"/>
      </w:r>
      <w:r w:rsidR="009F541F">
        <w:rPr>
          <w:rFonts w:eastAsiaTheme="minorEastAsia"/>
        </w:rPr>
        <w:instrText xml:space="preserve"> ADDIN ZOTERO_ITEM CSL_CITATION {"citationID":"7upecGjh","properties":{"formattedCitation":"(Vaughan-Higgins {\\i{}et al.} 2024)","plainCitation":"(Vaughan-Higgins et al. 2024)","noteIndex":0},"citationItems":[{"id":9550,"uris":["http://zotero.org/users/634364/items/RB9CABHX"],"itemData":{"id":9550,"type":"report","event-place":"University of Melbourne.","publisher":"Report prepared for Phillip Island Nature Parks","publisher-place":"University of Melbourne.","title":"Phillip Island (Millowl) Little Penguin (Eudyptula minor) disease risk assessment","author":[{"family":"Vaughan-Higgins","given":"R."},{"family":"Skerratt","given":"Lee F"},{"family":"Hufschmid","given":"Jasmin"}],"issued":{"date-parts":[["2024"]]}}}],"schema":"https://github.com/citation-style-language/schema/raw/master/csl-citation.json"} </w:instrText>
      </w:r>
      <w:r w:rsidRPr="00520FD0">
        <w:rPr>
          <w:rFonts w:eastAsiaTheme="minorEastAsia"/>
        </w:rPr>
        <w:fldChar w:fldCharType="separate"/>
      </w:r>
      <w:r w:rsidR="009F541F" w:rsidRPr="009F541F">
        <w:t xml:space="preserve">(Vaughan-Higgins </w:t>
      </w:r>
      <w:r w:rsidR="009F541F" w:rsidRPr="00DA5824">
        <w:t>et al</w:t>
      </w:r>
      <w:r w:rsidR="009F541F" w:rsidRPr="009F541F">
        <w:rPr>
          <w:i/>
          <w:iCs/>
        </w:rPr>
        <w:t>.</w:t>
      </w:r>
      <w:r w:rsidR="009F541F" w:rsidRPr="009F541F">
        <w:t xml:space="preserve"> 2024)</w:t>
      </w:r>
      <w:r w:rsidRPr="00520FD0">
        <w:rPr>
          <w:rFonts w:eastAsiaTheme="minorEastAsia"/>
        </w:rPr>
        <w:fldChar w:fldCharType="end"/>
      </w:r>
      <w:r w:rsidRPr="00520FD0">
        <w:rPr>
          <w:rFonts w:eastAsiaTheme="minorEastAsia"/>
        </w:rPr>
        <w:t>.</w:t>
      </w:r>
    </w:p>
    <w:p w14:paraId="2F7EC3DA" w14:textId="4C790F4D" w:rsidR="00AD78A7" w:rsidRPr="00520FD0" w:rsidRDefault="00AD78A7" w:rsidP="00AD78A7">
      <w:pPr>
        <w:rPr>
          <w:rFonts w:eastAsiaTheme="minorEastAsia"/>
        </w:rPr>
      </w:pPr>
      <w:r w:rsidRPr="00520FD0">
        <w:rPr>
          <w:rFonts w:eastAsiaTheme="minorEastAsia"/>
        </w:rPr>
        <w:t xml:space="preserve">The Little Penguin </w:t>
      </w:r>
      <w:r w:rsidRPr="00E96A5F">
        <w:rPr>
          <w:rFonts w:eastAsiaTheme="minorEastAsia"/>
          <w:i/>
          <w:iCs/>
        </w:rPr>
        <w:t>(</w:t>
      </w:r>
      <w:proofErr w:type="spellStart"/>
      <w:r w:rsidRPr="00E96A5F">
        <w:rPr>
          <w:rFonts w:eastAsiaTheme="minorEastAsia"/>
          <w:i/>
          <w:iCs/>
        </w:rPr>
        <w:t>Eudyptula</w:t>
      </w:r>
      <w:proofErr w:type="spellEnd"/>
      <w:r w:rsidRPr="00E96A5F">
        <w:rPr>
          <w:rFonts w:eastAsiaTheme="minorEastAsia"/>
          <w:i/>
          <w:iCs/>
        </w:rPr>
        <w:t xml:space="preserve"> minor</w:t>
      </w:r>
      <w:r w:rsidRPr="00520FD0">
        <w:rPr>
          <w:rFonts w:eastAsiaTheme="minorEastAsia"/>
        </w:rPr>
        <w:t>) is the smallest species of penguin weighing around 1</w:t>
      </w:r>
      <w:r w:rsidR="00631005">
        <w:rPr>
          <w:rFonts w:eastAsiaTheme="minorEastAsia"/>
        </w:rPr>
        <w:t>–</w:t>
      </w:r>
      <w:r w:rsidRPr="00520FD0">
        <w:rPr>
          <w:rFonts w:eastAsiaTheme="minorEastAsia"/>
        </w:rPr>
        <w:t>1.2 kg.</w:t>
      </w:r>
      <w:r w:rsidR="00BE3EC4">
        <w:rPr>
          <w:rFonts w:eastAsiaTheme="minorEastAsia"/>
        </w:rPr>
        <w:t xml:space="preserve"> </w:t>
      </w:r>
      <w:r w:rsidRPr="00520FD0">
        <w:rPr>
          <w:rFonts w:eastAsiaTheme="minorEastAsia"/>
        </w:rPr>
        <w:t>It is only found in southern Australia and New Zealand</w:t>
      </w:r>
      <w:r w:rsidR="00451B0E">
        <w:rPr>
          <w:rFonts w:eastAsiaTheme="minorEastAsia"/>
        </w:rPr>
        <w:t>,</w:t>
      </w:r>
      <w:r w:rsidRPr="00520FD0">
        <w:rPr>
          <w:rFonts w:eastAsiaTheme="minorEastAsia"/>
        </w:rPr>
        <w:t xml:space="preserve"> with the largest Australian colony</w:t>
      </w:r>
      <w:r w:rsidR="00451B0E" w:rsidRPr="00451B0E">
        <w:t xml:space="preserve"> </w:t>
      </w:r>
      <w:r w:rsidR="00451B0E">
        <w:t>(</w:t>
      </w:r>
      <w:r w:rsidR="00451B0E" w:rsidRPr="00451B0E">
        <w:rPr>
          <w:rFonts w:eastAsiaTheme="minorEastAsia"/>
        </w:rPr>
        <w:t xml:space="preserve">of around </w:t>
      </w:r>
      <w:r w:rsidR="000958D8">
        <w:rPr>
          <w:rFonts w:eastAsiaTheme="minorEastAsia"/>
        </w:rPr>
        <w:t>40</w:t>
      </w:r>
      <w:r w:rsidR="00451B0E" w:rsidRPr="00451B0E">
        <w:rPr>
          <w:rFonts w:eastAsiaTheme="minorEastAsia"/>
        </w:rPr>
        <w:t>,000 birds</w:t>
      </w:r>
      <w:r w:rsidR="00451B0E">
        <w:rPr>
          <w:rFonts w:eastAsiaTheme="minorEastAsia"/>
        </w:rPr>
        <w:t>)</w:t>
      </w:r>
      <w:r w:rsidRPr="00520FD0">
        <w:rPr>
          <w:rFonts w:eastAsiaTheme="minorEastAsia"/>
        </w:rPr>
        <w:t xml:space="preserve"> found on Phillip Island</w:t>
      </w:r>
      <w:r w:rsidR="00451B0E">
        <w:rPr>
          <w:rFonts w:eastAsiaTheme="minorEastAsia"/>
        </w:rPr>
        <w:t xml:space="preserve"> </w:t>
      </w:r>
      <w:r w:rsidRPr="00520FD0">
        <w:rPr>
          <w:rFonts w:eastAsiaTheme="minorEastAsia"/>
        </w:rPr>
        <w:fldChar w:fldCharType="begin"/>
      </w:r>
      <w:r w:rsidRPr="00520FD0">
        <w:rPr>
          <w:rFonts w:eastAsiaTheme="minorEastAsia"/>
        </w:rPr>
        <w:instrText xml:space="preserve"> ADDIN ZOTERO_ITEM CSL_CITATION {"citationID":"X3cbEF4m","properties":{"formattedCitation":"(Sutherland and Dann 2014)","plainCitation":"(Sutherland and Dann 2014)","noteIndex":0},"citationItems":[{"id":9547,"uris":["http://zotero.org/users/634364/items/GUZ3KB5P"],"itemData":{"id":9547,"type":"article-journal","abstract":"Estimating long-term population trends is vital for the conservation and management of species, yet few trends exist and fewer still are veriﬁed with independent measures. We compared three independent measures of change in population size over 27 years (1984–2011) for a signiﬁcant Little Penguin Eudyptula minor colony in southeastern Australia: (1) a series of 13 colony-wide surveys conducted in eight separate years, (2) mean nightly counts of penguins returning to breeding sites (365 counts 9 27 years) and (3) population growth rates from a demographic model based on survival and recruitment rates measured at three sites each year. Colony-wide surveys of burrows were used as a benchmark of change in population size in the 8 years they were conducted as they were a robust measure of population size corrected for intra-annual variation in burrow occupancy using mark-recapture modelling at six reference sites. However, the demographic model matched the trend from colony-wide surveys with greater resolution in years and with less effort. Beach counts were unreliable for monitoring trends for the entire population due to its singular and peripheral location in the colony. Trends indicate a doubling of the population from 1984 to 2011 despite a marked population contraction linked to a mass mortality of a key prey species. The colony appears secure but remains subject to changes in the marine and terrestrial environments in the longer term.","container-title":"Biodiversity and Conservation","DOI":"10.1007/s10531-013-0597-y","ISSN":"0960-3115, 1572-9710","issue":"1","journalAbbreviation":"Biodivers Conserv","language":"en","license":"http://www.springer.com/tdm","page":"241-250","source":"DOI.org (Crossref)","title":"Population trends in a substantial colony of Little Penguins: three independent measures over three decades","title-short":"Population trends in a substantial colony of Little Penguins","volume":"23","author":[{"family":"Sutherland","given":"Duncan R."},{"family":"Dann","given":"Peter"}],"issued":{"date-parts":[["2014",1]]}}}],"schema":"https://github.com/citation-style-language/schema/raw/master/csl-citation.json"} </w:instrText>
      </w:r>
      <w:r w:rsidRPr="00520FD0">
        <w:rPr>
          <w:rFonts w:eastAsiaTheme="minorEastAsia"/>
        </w:rPr>
        <w:fldChar w:fldCharType="separate"/>
      </w:r>
      <w:r w:rsidR="009F541F" w:rsidRPr="009F541F">
        <w:t>(Sutherland and Dann 2014)</w:t>
      </w:r>
      <w:r w:rsidRPr="00520FD0">
        <w:rPr>
          <w:rFonts w:eastAsiaTheme="minorEastAsia"/>
        </w:rPr>
        <w:fldChar w:fldCharType="end"/>
      </w:r>
      <w:r w:rsidRPr="00520FD0">
        <w:rPr>
          <w:rFonts w:eastAsiaTheme="minorEastAsia"/>
        </w:rPr>
        <w:t>.</w:t>
      </w:r>
      <w:r w:rsidR="00BE3EC4">
        <w:rPr>
          <w:rFonts w:eastAsiaTheme="minorEastAsia"/>
        </w:rPr>
        <w:t xml:space="preserve"> </w:t>
      </w:r>
      <w:r w:rsidRPr="00520FD0">
        <w:rPr>
          <w:rFonts w:eastAsiaTheme="minorEastAsia"/>
        </w:rPr>
        <w:t xml:space="preserve">Overall, the population is considered to be stable and is listed as of ‘least concern’ by the IUCN </w:t>
      </w:r>
      <w:r w:rsidR="00F95A8E">
        <w:rPr>
          <w:rFonts w:eastAsiaTheme="minorEastAsia"/>
        </w:rPr>
        <w:fldChar w:fldCharType="begin"/>
      </w:r>
      <w:r w:rsidR="00F95A8E">
        <w:rPr>
          <w:rFonts w:eastAsiaTheme="minorEastAsia"/>
        </w:rPr>
        <w:instrText xml:space="preserve"> ADDIN ZOTERO_ITEM CSL_CITATION {"citationID":"in3f655c","properties":{"formattedCitation":"(IUCN 2024)","plainCitation":"(IUCN 2024)","noteIndex":0},"citationItems":[{"id":9717,"uris":["http://zotero.org/users/634364/items/UIYHN3NN"],"itemData":{"id":9717,"type":"webpage","title":"The IUCN red list of threatened species. Version 2024-1","URL":"http://www.iucnredlist.org","author":[{"literal":"IUCN"}],"accessed":{"date-parts":[["2024",9,30]]},"issued":{"date-parts":[["2024"]]}}}],"schema":"https://github.com/citation-style-language/schema/raw/master/csl-citation.json"} </w:instrText>
      </w:r>
      <w:r w:rsidR="00F95A8E">
        <w:rPr>
          <w:rFonts w:eastAsiaTheme="minorEastAsia"/>
        </w:rPr>
        <w:fldChar w:fldCharType="separate"/>
      </w:r>
      <w:r w:rsidR="00F95A8E" w:rsidRPr="00F95A8E">
        <w:rPr>
          <w:rFonts w:eastAsiaTheme="minorEastAsia"/>
        </w:rPr>
        <w:t>(IUCN 2024)</w:t>
      </w:r>
      <w:r w:rsidR="00F95A8E">
        <w:rPr>
          <w:rFonts w:eastAsiaTheme="minorEastAsia"/>
        </w:rPr>
        <w:fldChar w:fldCharType="end"/>
      </w:r>
      <w:r w:rsidRPr="00520FD0">
        <w:rPr>
          <w:rFonts w:eastAsiaTheme="minorEastAsia"/>
        </w:rPr>
        <w:t>.</w:t>
      </w:r>
      <w:r w:rsidR="00BE3EC4">
        <w:rPr>
          <w:rFonts w:eastAsiaTheme="minorEastAsia"/>
        </w:rPr>
        <w:t xml:space="preserve"> </w:t>
      </w:r>
      <w:r w:rsidRPr="00520FD0">
        <w:rPr>
          <w:rFonts w:eastAsiaTheme="minorEastAsia"/>
        </w:rPr>
        <w:t>Management of Little Penguins on Phillip Island has concentrated on eliminating predation by foxes, as well as curtailing habitat destruction and human disturbance.</w:t>
      </w:r>
      <w:r w:rsidR="00BE3EC4">
        <w:rPr>
          <w:rFonts w:eastAsiaTheme="minorEastAsia"/>
        </w:rPr>
        <w:t xml:space="preserve"> </w:t>
      </w:r>
      <w:r w:rsidRPr="00520FD0">
        <w:rPr>
          <w:rFonts w:eastAsiaTheme="minorEastAsia"/>
        </w:rPr>
        <w:t xml:space="preserve">It has been considered that an incursion of H5N1 into the Little Penguin colony on Phillip Island could have serious </w:t>
      </w:r>
      <w:r w:rsidR="00967AF1">
        <w:rPr>
          <w:rFonts w:eastAsiaTheme="minorEastAsia"/>
        </w:rPr>
        <w:t>animal welfare</w:t>
      </w:r>
      <w:r w:rsidRPr="00520FD0">
        <w:rPr>
          <w:rFonts w:eastAsiaTheme="minorEastAsia"/>
        </w:rPr>
        <w:t xml:space="preserve"> and economic consequences </w:t>
      </w:r>
      <w:r w:rsidR="003C03AD">
        <w:rPr>
          <w:rFonts w:eastAsiaTheme="minorEastAsia"/>
        </w:rPr>
        <w:t xml:space="preserve">for the ecotourism industry based around this </w:t>
      </w:r>
      <w:r w:rsidRPr="00520FD0">
        <w:rPr>
          <w:rFonts w:eastAsiaTheme="minorEastAsia"/>
        </w:rPr>
        <w:t>population.</w:t>
      </w:r>
    </w:p>
    <w:p w14:paraId="16418012" w14:textId="01EC9F0D" w:rsidR="00AD78A7" w:rsidRDefault="00AD78A7" w:rsidP="001E2D13">
      <w:pPr>
        <w:rPr>
          <w:rFonts w:eastAsiaTheme="minorEastAsia"/>
        </w:rPr>
      </w:pPr>
      <w:r w:rsidRPr="00520FD0">
        <w:rPr>
          <w:rFonts w:eastAsiaTheme="minorEastAsia"/>
        </w:rPr>
        <w:t xml:space="preserve">To </w:t>
      </w:r>
      <w:r w:rsidR="000958D8">
        <w:rPr>
          <w:rFonts w:eastAsiaTheme="minorEastAsia"/>
        </w:rPr>
        <w:t>i</w:t>
      </w:r>
      <w:r w:rsidRPr="00520FD0">
        <w:rPr>
          <w:rFonts w:eastAsiaTheme="minorEastAsia"/>
        </w:rPr>
        <w:t>nvestigate the consequences of an outbreak of H5N1 on Little Penguins on Phillip Island</w:t>
      </w:r>
      <w:r w:rsidR="00451B0E">
        <w:rPr>
          <w:rFonts w:eastAsiaTheme="minorEastAsia"/>
        </w:rPr>
        <w:t>,</w:t>
      </w:r>
      <w:r w:rsidRPr="00520FD0">
        <w:rPr>
          <w:rFonts w:eastAsiaTheme="minorEastAsia"/>
        </w:rPr>
        <w:t xml:space="preserve"> we constructed the following </w:t>
      </w:r>
      <w:r w:rsidR="001E2D13">
        <w:rPr>
          <w:rFonts w:eastAsiaTheme="minorEastAsia"/>
        </w:rPr>
        <w:t xml:space="preserve">stochastic IBM </w:t>
      </w:r>
      <w:r w:rsidR="009801DD">
        <w:rPr>
          <w:rFonts w:eastAsiaTheme="minorEastAsia"/>
        </w:rPr>
        <w:t xml:space="preserve">(Figure </w:t>
      </w:r>
      <w:r w:rsidR="003910E6">
        <w:rPr>
          <w:rFonts w:eastAsiaTheme="minorEastAsia"/>
        </w:rPr>
        <w:t>9</w:t>
      </w:r>
      <w:r w:rsidR="009801DD">
        <w:rPr>
          <w:rFonts w:eastAsiaTheme="minorEastAsia"/>
        </w:rPr>
        <w:t xml:space="preserve">), </w:t>
      </w:r>
      <w:r w:rsidR="001E2D13">
        <w:rPr>
          <w:rFonts w:eastAsiaTheme="minorEastAsia"/>
        </w:rPr>
        <w:t xml:space="preserve">based on the set of differential equations given in </w:t>
      </w:r>
      <w:r w:rsidR="000958D8">
        <w:rPr>
          <w:rFonts w:eastAsiaTheme="minorEastAsia"/>
        </w:rPr>
        <w:t>s</w:t>
      </w:r>
      <w:r w:rsidR="00257B13">
        <w:rPr>
          <w:rFonts w:eastAsiaTheme="minorEastAsia"/>
        </w:rPr>
        <w:t>ection 6.2.</w:t>
      </w:r>
    </w:p>
    <w:p w14:paraId="5D0A0668" w14:textId="198C4A97" w:rsidR="009801DD" w:rsidRDefault="00EA69D4" w:rsidP="009801DD">
      <w:pPr>
        <w:rPr>
          <w:rFonts w:eastAsiaTheme="minorEastAsia"/>
        </w:rPr>
      </w:pPr>
      <w:r>
        <w:rPr>
          <w:rFonts w:eastAsiaTheme="minorEastAsia"/>
          <w:noProof/>
        </w:rPr>
        <w:drawing>
          <wp:inline distT="0" distB="0" distL="0" distR="0" wp14:anchorId="36164BE9" wp14:editId="1777B29F">
            <wp:extent cx="6120238" cy="1470355"/>
            <wp:effectExtent l="0" t="0" r="0" b="0"/>
            <wp:docPr id="206372953" name="Picture 3"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2953" name="Picture 3" descr="A diagram of a flowchart&#10;&#10;AI-generated content may be incorrect."/>
                    <pic:cNvPicPr/>
                  </pic:nvPicPr>
                  <pic:blipFill rotWithShape="1">
                    <a:blip r:embed="rId50" cstate="screen">
                      <a:extLst>
                        <a:ext uri="{28A0092B-C50C-407E-A947-70E740481C1C}">
                          <a14:useLocalDpi xmlns:a14="http://schemas.microsoft.com/office/drawing/2010/main" val="0"/>
                        </a:ext>
                      </a:extLst>
                    </a:blip>
                    <a:srcRect t="22735" b="34556"/>
                    <a:stretch/>
                  </pic:blipFill>
                  <pic:spPr bwMode="auto">
                    <a:xfrm>
                      <a:off x="0" y="0"/>
                      <a:ext cx="6120765" cy="1470482"/>
                    </a:xfrm>
                    <a:prstGeom prst="rect">
                      <a:avLst/>
                    </a:prstGeom>
                    <a:ln>
                      <a:noFill/>
                    </a:ln>
                    <a:extLst>
                      <a:ext uri="{53640926-AAD7-44D8-BBD7-CCE9431645EC}">
                        <a14:shadowObscured xmlns:a14="http://schemas.microsoft.com/office/drawing/2010/main"/>
                      </a:ext>
                    </a:extLst>
                  </pic:spPr>
                </pic:pic>
              </a:graphicData>
            </a:graphic>
          </wp:inline>
        </w:drawing>
      </w:r>
    </w:p>
    <w:p w14:paraId="64A4B2F9" w14:textId="709DA93B" w:rsidR="009801DD" w:rsidRDefault="009801DD" w:rsidP="003C03AD">
      <w:pPr>
        <w:pStyle w:val="Caption-Figure"/>
      </w:pPr>
      <w:bookmarkStart w:id="90" w:name="_Toc198634160"/>
      <w:r>
        <w:t xml:space="preserve">Figure </w:t>
      </w:r>
      <w:r w:rsidR="003910E6">
        <w:t>9</w:t>
      </w:r>
      <w:r>
        <w:t>. Flow chart of the HPAI Little Penguin individual-based model showing the progression of individuals through each of the model compartments.</w:t>
      </w:r>
      <w:r w:rsidR="00BE3EC4">
        <w:t xml:space="preserve"> </w:t>
      </w:r>
      <m:oMath>
        <m:r>
          <m:rPr>
            <m:sty m:val="bi"/>
          </m:rPr>
          <w:rPr>
            <w:rFonts w:ascii="Cambria Math" w:hAnsi="Cambria Math"/>
          </w:rPr>
          <m:t>S</m:t>
        </m:r>
      </m:oMath>
      <w:r>
        <w:t xml:space="preserve"> – susceptible, </w:t>
      </w:r>
      <m:oMath>
        <m:r>
          <m:rPr>
            <m:sty m:val="bi"/>
          </m:rPr>
          <w:rPr>
            <w:rFonts w:ascii="Cambria Math" w:hAnsi="Cambria Math"/>
          </w:rPr>
          <m:t>E</m:t>
        </m:r>
      </m:oMath>
      <w:r>
        <w:t xml:space="preserve"> – exposed, </w:t>
      </w:r>
      <m:oMath>
        <m:r>
          <m:rPr>
            <m:sty m:val="bi"/>
          </m:rPr>
          <w:rPr>
            <w:rFonts w:ascii="Cambria Math" w:hAnsi="Cambria Math"/>
          </w:rPr>
          <m:t>I</m:t>
        </m:r>
      </m:oMath>
      <w:r>
        <w:t xml:space="preserve"> – infectious, </w:t>
      </w:r>
      <m:oMath>
        <m:r>
          <m:rPr>
            <m:sty m:val="bi"/>
          </m:rPr>
          <w:rPr>
            <w:rFonts w:ascii="Cambria Math" w:hAnsi="Cambria Math"/>
          </w:rPr>
          <m:t>R</m:t>
        </m:r>
      </m:oMath>
      <w:r w:rsidR="00451B0E">
        <w:t> </w:t>
      </w:r>
      <w:r>
        <w:t>– recovered.</w:t>
      </w:r>
      <w:r w:rsidR="00BE3EC4">
        <w:t xml:space="preserve"> </w:t>
      </w:r>
      <w:r>
        <w:t xml:space="preserve">Parameter descriptions are given in </w:t>
      </w:r>
      <w:r w:rsidR="007B10A0">
        <w:t>Section 6.2</w:t>
      </w:r>
      <w:r w:rsidR="00195DD2">
        <w:t>.</w:t>
      </w:r>
      <w:bookmarkEnd w:id="90"/>
    </w:p>
    <w:p w14:paraId="03C2A394" w14:textId="77777777" w:rsidR="009801DD" w:rsidRPr="00A40F5F" w:rsidRDefault="009801DD" w:rsidP="001E2D13">
      <w:pPr>
        <w:rPr>
          <w:rFonts w:eastAsiaTheme="minorEastAsia"/>
        </w:rPr>
      </w:pPr>
    </w:p>
    <w:p w14:paraId="32E21F49" w14:textId="6B722AF3" w:rsidR="00E21406" w:rsidRDefault="00AD78A7" w:rsidP="00AD78A7">
      <w:pPr>
        <w:rPr>
          <w:rFonts w:eastAsiaTheme="minorEastAsia"/>
        </w:rPr>
      </w:pPr>
      <w:r>
        <w:rPr>
          <w:rFonts w:eastAsiaTheme="minorEastAsia"/>
        </w:rPr>
        <w:t xml:space="preserve">Where </w:t>
      </w:r>
      <m:oMath>
        <m:r>
          <w:rPr>
            <w:rFonts w:ascii="Cambria Math" w:eastAsiaTheme="minorEastAsia" w:hAnsi="Cambria Math"/>
          </w:rPr>
          <m:t>S</m:t>
        </m:r>
      </m:oMath>
      <w:r>
        <w:rPr>
          <w:rFonts w:eastAsiaTheme="minorEastAsia"/>
        </w:rPr>
        <w:t xml:space="preserve">, </w:t>
      </w:r>
      <m:oMath>
        <m:r>
          <w:rPr>
            <w:rFonts w:ascii="Cambria Math" w:eastAsiaTheme="minorEastAsia" w:hAnsi="Cambria Math"/>
          </w:rPr>
          <m:t>I</m:t>
        </m:r>
      </m:oMath>
      <w:r>
        <w:rPr>
          <w:rFonts w:eastAsiaTheme="minorEastAsia"/>
        </w:rPr>
        <w:t xml:space="preserve">, </w:t>
      </w:r>
      <m:oMath>
        <m:r>
          <w:rPr>
            <w:rFonts w:ascii="Cambria Math" w:eastAsiaTheme="minorEastAsia" w:hAnsi="Cambria Math"/>
          </w:rPr>
          <m:t>R</m:t>
        </m:r>
      </m:oMath>
      <w:r>
        <w:rPr>
          <w:rFonts w:eastAsiaTheme="minorEastAsia"/>
        </w:rPr>
        <w:t xml:space="preserve"> are </w:t>
      </w:r>
      <w:r w:rsidR="001322A1">
        <w:rPr>
          <w:rFonts w:eastAsiaTheme="minorEastAsia"/>
        </w:rPr>
        <w:t xml:space="preserve">the abundance of susceptible, </w:t>
      </w:r>
      <w:r w:rsidR="00EA69D4">
        <w:rPr>
          <w:rFonts w:eastAsiaTheme="minorEastAsia"/>
        </w:rPr>
        <w:t xml:space="preserve">infected (and </w:t>
      </w:r>
      <w:r w:rsidR="00555BFC">
        <w:rPr>
          <w:rFonts w:eastAsiaTheme="minorEastAsia"/>
        </w:rPr>
        <w:t>infectious</w:t>
      </w:r>
      <w:r w:rsidR="00EA69D4">
        <w:rPr>
          <w:rFonts w:eastAsiaTheme="minorEastAsia"/>
        </w:rPr>
        <w:t>)</w:t>
      </w:r>
      <w:r w:rsidR="00555BFC">
        <w:rPr>
          <w:rFonts w:eastAsiaTheme="minorEastAsia"/>
        </w:rPr>
        <w:t xml:space="preserve"> and recovered hosts, respectively</w:t>
      </w:r>
      <w:r w:rsidR="00C06E58">
        <w:rPr>
          <w:rFonts w:eastAsiaTheme="minorEastAsia"/>
        </w:rPr>
        <w:t xml:space="preserve"> with </w:t>
      </w:r>
      <m:oMath>
        <m:r>
          <w:rPr>
            <w:rFonts w:ascii="Cambria Math" w:eastAsiaTheme="minorEastAsia" w:hAnsi="Cambria Math"/>
          </w:rPr>
          <m:t>β</m:t>
        </m:r>
      </m:oMath>
      <w:r w:rsidR="00C06E58">
        <w:rPr>
          <w:rFonts w:eastAsiaTheme="minorEastAsia"/>
        </w:rPr>
        <w:t xml:space="preserve"> being the transmission rate,</w:t>
      </w:r>
      <w:r w:rsidR="00D0060A">
        <w:rPr>
          <w:rFonts w:eastAsiaTheme="minorEastAsia"/>
        </w:rPr>
        <w:t xml:space="preserve"> </w:t>
      </w:r>
      <m:oMath>
        <m:r>
          <w:rPr>
            <w:rFonts w:ascii="Cambria Math" w:eastAsiaTheme="minorEastAsia" w:hAnsi="Cambria Math"/>
          </w:rPr>
          <m:t>υ</m:t>
        </m:r>
      </m:oMath>
      <w:r w:rsidR="00D0060A">
        <w:rPr>
          <w:rFonts w:eastAsiaTheme="minorEastAsia"/>
        </w:rPr>
        <w:t xml:space="preserve"> the recovery rate and </w:t>
      </w:r>
      <m:oMath>
        <m:r>
          <w:rPr>
            <w:rFonts w:ascii="Cambria Math" w:eastAsiaTheme="minorEastAsia" w:hAnsi="Cambria Math"/>
          </w:rPr>
          <m:t>α</m:t>
        </m:r>
      </m:oMath>
      <w:r w:rsidR="00D0060A">
        <w:rPr>
          <w:rFonts w:eastAsiaTheme="minorEastAsia"/>
        </w:rPr>
        <w:t xml:space="preserve"> the </w:t>
      </w:r>
      <w:r w:rsidR="00F37511">
        <w:rPr>
          <w:rFonts w:eastAsiaTheme="minorEastAsia"/>
        </w:rPr>
        <w:t>mortality rate due to HPAI.</w:t>
      </w:r>
      <w:r w:rsidR="00BE3EC4">
        <w:rPr>
          <w:rFonts w:eastAsiaTheme="minorEastAsia"/>
        </w:rPr>
        <w:t xml:space="preserve"> </w:t>
      </w:r>
      <w:r w:rsidR="00A92BB6">
        <w:rPr>
          <w:rFonts w:eastAsiaTheme="minorEastAsia"/>
        </w:rPr>
        <w:t>T</w:t>
      </w:r>
      <w:r>
        <w:rPr>
          <w:rFonts w:eastAsiaTheme="minorEastAsia"/>
        </w:rPr>
        <w:t xml:space="preserve">his model was based on the one developed for HPAI and LPAI in waterfowl in North America </w:t>
      </w:r>
      <w:r>
        <w:rPr>
          <w:rFonts w:eastAsiaTheme="minorEastAsia"/>
        </w:rPr>
        <w:fldChar w:fldCharType="begin"/>
      </w:r>
      <w:r w:rsidR="009F541F">
        <w:rPr>
          <w:rFonts w:eastAsiaTheme="minorEastAsia"/>
        </w:rPr>
        <w:instrText xml:space="preserve"> ADDIN ZOTERO_ITEM CSL_CITATION {"citationID":"gbC169By","properties":{"formattedCitation":"(H\\uc0\\u233{}naux {\\i{}et al.} 2010)","plainCitation":"(Hénaux et al. 2010)","noteIndex":0},"citationItems":[{"id":9478,"uris":["http://zotero.org/users/634364/items/HCXC2LI8"],"itemData":{"id":9478,"type":"article-journal","abstract":"There is growing interest in avian influenza (AI) epidemiology to predict disease risk in wild and domestic birds, and prevent transmission to humans. However, understanding the epidemic dynamics of highly pathogenic (HPAI) viruses remains challenging because they have rarely been detected in wild birds. We used modeling to integrate available scientific information from laboratory and field studies, evaluate AI dynamics in individual hosts and waterfowl populations, and identify key areas for future research. We developed a Susceptible-Exposed-Infectious-Recovered (SEIR) model and used published laboratory challenge studies to estimate epidemiological parameters (rate of infection, latency period, recovery and mortality rates), considering the importance of age classes, and virus pathogenicity. Infectious contact leads to infection and virus shedding within 1–2 days, followed by relatively slower period for recovery or mortality. We found a shorter infectious period for HPAI than low pathogenic (LP) AI, which may explain that HPAI has been much harder to detect than LPAI during surveillance programs. Our model predicted a rapid LPAI epidemic curve, with a median duration of infection of 50–60 days and no fatalities. In contrast, HPAI dynamics had lower prevalence and higher mortality, especially in young birds. Based on field data from LPAI studies, our model suggests to increase surveillance for HPAI in post-breeding areas, because the presence of immunologically na¨ıve young birds is predicted to cause higher HPAI prevalence and bird losses during this season. Our results indicate a better understanding of the transmission, infection, and immunity-related processes is required to refine predictions of AI risk and spread, improve surveillance for HPAI in wild birds, and develop disease control strategies to reduce potential transmission to domestic birds and/or humans.","container-title":"PLoS ONE","DOI":"10.1371/journal.pone.0010997","ISSN":"1932-6203","issue":"6","journalAbbreviation":"PLoS ONE","language":"en","page":"e10997","source":"DOI.org (Crossref)","title":"Model-Based Evaluation of Highly and Low Pathogenic Avian Influenza Dynamics in Wild Birds","volume":"5","author":[{"family":"Hénaux","given":"Viviane"},{"family":"Samuel","given":"Michael D."},{"family":"Bunck","given":"Christine M."}],"editor":[{"family":"Cornell","given":"Stephen J."}],"issued":{"date-parts":[["2010",6,23]]}}}],"schema":"https://github.com/citation-style-language/schema/raw/master/csl-citation.json"} </w:instrText>
      </w:r>
      <w:r>
        <w:rPr>
          <w:rFonts w:eastAsiaTheme="minorEastAsia"/>
        </w:rPr>
        <w:fldChar w:fldCharType="separate"/>
      </w:r>
      <w:r w:rsidR="009F541F" w:rsidRPr="009F541F">
        <w:t xml:space="preserve">(Hénaux </w:t>
      </w:r>
      <w:r w:rsidR="009F541F" w:rsidRPr="00DA5824">
        <w:t>et al.</w:t>
      </w:r>
      <w:r w:rsidR="009F541F" w:rsidRPr="009F541F">
        <w:t xml:space="preserve"> 2010)</w:t>
      </w:r>
      <w:r>
        <w:rPr>
          <w:rFonts w:eastAsiaTheme="minorEastAsia"/>
        </w:rPr>
        <w:fldChar w:fldCharType="end"/>
      </w:r>
      <w:r>
        <w:rPr>
          <w:rFonts w:eastAsiaTheme="minorEastAsia"/>
        </w:rPr>
        <w:t>, and represents the dynamics of AI in a population closed to births, natural deaths, immigration or emigration.</w:t>
      </w:r>
      <w:r w:rsidR="00BE3EC4">
        <w:rPr>
          <w:rFonts w:eastAsiaTheme="minorEastAsia"/>
        </w:rPr>
        <w:t xml:space="preserve"> </w:t>
      </w:r>
      <w:r>
        <w:rPr>
          <w:rFonts w:eastAsiaTheme="minorEastAsia"/>
        </w:rPr>
        <w:t xml:space="preserve">The rationale for assuming the population to be closed to natural births and deaths is that an outbreak of HPAI in a susceptible host would be rapid, such that the population dynamics of the host </w:t>
      </w:r>
      <w:r w:rsidR="00451B0E">
        <w:rPr>
          <w:rFonts w:eastAsiaTheme="minorEastAsia"/>
        </w:rPr>
        <w:t xml:space="preserve">could </w:t>
      </w:r>
      <w:r>
        <w:rPr>
          <w:rFonts w:eastAsiaTheme="minorEastAsia"/>
        </w:rPr>
        <w:t xml:space="preserve">be ignored for the duration of the epidemic. </w:t>
      </w:r>
    </w:p>
    <w:p w14:paraId="38D5A402" w14:textId="6ABF2472" w:rsidR="00AD78A7" w:rsidRPr="00EF199C" w:rsidRDefault="00AD78A7" w:rsidP="00AD78A7">
      <w:pPr>
        <w:rPr>
          <w:rFonts w:eastAsiaTheme="minorEastAsia"/>
        </w:rPr>
      </w:pPr>
      <w:r w:rsidRPr="00EF199C">
        <w:rPr>
          <w:rFonts w:eastAsiaTheme="minorEastAsia"/>
        </w:rPr>
        <w:t xml:space="preserve">The model outline in Figure </w:t>
      </w:r>
      <w:r w:rsidR="003910E6">
        <w:rPr>
          <w:rFonts w:eastAsiaTheme="minorEastAsia"/>
        </w:rPr>
        <w:t>9</w:t>
      </w:r>
      <w:r w:rsidRPr="00EF199C">
        <w:rPr>
          <w:rFonts w:eastAsiaTheme="minorEastAsia"/>
        </w:rPr>
        <w:t xml:space="preserve"> and parameter</w:t>
      </w:r>
      <w:r w:rsidR="00F64447" w:rsidRPr="00EF199C">
        <w:rPr>
          <w:rFonts w:eastAsiaTheme="minorEastAsia"/>
        </w:rPr>
        <w:t xml:space="preserve"> values</w:t>
      </w:r>
      <w:r w:rsidRPr="00EF199C">
        <w:rPr>
          <w:rFonts w:eastAsiaTheme="minorEastAsia"/>
        </w:rPr>
        <w:t xml:space="preserve"> given in </w:t>
      </w:r>
      <w:r w:rsidR="000958D8">
        <w:rPr>
          <w:rFonts w:eastAsiaTheme="minorEastAsia"/>
        </w:rPr>
        <w:t>s</w:t>
      </w:r>
      <w:r w:rsidR="007B10A0">
        <w:rPr>
          <w:rFonts w:eastAsiaTheme="minorEastAsia"/>
        </w:rPr>
        <w:t>ection 6.2</w:t>
      </w:r>
      <w:r w:rsidRPr="00EF199C">
        <w:rPr>
          <w:rFonts w:eastAsiaTheme="minorEastAsia"/>
        </w:rPr>
        <w:t xml:space="preserve"> were derived from North American waterfowl, mainly Mallard (</w:t>
      </w:r>
      <w:r w:rsidRPr="00EF199C">
        <w:rPr>
          <w:rFonts w:eastAsiaTheme="minorEastAsia"/>
          <w:i/>
          <w:iCs/>
        </w:rPr>
        <w:t>Anas platyrhynchos</w:t>
      </w:r>
      <w:r w:rsidRPr="00EF199C">
        <w:rPr>
          <w:rFonts w:eastAsiaTheme="minorEastAsia"/>
        </w:rPr>
        <w:t>), Black Duck (</w:t>
      </w:r>
      <w:r w:rsidRPr="00EF199C">
        <w:rPr>
          <w:rFonts w:eastAsiaTheme="minorEastAsia"/>
          <w:i/>
          <w:iCs/>
        </w:rPr>
        <w:t>A. rubripes</w:t>
      </w:r>
      <w:r w:rsidRPr="00EF199C">
        <w:rPr>
          <w:rFonts w:eastAsiaTheme="minorEastAsia"/>
        </w:rPr>
        <w:t xml:space="preserve">) and </w:t>
      </w:r>
      <w:r w:rsidR="00451B0E">
        <w:rPr>
          <w:rFonts w:eastAsiaTheme="minorEastAsia"/>
        </w:rPr>
        <w:t>B</w:t>
      </w:r>
      <w:r w:rsidRPr="00EF199C">
        <w:rPr>
          <w:rFonts w:eastAsiaTheme="minorEastAsia"/>
        </w:rPr>
        <w:t xml:space="preserve">lue-winged </w:t>
      </w:r>
      <w:r w:rsidR="00451B0E">
        <w:rPr>
          <w:rFonts w:eastAsiaTheme="minorEastAsia"/>
        </w:rPr>
        <w:t>T</w:t>
      </w:r>
      <w:r w:rsidRPr="00EF199C">
        <w:rPr>
          <w:rFonts w:eastAsiaTheme="minorEastAsia"/>
        </w:rPr>
        <w:t>eal (</w:t>
      </w:r>
      <w:r w:rsidRPr="00EF199C">
        <w:rPr>
          <w:rFonts w:eastAsiaTheme="minorEastAsia"/>
          <w:i/>
          <w:iCs/>
        </w:rPr>
        <w:t xml:space="preserve">A. </w:t>
      </w:r>
      <w:proofErr w:type="spellStart"/>
      <w:r w:rsidRPr="00EF199C">
        <w:rPr>
          <w:rFonts w:eastAsiaTheme="minorEastAsia"/>
          <w:i/>
          <w:iCs/>
        </w:rPr>
        <w:t>discors</w:t>
      </w:r>
      <w:proofErr w:type="spellEnd"/>
      <w:r w:rsidRPr="00EF199C">
        <w:rPr>
          <w:rFonts w:eastAsiaTheme="minorEastAsia"/>
        </w:rPr>
        <w:t xml:space="preserve">) </w:t>
      </w:r>
      <w:r w:rsidRPr="00EF199C">
        <w:rPr>
          <w:rFonts w:eastAsiaTheme="minorEastAsia"/>
        </w:rPr>
        <w:fldChar w:fldCharType="begin"/>
      </w:r>
      <w:r w:rsidR="009F541F">
        <w:rPr>
          <w:rFonts w:eastAsiaTheme="minorEastAsia"/>
        </w:rPr>
        <w:instrText xml:space="preserve"> ADDIN ZOTERO_ITEM CSL_CITATION {"citationID":"mUYS2eAP","properties":{"formattedCitation":"(H\\uc0\\u233{}naux {\\i{}et al.} 2010; H\\uc0\\u233{}naux {\\i{}et al.} 2013)","plainCitation":"(Hénaux et al. 2010; Hénaux et al. 2013)","noteIndex":0},"citationItems":[{"id":9478,"uris":["http://zotero.org/users/634364/items/HCXC2LI8"],"itemData":{"id":9478,"type":"article-journal","abstract":"There is growing interest in avian influenza (AI) epidemiology to predict disease risk in wild and domestic birds, and prevent transmission to humans. However, understanding the epidemic dynamics of highly pathogenic (HPAI) viruses remains challenging because they have rarely been detected in wild birds. We used modeling to integrate available scientific information from laboratory and field studies, evaluate AI dynamics in individual hosts and waterfowl populations, and identify key areas for future research. We developed a Susceptible-Exposed-Infectious-Recovered (SEIR) model and used published laboratory challenge studies to estimate epidemiological parameters (rate of infection, latency period, recovery and mortality rates), considering the importance of age classes, and virus pathogenicity. Infectious contact leads to infection and virus shedding within 1–2 days, followed by relatively slower period for recovery or mortality. We found a shorter infectious period for HPAI than low pathogenic (LP) AI, which may explain that HPAI has been much harder to detect than LPAI during surveillance programs. Our model predicted a rapid LPAI epidemic curve, with a median duration of infection of 50–60 days and no fatalities. In contrast, HPAI dynamics had lower prevalence and higher mortality, especially in young birds. Based on field data from LPAI studies, our model suggests to increase surveillance for HPAI in post-breeding areas, because the presence of immunologically na¨ıve young birds is predicted to cause higher HPAI prevalence and bird losses during this season. Our results indicate a better understanding of the transmission, infection, and immunity-related processes is required to refine predictions of AI risk and spread, improve surveillance for HPAI in wild birds, and develop disease control strategies to reduce potential transmission to domestic birds and/or humans.","container-title":"PLoS ONE","DOI":"10.1371/journal.pone.0010997","ISSN":"1932-6203","issue":"6","journalAbbreviation":"PLoS ONE","language":"en","page":"e10997","source":"DOI.org (Crossref)","title":"Model-Based Evaluation of Highly and Low Pathogenic Avian Influenza Dynamics in Wild Birds","volume":"5","author":[{"family":"Hénaux","given":"Viviane"},{"family":"Samuel","given":"Michael D."},{"family":"Bunck","given":"Christine M."}],"editor":[{"family":"Cornell","given":"Stephen J."}],"issued":{"date-parts":[["2010",6,23]]}}},{"id":9482,"uris":["http://zotero.org/users/634364/items/I37P2Y43"],"itemData":{"id":9482,"type":"article-journal","abstract":"Summary\n            \n              \n                \n                  Estimating disease transmissio</w:instrText>
      </w:r>
      <w:r w:rsidR="009F541F">
        <w:rPr>
          <w:rFonts w:eastAsiaTheme="minorEastAsia" w:hint="eastAsia"/>
        </w:rPr>
        <w:instrText>n in wildlife populations is critical to understand host</w:instrText>
      </w:r>
      <w:r w:rsidR="009F541F">
        <w:rPr>
          <w:rFonts w:eastAsiaTheme="minorEastAsia" w:hint="eastAsia"/>
        </w:rPr>
        <w:instrText>–</w:instrText>
      </w:r>
      <w:r w:rsidR="009F541F">
        <w:rPr>
          <w:rFonts w:eastAsiaTheme="minorEastAsia" w:hint="eastAsia"/>
        </w:rPr>
        <w:instrText>pathogen dynamics, predict disease risks and prioritize surveillance activities. However, obtaining reliable estimates for free</w:instrText>
      </w:r>
      <w:r w:rsidR="009F541F">
        <w:rPr>
          <w:rFonts w:eastAsiaTheme="minorEastAsia" w:hint="eastAsia"/>
        </w:rPr>
        <w:instrText>‐</w:instrText>
      </w:r>
      <w:r w:rsidR="009F541F">
        <w:rPr>
          <w:rFonts w:eastAsiaTheme="minorEastAsia" w:hint="eastAsia"/>
        </w:rPr>
        <w:instrText>ranging populations is extremely challenging. In particular, disease s</w:instrText>
      </w:r>
      <w:r w:rsidR="009F541F">
        <w:rPr>
          <w:rFonts w:eastAsiaTheme="minorEastAsia"/>
        </w:rPr>
        <w:instrText xml:space="preserve">urveillance programs may routinely miss the onset or end of epizootics and peak prevalence, limiting the ability to evaluate infectious processes.\n                \n                \n                  \n                    We used profile likelihood to estimate the force of infection (\n                    FOI\n                    ) in a low pathogenic avian influenza virus (\n                    LPAI\n                    v) epizootic model from censored time series of\n                    LPAI\n        </w:instrText>
      </w:r>
      <w:r w:rsidR="009F541F">
        <w:rPr>
          <w:rFonts w:eastAsiaTheme="minorEastAsia" w:hint="eastAsia"/>
        </w:rPr>
        <w:instrText xml:space="preserve">            v prevalence in hatch</w:instrText>
      </w:r>
      <w:r w:rsidR="009F541F">
        <w:rPr>
          <w:rFonts w:eastAsiaTheme="minorEastAsia" w:hint="eastAsia"/>
        </w:rPr>
        <w:instrText>‐</w:instrText>
      </w:r>
      <w:r w:rsidR="009F541F">
        <w:rPr>
          <w:rFonts w:eastAsiaTheme="minorEastAsia" w:hint="eastAsia"/>
        </w:rPr>
        <w:instrText xml:space="preserve">year waterfowl (order Anseriformes) at postbreeding and migration sites in North America.\n                  \n                \n                \n                  \n                    We found a mean\n                 </w:instrText>
      </w:r>
      <w:r w:rsidR="009F541F">
        <w:rPr>
          <w:rFonts w:eastAsiaTheme="minorEastAsia"/>
        </w:rPr>
        <w:instrText xml:space="preserve">   LPAI\n                    v\n                    FOI\n                    of 0·12 day\n                    −1\n                    [95%\n                    CI\n                    , 0·00–0·39], corresponding to an incidence rate of 0·11 day\n                    −1\n                    , with geographic heterogeneity (min–max: 0·02–0·23 day\n                    −1\n                    ) among study sites. These high infection rates indicate that most hatch</w:instrText>
      </w:r>
      <w:r w:rsidR="009F541F">
        <w:rPr>
          <w:rFonts w:eastAsiaTheme="minorEastAsia" w:hint="eastAsia"/>
        </w:rPr>
        <w:instrText>‐</w:instrText>
      </w:r>
      <w:r w:rsidR="009F541F">
        <w:rPr>
          <w:rFonts w:eastAsiaTheme="minorEastAsia"/>
        </w:rPr>
        <w:instrText xml:space="preserve">year waterfowl are likely infected with\n     </w:instrText>
      </w:r>
      <w:r w:rsidR="009F541F">
        <w:rPr>
          <w:rFonts w:eastAsiaTheme="minorEastAsia" w:hint="eastAsia"/>
        </w:rPr>
        <w:instrText xml:space="preserve">               LPAI\n                    v early in the fall migration.\n                  \n                \n                \n                  Comparison of model</w:instrText>
      </w:r>
      <w:r w:rsidR="009F541F">
        <w:rPr>
          <w:rFonts w:eastAsiaTheme="minorEastAsia" w:hint="eastAsia"/>
        </w:rPr>
        <w:instrText>‐</w:instrText>
      </w:r>
      <w:r w:rsidR="009F541F">
        <w:rPr>
          <w:rFonts w:eastAsiaTheme="minorEastAsia" w:hint="eastAsia"/>
        </w:rPr>
        <w:instrText>predicted and observed immunity confirmed our assumption of naïve hatch</w:instrText>
      </w:r>
      <w:r w:rsidR="009F541F">
        <w:rPr>
          <w:rFonts w:eastAsiaTheme="minorEastAsia" w:hint="eastAsia"/>
        </w:rPr>
        <w:instrText>‐</w:instrText>
      </w:r>
      <w:r w:rsidR="009F541F">
        <w:rPr>
          <w:rFonts w:eastAsiaTheme="minorEastAsia" w:hint="eastAsia"/>
        </w:rPr>
        <w:instrText>year waterfowl and suggested long</w:instrText>
      </w:r>
      <w:r w:rsidR="009F541F">
        <w:rPr>
          <w:rFonts w:eastAsiaTheme="minorEastAsia" w:hint="eastAsia"/>
        </w:rPr>
        <w:instrText>‐</w:instrText>
      </w:r>
      <w:r w:rsidR="009F541F">
        <w:rPr>
          <w:rFonts w:eastAsiaTheme="minorEastAsia" w:hint="eastAsia"/>
        </w:rPr>
        <w:instrText>term immunity (&gt;6 months) for adults.\n                \n                \n                  \n                    Using the mean\n                    LPAI\n                    v incidence rate, we predict a shorter and lower epizootic c</w:instrText>
      </w:r>
      <w:r w:rsidR="009F541F">
        <w:rPr>
          <w:rFonts w:eastAsiaTheme="minorEastAsia"/>
        </w:rPr>
        <w:instrText xml:space="preserve">urve for highly pathogenic avian influenza virus (\n                    HPAI\n                    v; 5 weeks with peak prevalence of 28% and 30% mortality) than\n                    LPAI\n                    v (8 weeks with peak prevalence of 50%). These findings indicate it is harder to detect\n                    HPAI\n                    v than\n                    LPAI\n                    v with swabs from live birds, which are commonly used during disease surveillance.\n                  \n                \n                \n                  \n                    Synthesis and applications\n                    . Our study highlights the potential of integrating incomplete surveillance data with epizootic models to quantify disease transmission and immunity. This modelling approach provides an important tool to understand spatial and temporal epizootic dynamics and inform disease surveillance. Our findings suggest focusing highly pathogenic avian influenza virus (\n                    HPAI\n        </w:instrText>
      </w:r>
      <w:r w:rsidR="009F541F">
        <w:rPr>
          <w:rFonts w:eastAsiaTheme="minorEastAsia" w:hint="eastAsia"/>
        </w:rPr>
        <w:instrText xml:space="preserve">            v) surveillance on postbreeding areas where mortality of immunologically naïve hatch</w:instrText>
      </w:r>
      <w:r w:rsidR="009F541F">
        <w:rPr>
          <w:rFonts w:eastAsiaTheme="minorEastAsia" w:hint="eastAsia"/>
        </w:rPr>
        <w:instrText>‐</w:instrText>
      </w:r>
      <w:r w:rsidR="009F541F">
        <w:rPr>
          <w:rFonts w:eastAsiaTheme="minorEastAsia" w:hint="eastAsia"/>
        </w:rPr>
        <w:instrText xml:space="preserve">year birds is most likely to occur, and collecting serology to enhance\n                    HPAI\n                    v detection. Our modelling approach can </w:instrText>
      </w:r>
      <w:r w:rsidR="009F541F">
        <w:rPr>
          <w:rFonts w:eastAsiaTheme="minorEastAsia"/>
        </w:rPr>
        <w:instrText xml:space="preserve">integrate various types of disease data facilitating its use with data from other surveillance programs (as illustrated by the estimation of infection rate during an\n                    HPAI\n                    v outbreak in mute swans\n                    Cygnus olor\n                    in Europe).\n                  \n                \n              \n            \n          , \n            \n              Our study highlights the potential of integrating incomplete surveillance data with epizootic models to quantify disease transmission and immunity. This modelling approach provides an important tool to understand spatial and temporal epizootic dynamics and inform disease surveillance. Our findings suggest focusing highly pathogenic avian influenza </w:instrText>
      </w:r>
      <w:r w:rsidR="009F541F">
        <w:rPr>
          <w:rFonts w:eastAsiaTheme="minorEastAsia" w:hint="eastAsia"/>
        </w:rPr>
        <w:instrText>virus (\n              HPAI\n              v) surveillance on postbreeding areas where mortality of immunologically naïve hatch</w:instrText>
      </w:r>
      <w:r w:rsidR="009F541F">
        <w:rPr>
          <w:rFonts w:eastAsiaTheme="minorEastAsia" w:hint="eastAsia"/>
        </w:rPr>
        <w:instrText>‐</w:instrText>
      </w:r>
      <w:r w:rsidR="009F541F">
        <w:rPr>
          <w:rFonts w:eastAsiaTheme="minorEastAsia" w:hint="eastAsia"/>
        </w:rPr>
        <w:instrText>year birds is most likely to occur, and collecting serology to enhance\n              HPAI\n              v detection. Our mode</w:instrText>
      </w:r>
      <w:r w:rsidR="009F541F">
        <w:rPr>
          <w:rFonts w:eastAsiaTheme="minorEastAsia"/>
        </w:rPr>
        <w:instrText xml:space="preserve">lling approach can integrate various types of disease data facilitating its use with data from other surveillance programs (as illustrated by the estimation of infection rate during an\n              HPAI\n              v outbreak in mute swans\n              Cygnus olor\n              in Europe).","container-title":"Journal of Applied Ecology","DOI":"10.1111/1365-2664.12031","ISSN":"0021-8901, 1365-2664","issue":"1","journalAbbreviation":"Journal of Applied Ecology","language":"en","license":"http://onlinelibrary.wiley.com/termsAndConditions#vor","page":"223-231","source":"DOI.org (Crossref)","title":"Estimating transmission of avian influenza in wild birds from incomplete epizootic data: implications for surveillance and disease spread","title-short":"Estimating transmission of avian influenza in wild birds from incomplete epizootic data","volume":"50","author":[{"family":"Hénaux","given":"Viviane"},{"family":"Parmley","given":"Jane"},{"family":"Soos","given":"Catherine"},{"family":"Samuel","given":"Michael D."}],"editor":[{"family":"Bennett","given":"Malcolm"}],"issued":{"date-parts":[["2013",2]]}}}],"schema":"https://github.com/citation-style-language/schema/raw/master/csl-citation.json"} </w:instrText>
      </w:r>
      <w:r w:rsidRPr="00EF199C">
        <w:rPr>
          <w:rFonts w:eastAsiaTheme="minorEastAsia"/>
        </w:rPr>
        <w:fldChar w:fldCharType="separate"/>
      </w:r>
      <w:r w:rsidR="009F541F" w:rsidRPr="009F541F">
        <w:t>(</w:t>
      </w:r>
      <w:proofErr w:type="spellStart"/>
      <w:r w:rsidR="009F541F" w:rsidRPr="009F541F">
        <w:t>Hénaux</w:t>
      </w:r>
      <w:proofErr w:type="spellEnd"/>
      <w:r w:rsidR="009F541F" w:rsidRPr="009F541F">
        <w:t xml:space="preserve"> </w:t>
      </w:r>
      <w:r w:rsidR="009F541F" w:rsidRPr="00DA5824">
        <w:t>et al.</w:t>
      </w:r>
      <w:r w:rsidR="009F541F" w:rsidRPr="00451B0E">
        <w:t xml:space="preserve"> </w:t>
      </w:r>
      <w:r w:rsidR="009F541F" w:rsidRPr="009F541F">
        <w:t xml:space="preserve">2010; Hénaux </w:t>
      </w:r>
      <w:r w:rsidR="009F541F" w:rsidRPr="00DA5824">
        <w:t>et al.</w:t>
      </w:r>
      <w:r w:rsidR="009F541F" w:rsidRPr="00451B0E">
        <w:t xml:space="preserve"> </w:t>
      </w:r>
      <w:r w:rsidR="009F541F" w:rsidRPr="009F541F">
        <w:t>2013)</w:t>
      </w:r>
      <w:r w:rsidRPr="00EF199C">
        <w:rPr>
          <w:rFonts w:eastAsiaTheme="minorEastAsia"/>
        </w:rPr>
        <w:fldChar w:fldCharType="end"/>
      </w:r>
      <w:r w:rsidRPr="00EF199C">
        <w:rPr>
          <w:rFonts w:eastAsiaTheme="minorEastAsia"/>
        </w:rPr>
        <w:t>.</w:t>
      </w:r>
      <w:r w:rsidR="00BE3EC4">
        <w:rPr>
          <w:rFonts w:eastAsiaTheme="minorEastAsia"/>
        </w:rPr>
        <w:t xml:space="preserve"> </w:t>
      </w:r>
      <w:r w:rsidRPr="00EF199C">
        <w:rPr>
          <w:rFonts w:eastAsiaTheme="minorEastAsia"/>
        </w:rPr>
        <w:t>These studies suggested that the mean time to death for an infected individual ranged from 5–18 days, dependent on age class. Progression of the disease was rapid</w:t>
      </w:r>
      <w:r w:rsidR="00451B0E">
        <w:rPr>
          <w:rFonts w:eastAsiaTheme="minorEastAsia"/>
        </w:rPr>
        <w:t>,</w:t>
      </w:r>
      <w:r w:rsidRPr="00EF199C">
        <w:rPr>
          <w:rFonts w:eastAsiaTheme="minorEastAsia"/>
        </w:rPr>
        <w:t xml:space="preserve"> with length of the latent period estimated as 0.4 days and the recovery rate, given the individual survived, estimated as 4.6 days </w:t>
      </w:r>
      <w:r w:rsidRPr="00EF199C">
        <w:rPr>
          <w:rFonts w:eastAsiaTheme="minorEastAsia"/>
        </w:rPr>
        <w:fldChar w:fldCharType="begin"/>
      </w:r>
      <w:r w:rsidR="009F541F">
        <w:rPr>
          <w:rFonts w:eastAsiaTheme="minorEastAsia"/>
        </w:rPr>
        <w:instrText xml:space="preserve"> ADDIN ZOTERO_ITEM CSL_CITATION {"citationID":"mXFvXVJE","properties":{"formattedCitation":"(H\\uc0\\u233{}naux {\\i{}et al.} 2010)","plainCitation":"(Hénaux et al. 2010)","noteIndex":0},"citationItems":[{"id":9478,"uris":["http://zotero.org/users/634364/items/HCXC2LI8"],"itemData":{"id":9478,"type":"article-journal","abstract":"There is growing interest in avian influenza (AI) epidemiology to predict disease risk in wild and domestic birds, and prevent transmission to humans. However, understanding the epidemic dynamics of highly pathogenic (HPAI) viruses remains challenging because they have rarely been detected in wild birds. We used modeling to integrate available scientific information from laboratory and field studies, evaluate AI dynamics in individual hosts and waterfowl populations, and identify key areas for future research. We developed a Susceptible-Exposed-Infectious-Recovered (SEIR) model and used published laboratory challenge studies to estimate epidemiological parameters (rate of infection, latency period, recovery and mortality rates), considering the importance of age classes, and virus pathogenicity. Infectious contact leads to infection and virus shedding within 1–2 days, followed by relatively slower period for recovery or mortality. We found a shorter infectious period for HPAI than low pathogenic (LP) AI, which may explain that HPAI has been much harder to detect than LPAI during surveillance programs. Our model predicted a rapid LPAI epidemic curve, with a median duration of infection of 50–60 days and no fatalities. In contrast, HPAI dynamics had lower prevalence and higher mortality, especially in young birds. Based on field data from LPAI studies, our model suggests to increase surveillance for HPAI in post-breeding areas, because the presence of immunologically na¨ıve young birds is predicted to cause higher HPAI prevalence and bird losses during this season. Our results indicate a better understanding of the transmission, infection, and immunity-related processes is required to refine predictions of AI risk and spread, improve surveillance for HPAI in wild birds, and develop disease control strategies to reduce potential transmission to domestic birds and/or humans.","container-title":"PLoS ONE","DOI":"10.1371/journal.pone.0010997","ISSN":"1932-6203","issue":"6","journalAbbreviation":"PLoS ONE","language":"en","page":"e10997","source":"DOI.org (Crossref)","title":"Model-Based Evaluation of Highly and Low Pathogenic Avian Influenza Dynamics in Wild Birds","volume":"5","author":[{"family":"Hénaux","given":"Viviane"},{"family":"Samuel","given":"Michael D."},{"family":"Bunck","given":"Christine M."}],"editor":[{"family":"Cornell","given":"Stephen J."}],"issued":{"date-parts":[["2010",6,23]]}}}],"schema":"https://github.com/citation-style-language/schema/raw/master/csl-citation.json"} </w:instrText>
      </w:r>
      <w:r w:rsidRPr="00EF199C">
        <w:rPr>
          <w:rFonts w:eastAsiaTheme="minorEastAsia"/>
        </w:rPr>
        <w:fldChar w:fldCharType="separate"/>
      </w:r>
      <w:r w:rsidR="009F541F" w:rsidRPr="009F541F">
        <w:t xml:space="preserve">(Hénaux </w:t>
      </w:r>
      <w:r w:rsidR="009F541F" w:rsidRPr="00DA5824">
        <w:t>et al</w:t>
      </w:r>
      <w:r w:rsidR="009F541F" w:rsidRPr="009F541F">
        <w:rPr>
          <w:i/>
          <w:iCs/>
        </w:rPr>
        <w:t>.</w:t>
      </w:r>
      <w:r w:rsidR="009F541F" w:rsidRPr="009F541F">
        <w:t xml:space="preserve"> 2010)</w:t>
      </w:r>
      <w:r w:rsidRPr="00EF199C">
        <w:rPr>
          <w:rFonts w:eastAsiaTheme="minorEastAsia"/>
        </w:rPr>
        <w:fldChar w:fldCharType="end"/>
      </w:r>
      <w:r w:rsidRPr="00EF199C">
        <w:rPr>
          <w:rFonts w:eastAsiaTheme="minorEastAsia"/>
        </w:rPr>
        <w:t>.</w:t>
      </w:r>
      <w:r w:rsidR="00EA69D4">
        <w:rPr>
          <w:rFonts w:eastAsiaTheme="minorEastAsia"/>
        </w:rPr>
        <w:t xml:space="preserve"> We excluded the short latent period and combined these into a sing</w:t>
      </w:r>
      <w:r w:rsidR="00F751BF">
        <w:rPr>
          <w:rFonts w:eastAsiaTheme="minorEastAsia"/>
        </w:rPr>
        <w:t>l</w:t>
      </w:r>
      <w:r w:rsidR="00EA69D4">
        <w:rPr>
          <w:rFonts w:eastAsiaTheme="minorEastAsia"/>
        </w:rPr>
        <w:t>e infected (and infectious class)</w:t>
      </w:r>
      <w:r w:rsidR="00451B0E">
        <w:rPr>
          <w:rFonts w:eastAsiaTheme="minorEastAsia"/>
        </w:rPr>
        <w:t xml:space="preserve">, </w:t>
      </w:r>
      <w:r w:rsidR="00EA69D4">
        <w:rPr>
          <w:rFonts w:eastAsiaTheme="minorEastAsia"/>
        </w:rPr>
        <w:t>with a mean infectious period of 5 days.</w:t>
      </w:r>
      <w:r w:rsidR="00BE3EC4">
        <w:rPr>
          <w:rFonts w:eastAsiaTheme="minorEastAsia"/>
        </w:rPr>
        <w:t xml:space="preserve"> </w:t>
      </w:r>
      <w:r w:rsidRPr="00EF199C">
        <w:rPr>
          <w:rFonts w:eastAsiaTheme="minorEastAsia"/>
        </w:rPr>
        <w:t xml:space="preserve">Unfortunately, there are no estimates of these parameters for HPAI in any penguin species and </w:t>
      </w:r>
      <w:r w:rsidR="00451B0E">
        <w:rPr>
          <w:rFonts w:eastAsiaTheme="minorEastAsia"/>
        </w:rPr>
        <w:t>therefore</w:t>
      </w:r>
      <w:r w:rsidRPr="00EF199C">
        <w:rPr>
          <w:rFonts w:eastAsiaTheme="minorEastAsia"/>
        </w:rPr>
        <w:t>, we assume</w:t>
      </w:r>
      <w:r w:rsidR="00451B0E">
        <w:rPr>
          <w:rFonts w:eastAsiaTheme="minorEastAsia"/>
        </w:rPr>
        <w:t>d</w:t>
      </w:r>
      <w:r w:rsidRPr="00EF199C">
        <w:rPr>
          <w:rFonts w:eastAsiaTheme="minorEastAsia"/>
        </w:rPr>
        <w:t xml:space="preserve"> that the dynamics of infection follow a similar epidemiology to that in waterfowl.</w:t>
      </w:r>
      <w:r w:rsidR="00BE3EC4">
        <w:rPr>
          <w:rFonts w:eastAsiaTheme="minorEastAsia"/>
        </w:rPr>
        <w:t xml:space="preserve"> </w:t>
      </w:r>
      <w:r w:rsidRPr="00EF199C">
        <w:rPr>
          <w:rFonts w:eastAsiaTheme="minorEastAsia"/>
        </w:rPr>
        <w:t xml:space="preserve">Whether the dynamics of disease in Little Penguins are </w:t>
      </w:r>
      <w:proofErr w:type="gramStart"/>
      <w:r w:rsidRPr="00EF199C">
        <w:rPr>
          <w:rFonts w:eastAsiaTheme="minorEastAsia"/>
        </w:rPr>
        <w:t>similar to</w:t>
      </w:r>
      <w:proofErr w:type="gramEnd"/>
      <w:r w:rsidRPr="00EF199C">
        <w:rPr>
          <w:rFonts w:eastAsiaTheme="minorEastAsia"/>
        </w:rPr>
        <w:t xml:space="preserve"> waterfowl is obviously uncertain</w:t>
      </w:r>
      <w:r w:rsidR="00532C3E">
        <w:rPr>
          <w:rFonts w:eastAsiaTheme="minorEastAsia"/>
        </w:rPr>
        <w:t>,</w:t>
      </w:r>
      <w:r w:rsidRPr="00EF199C">
        <w:rPr>
          <w:rFonts w:eastAsiaTheme="minorEastAsia"/>
        </w:rPr>
        <w:t xml:space="preserve"> but the epidemiological patterns are likely to be broadly similar.</w:t>
      </w:r>
      <w:r w:rsidR="00BE3EC4">
        <w:rPr>
          <w:rFonts w:eastAsiaTheme="minorEastAsia"/>
        </w:rPr>
        <w:t xml:space="preserve"> </w:t>
      </w:r>
      <w:r w:rsidRPr="00EF199C">
        <w:rPr>
          <w:rFonts w:eastAsiaTheme="minorEastAsia"/>
        </w:rPr>
        <w:t>In the face of this uncertainty, we adopt</w:t>
      </w:r>
      <w:r w:rsidR="00451B0E">
        <w:rPr>
          <w:rFonts w:eastAsiaTheme="minorEastAsia"/>
        </w:rPr>
        <w:t>ed</w:t>
      </w:r>
      <w:r w:rsidRPr="00EF199C">
        <w:rPr>
          <w:rFonts w:eastAsiaTheme="minorEastAsia"/>
        </w:rPr>
        <w:t xml:space="preserve"> this model as representative of a worst-case scenario and incorporate uncertainty in the actual response of Little Penguins to HPAI by varying the values of the key parameters by </w:t>
      </w:r>
      <m:oMath>
        <m:r>
          <w:rPr>
            <w:rFonts w:ascii="Cambria Math" w:eastAsiaTheme="minorEastAsia" w:hAnsi="Cambria Math"/>
          </w:rPr>
          <m:t>±</m:t>
        </m:r>
      </m:oMath>
      <w:r w:rsidRPr="00EF199C">
        <w:rPr>
          <w:rFonts w:eastAsiaTheme="minorEastAsia"/>
        </w:rPr>
        <w:t xml:space="preserve"> 30% and then drawing 250 random parameter values using Latin Hypercube sampling to determine the sensitivity of our conclusions to the key epidemiological parameters.</w:t>
      </w:r>
      <w:r w:rsidR="00BE3EC4">
        <w:rPr>
          <w:rFonts w:eastAsiaTheme="minorEastAsia"/>
        </w:rPr>
        <w:t xml:space="preserve"> </w:t>
      </w:r>
      <w:r w:rsidR="00EF46B8">
        <w:rPr>
          <w:rFonts w:eastAsiaTheme="minorEastAsia"/>
        </w:rPr>
        <w:t xml:space="preserve">More details of the sensitivity analysis are provided in </w:t>
      </w:r>
      <w:r w:rsidR="000958D8">
        <w:rPr>
          <w:rFonts w:eastAsiaTheme="minorEastAsia"/>
        </w:rPr>
        <w:t>s</w:t>
      </w:r>
      <w:r w:rsidR="003910E6">
        <w:rPr>
          <w:rFonts w:eastAsiaTheme="minorEastAsia"/>
        </w:rPr>
        <w:t>ection 6.2</w:t>
      </w:r>
      <w:r w:rsidR="00EF46B8">
        <w:rPr>
          <w:rFonts w:eastAsiaTheme="minorEastAsia"/>
        </w:rPr>
        <w:t>.</w:t>
      </w:r>
      <w:r w:rsidRPr="00EF199C">
        <w:rPr>
          <w:rFonts w:eastAsiaTheme="minorEastAsia"/>
        </w:rPr>
        <w:t xml:space="preserve"> </w:t>
      </w:r>
    </w:p>
    <w:p w14:paraId="42DADC67" w14:textId="77777777" w:rsidR="00AD78A7" w:rsidRDefault="00AD78A7" w:rsidP="001F727C">
      <w:pPr>
        <w:pStyle w:val="Heading4"/>
      </w:pPr>
      <w:r>
        <w:t>Potential mitigation actions</w:t>
      </w:r>
    </w:p>
    <w:p w14:paraId="6146400C" w14:textId="2DF3CACB" w:rsidR="00AD78A7" w:rsidRPr="00A57E27" w:rsidRDefault="00AD78A7" w:rsidP="00AD78A7">
      <w:r w:rsidRPr="00A57E27">
        <w:t>Vaccination against HPAI has been suggested as a possible mitigation for some high-value captive wildlife populations.</w:t>
      </w:r>
      <w:r w:rsidR="00BE3EC4">
        <w:t xml:space="preserve"> </w:t>
      </w:r>
      <w:r w:rsidRPr="00A57E27">
        <w:t xml:space="preserve">Although vaccinating wild birds has logistical challenges </w:t>
      </w:r>
      <w:r w:rsidRPr="00A57E27">
        <w:fldChar w:fldCharType="begin"/>
      </w:r>
      <w:r w:rsidR="009F541F">
        <w:instrText xml:space="preserve"> ADDIN ZOTERO_ITEM CSL_CITATION {"citationID":"XpIdJNfE","properties":{"formattedCitation":"(Roberts {\\i{}et al.} 2024)","plainCitation":"(Roberts et al. 2024)","noteIndex":0},"citationItems":[{"id":9544,"uris":["http://zotero.org/users/634364/items/RU6JUDME"],"itemData":{"id":9544,"type":"article-journal","container-title":"Veterinary Record","issue":"2","note":"publisher: Wiley Online Library","page":"no–no","title":"Vaccination of African penguins (Spheniscus demersus) against high-pathogenicity avian influenza","volume":"194","author":[{"family":"Roberts","given":"Laura Christl"},{"family":"Abernethy","given":"Darrell"},{"family":"Roberts","given":"David Gordon"},{"family":"Ludynia","given":"Katrin"},{"family":"O'Kennedy","given":"Martha Magaretha"},{"family":"Abolnik","given":"Celia"}],"issued":{"date-parts":[["2024"]]}}}],"schema":"https://github.com/citation-style-language/schema/raw/master/csl-citation.json"} </w:instrText>
      </w:r>
      <w:r w:rsidRPr="00A57E27">
        <w:fldChar w:fldCharType="separate"/>
      </w:r>
      <w:r w:rsidR="009F541F" w:rsidRPr="009F541F">
        <w:t xml:space="preserve">(Roberts </w:t>
      </w:r>
      <w:r w:rsidR="009F541F" w:rsidRPr="00DA5824">
        <w:t>et al.</w:t>
      </w:r>
      <w:r w:rsidR="009F541F" w:rsidRPr="009F541F">
        <w:t xml:space="preserve"> 2024)</w:t>
      </w:r>
      <w:r w:rsidRPr="00A57E27">
        <w:fldChar w:fldCharType="end"/>
      </w:r>
      <w:r w:rsidRPr="00A57E27">
        <w:t>, a case for vaccination could be argued for the high-value colony of Little Penguins inhabiting the area around Summerland Beach (</w:t>
      </w:r>
      <w:r w:rsidR="00451B0E">
        <w:t>‘</w:t>
      </w:r>
      <w:r w:rsidRPr="00A57E27">
        <w:t>the Penguin Parade</w:t>
      </w:r>
      <w:r w:rsidR="00451B0E">
        <w:t>’</w:t>
      </w:r>
      <w:r w:rsidRPr="00A57E27">
        <w:t>) to protect th</w:t>
      </w:r>
      <w:r w:rsidR="00090376">
        <w:t>e ecotourism industry associated with this</w:t>
      </w:r>
      <w:r w:rsidRPr="00A57E27">
        <w:t xml:space="preserve"> sub-</w:t>
      </w:r>
      <w:r w:rsidR="00954830" w:rsidRPr="0088608E">
        <w:t>population</w:t>
      </w:r>
      <w:r w:rsidR="0088608E" w:rsidRPr="00A0449E">
        <w:t>.</w:t>
      </w:r>
    </w:p>
    <w:p w14:paraId="5F13E406" w14:textId="7CB78783" w:rsidR="00AD78A7" w:rsidRPr="00A57E27" w:rsidRDefault="00AD78A7" w:rsidP="00AD78A7">
      <w:r w:rsidRPr="00A57E27">
        <w:t xml:space="preserve">Vaccination of wild birds with vaccines for the H5 and H7 subtypes of HPAI </w:t>
      </w:r>
      <w:r w:rsidR="00451B0E">
        <w:t>is</w:t>
      </w:r>
      <w:r w:rsidRPr="00A57E27">
        <w:t xml:space="preserve"> reportedly safe in most taxonomic orders of wild birds </w:t>
      </w:r>
      <w:r w:rsidRPr="00A57E27">
        <w:fldChar w:fldCharType="begin"/>
      </w:r>
      <w:r w:rsidR="009F541F">
        <w:instrText xml:space="preserve"> ADDIN ZOTERO_ITEM CSL_CITATION {"citationID":"AdWsF4Ii","properties":{"formattedCitation":"(Vaughan-Higgins {\\i{}et al.} 2024)","plainCitation":"(Vaughan-Higgins et al. 2024)","noteIndex":0},"citationItems":[{"id":9550,"uris":["http://zotero.org/users/634364/items/RB9CABHX"],"itemData":{"id":9550,"type":"report","event-place":"University of Melbourne.","publisher":"Report prepared for Phillip Island Nature Parks","publisher-place":"University of Melbourne.","title":"Phillip Island (Millowl) Little Penguin (Eudyptula minor) disease risk assessment","author":[{"family":"Vaughan-Higgins","given":"R."},{"family":"Skerratt","given":"Lee F"},{"family":"Hufschmid","given":"Jasmin"}],"issued":{"date-parts":[["2024"]]}}}],"schema":"https://github.com/citation-style-language/schema/raw/master/csl-citation.json"} </w:instrText>
      </w:r>
      <w:r w:rsidRPr="00A57E27">
        <w:fldChar w:fldCharType="separate"/>
      </w:r>
      <w:r w:rsidR="009F541F" w:rsidRPr="009F541F">
        <w:t xml:space="preserve">(Vaughan-Higgins </w:t>
      </w:r>
      <w:r w:rsidR="009F541F" w:rsidRPr="00DA5824">
        <w:t>et al</w:t>
      </w:r>
      <w:r w:rsidR="009F541F" w:rsidRPr="009F541F">
        <w:rPr>
          <w:i/>
          <w:iCs/>
        </w:rPr>
        <w:t>.</w:t>
      </w:r>
      <w:r w:rsidR="009F541F" w:rsidRPr="009F541F">
        <w:t xml:space="preserve"> 2024)</w:t>
      </w:r>
      <w:r w:rsidRPr="00A57E27">
        <w:fldChar w:fldCharType="end"/>
      </w:r>
      <w:r w:rsidRPr="00A57E27">
        <w:t>.</w:t>
      </w:r>
      <w:r w:rsidR="00BE3EC4">
        <w:t xml:space="preserve"> </w:t>
      </w:r>
      <w:r w:rsidRPr="00A57E27">
        <w:t xml:space="preserve">Recent investigations of the use of vaccines in </w:t>
      </w:r>
      <w:r w:rsidRPr="00A57E27">
        <w:lastRenderedPageBreak/>
        <w:t xml:space="preserve">African Penguins for protection against HPAI infection indicated protective antibody titres lasting for 175 days </w:t>
      </w:r>
      <w:r w:rsidRPr="00A57E27">
        <w:fldChar w:fldCharType="begin"/>
      </w:r>
      <w:r w:rsidR="009F541F">
        <w:instrText xml:space="preserve"> ADDIN ZOTERO_ITEM CSL_CITATION {"citationID":"EB3F1k5S","properties":{"formattedCitation":"(Roberts {\\i{}et al.} 2024)","plainCitation":"(Roberts et al. 2024)","noteIndex":0},"citationItems":[{"id":9544,"uris":["http://zotero.org/users/634364/items/RU6JUDME"],"itemData":{"id":9544,"type":"article-journal","container-title":"Veterinary Record","issue":"2","note":"publisher: Wiley Online Library","page":"no–no","title":"Vaccination of African penguins (Spheniscus demersus) against high-pathogenicity avian influenza","volume":"194","author":[{"family":"Roberts","given":"Laura Christl"},{"family":"Abernethy","given":"Darrell"},{"family":"Roberts","given":"David Gordon"},{"family":"Ludynia","given":"Katrin"},{"family":"O'Kennedy","given":"Martha Magaretha"},{"family":"Abolnik","given":"Celia"}],"issued":{"date-parts":[["2024"]]}}}],"schema":"https://github.com/citation-style-language/schema/raw/master/csl-citation.json"} </w:instrText>
      </w:r>
      <w:r w:rsidRPr="00A57E27">
        <w:fldChar w:fldCharType="separate"/>
      </w:r>
      <w:r w:rsidR="009F541F" w:rsidRPr="009F541F">
        <w:t xml:space="preserve">(Roberts </w:t>
      </w:r>
      <w:r w:rsidR="009F541F" w:rsidRPr="00DA5824">
        <w:t>et al</w:t>
      </w:r>
      <w:r w:rsidR="009F541F" w:rsidRPr="009F541F">
        <w:rPr>
          <w:i/>
          <w:iCs/>
        </w:rPr>
        <w:t>.</w:t>
      </w:r>
      <w:r w:rsidR="009F541F" w:rsidRPr="009F541F">
        <w:t xml:space="preserve"> 2024)</w:t>
      </w:r>
      <w:r w:rsidRPr="00A57E27">
        <w:fldChar w:fldCharType="end"/>
      </w:r>
      <w:r w:rsidRPr="00A57E27">
        <w:t>.</w:t>
      </w:r>
    </w:p>
    <w:p w14:paraId="12DE35EA" w14:textId="71F1D697" w:rsidR="00AC0D94" w:rsidRDefault="00AD78A7" w:rsidP="00AC0D94">
      <w:pPr>
        <w:rPr>
          <w:rFonts w:eastAsiaTheme="minorEastAsia"/>
        </w:rPr>
      </w:pPr>
      <w:r w:rsidRPr="00A57E27">
        <w:t>To model vaccination strategies for Little Penguins, we assumed that vaccination</w:t>
      </w:r>
      <w:r w:rsidR="00455D86">
        <w:t>s</w:t>
      </w:r>
      <w:r w:rsidRPr="00A57E27">
        <w:t xml:space="preserve"> </w:t>
      </w:r>
      <w:r w:rsidR="00455D86" w:rsidRPr="00A57E27">
        <w:t>w</w:t>
      </w:r>
      <w:r w:rsidR="00455D86">
        <w:t>ere</w:t>
      </w:r>
      <w:r w:rsidR="00455D86" w:rsidRPr="00A57E27">
        <w:t xml:space="preserve"> </w:t>
      </w:r>
      <w:r w:rsidRPr="00A57E27">
        <w:t xml:space="preserve">applied over </w:t>
      </w:r>
      <w:proofErr w:type="gramStart"/>
      <w:r w:rsidRPr="00A57E27">
        <w:t>a period of time</w:t>
      </w:r>
      <w:proofErr w:type="gramEnd"/>
      <w:r w:rsidRPr="00A57E27">
        <w:t xml:space="preserve"> (e.g. one month) reflective of the amount of time taken to achieve the required rate of population coverage.</w:t>
      </w:r>
      <w:r w:rsidR="00BE3EC4">
        <w:t xml:space="preserve"> </w:t>
      </w:r>
      <w:r w:rsidRPr="00A57E27">
        <w:t>To facilitate this, an extra vaccinated class</w:t>
      </w:r>
      <w:r w:rsidR="00FB29F6">
        <w:t xml:space="preserve"> </w:t>
      </w:r>
      <w:r w:rsidRPr="00A57E27">
        <w:t>was added to the model</w:t>
      </w:r>
      <w:r w:rsidR="00455D86">
        <w:t xml:space="preserve">, </w:t>
      </w:r>
      <w:r w:rsidRPr="00A57E27">
        <w:t>with vaccinated individuals added progressively over the designated period.</w:t>
      </w:r>
      <w:r w:rsidR="00BE3EC4">
        <w:t xml:space="preserve"> </w:t>
      </w:r>
      <w:r w:rsidR="00607338">
        <w:t xml:space="preserve">Each vaccinated individual </w:t>
      </w:r>
      <w:r w:rsidR="005431D5">
        <w:t xml:space="preserve">had a mean period of immunity of 175 days </w:t>
      </w:r>
      <w:r w:rsidR="00EC1FCE">
        <w:fldChar w:fldCharType="begin"/>
      </w:r>
      <w:r w:rsidR="009F541F">
        <w:instrText xml:space="preserve"> ADDIN ZOTERO_ITEM CSL_CITATION {"citationID":"dPuD0yOt","properties":{"formattedCitation":"(Roberts {\\i{}et al.} 2024)","plainCitation":"(Roberts et al. 2024)","noteIndex":0},"citationItems":[{"id":9544,"uris":["http://zotero.org/users/634364/items/RU6JUDME"],"itemData":{"id":9544,"type":"article-journal","container-title":"Veterinary Record","issue":"2","note":"publisher: Wiley Online Library","page":"no–no","title":"Vaccination of African penguins (Spheniscus demersus) against high-pathogenicity avian influenza","volume":"194","author":[{"family":"Roberts","given":"Laura Christl"},{"family":"Abernethy","given":"Darrell"},{"family":"Roberts","given":"David Gordon"},{"family":"Ludynia","given":"Katrin"},{"family":"O'Kennedy","given":"Martha Magaretha"},{"family":"Abolnik","given":"Celia"}],"issued":{"date-parts":[["2024"]]}}}],"schema":"https://github.com/citation-style-language/schema/raw/master/csl-citation.json"} </w:instrText>
      </w:r>
      <w:r w:rsidR="00EC1FCE">
        <w:fldChar w:fldCharType="separate"/>
      </w:r>
      <w:r w:rsidR="009F541F" w:rsidRPr="009F541F">
        <w:t xml:space="preserve">(Roberts </w:t>
      </w:r>
      <w:r w:rsidR="009F541F" w:rsidRPr="00DA5824">
        <w:t>et al</w:t>
      </w:r>
      <w:r w:rsidR="009F541F" w:rsidRPr="009F541F">
        <w:rPr>
          <w:i/>
          <w:iCs/>
        </w:rPr>
        <w:t>.</w:t>
      </w:r>
      <w:r w:rsidR="009F541F" w:rsidRPr="009F541F">
        <w:t xml:space="preserve"> 2024)</w:t>
      </w:r>
      <w:r w:rsidR="00EC1FCE">
        <w:fldChar w:fldCharType="end"/>
      </w:r>
      <w:r w:rsidR="00EC1FCE">
        <w:t>.</w:t>
      </w:r>
      <w:r w:rsidR="00BE3EC4">
        <w:rPr>
          <w:rFonts w:eastAsiaTheme="minorEastAsia"/>
        </w:rPr>
        <w:t xml:space="preserve"> </w:t>
      </w:r>
      <w:r w:rsidR="00AC0D94">
        <w:rPr>
          <w:rFonts w:eastAsiaTheme="minorEastAsia"/>
        </w:rPr>
        <w:t>We investigated scenarios where vaccination was applied prophylactically (e.g. prior to disease arrival) as well as when diseased birds were first detected, which was assumed to be one week following initial disease arrival.</w:t>
      </w:r>
      <w:r w:rsidR="00BE3EC4">
        <w:rPr>
          <w:rFonts w:eastAsiaTheme="minorEastAsia"/>
        </w:rPr>
        <w:t xml:space="preserve"> </w:t>
      </w:r>
      <w:r w:rsidR="00AC0D94">
        <w:rPr>
          <w:rFonts w:eastAsiaTheme="minorEastAsia"/>
        </w:rPr>
        <w:t>We examined varying rates of vaccine coverage between 20% and 95% of the population vaccinated.</w:t>
      </w:r>
    </w:p>
    <w:p w14:paraId="35ECD1E1" w14:textId="41B95535" w:rsidR="00AD78A7" w:rsidRDefault="00705F0C" w:rsidP="001F727C">
      <w:pPr>
        <w:pStyle w:val="Heading4"/>
        <w:rPr>
          <w:rFonts w:eastAsiaTheme="minorEastAsia"/>
        </w:rPr>
      </w:pPr>
      <w:r>
        <w:rPr>
          <w:rFonts w:eastAsiaTheme="minorEastAsia"/>
        </w:rPr>
        <w:t>HPAI impacts</w:t>
      </w:r>
    </w:p>
    <w:p w14:paraId="1015F412" w14:textId="7493D19A" w:rsidR="00AD78A7" w:rsidRDefault="00AD78A7" w:rsidP="00AD78A7">
      <w:pPr>
        <w:rPr>
          <w:rFonts w:eastAsiaTheme="minorEastAsia"/>
        </w:rPr>
      </w:pPr>
      <w:r>
        <w:rPr>
          <w:rFonts w:eastAsiaTheme="minorEastAsia"/>
        </w:rPr>
        <w:t xml:space="preserve">Simulation of an incursion of HPAI into a population of 1000 Little Penguins resulted in rapid disease progression, with the epidemic lasting approximately 6 weeks (Figure </w:t>
      </w:r>
      <w:r w:rsidR="003910E6">
        <w:rPr>
          <w:rFonts w:eastAsiaTheme="minorEastAsia"/>
        </w:rPr>
        <w:t>10</w:t>
      </w:r>
      <w:r>
        <w:rPr>
          <w:rFonts w:eastAsiaTheme="minorEastAsia"/>
        </w:rPr>
        <w:t>).</w:t>
      </w:r>
      <w:r w:rsidR="00BE3EC4">
        <w:rPr>
          <w:rFonts w:eastAsiaTheme="minorEastAsia"/>
        </w:rPr>
        <w:t xml:space="preserve"> </w:t>
      </w:r>
      <w:r>
        <w:rPr>
          <w:rFonts w:eastAsiaTheme="minorEastAsia"/>
        </w:rPr>
        <w:t xml:space="preserve">Peak prevalence of infected individuals reached 29% approximately </w:t>
      </w:r>
      <w:r w:rsidR="00EA69D4">
        <w:rPr>
          <w:rFonts w:eastAsiaTheme="minorEastAsia"/>
        </w:rPr>
        <w:t>2</w:t>
      </w:r>
      <w:r>
        <w:rPr>
          <w:rFonts w:eastAsiaTheme="minorEastAsia"/>
        </w:rPr>
        <w:t xml:space="preserve"> weeks following initial infection.</w:t>
      </w:r>
      <w:r w:rsidR="00BE3EC4">
        <w:rPr>
          <w:rFonts w:eastAsiaTheme="minorEastAsia"/>
        </w:rPr>
        <w:t xml:space="preserve"> </w:t>
      </w:r>
      <w:r>
        <w:rPr>
          <w:rFonts w:eastAsiaTheme="minorEastAsia"/>
        </w:rPr>
        <w:t xml:space="preserve">The cumulative mortality rate due to HPAI reached 30% and </w:t>
      </w:r>
      <w:r w:rsidR="00455D86">
        <w:rPr>
          <w:rFonts w:eastAsiaTheme="minorEastAsia"/>
        </w:rPr>
        <w:t>therefore</w:t>
      </w:r>
      <w:r>
        <w:rPr>
          <w:rFonts w:eastAsiaTheme="minorEastAsia"/>
        </w:rPr>
        <w:t>, 300 of the 1000 individuals were lost during the epidemic.</w:t>
      </w:r>
      <w:r w:rsidR="00BE3EC4">
        <w:rPr>
          <w:rFonts w:eastAsiaTheme="minorEastAsia"/>
        </w:rPr>
        <w:t xml:space="preserve"> </w:t>
      </w:r>
      <w:r>
        <w:rPr>
          <w:rFonts w:eastAsiaTheme="minorEastAsia"/>
        </w:rPr>
        <w:t>Following the epidemic</w:t>
      </w:r>
      <w:r w:rsidR="00455D86">
        <w:rPr>
          <w:rFonts w:eastAsiaTheme="minorEastAsia"/>
        </w:rPr>
        <w:t>,</w:t>
      </w:r>
      <w:r>
        <w:rPr>
          <w:rFonts w:eastAsiaTheme="minorEastAsia"/>
        </w:rPr>
        <w:t xml:space="preserve"> almost all remaining individuals had been exposed and recovered from infection (Figure </w:t>
      </w:r>
      <w:r w:rsidR="003910E6">
        <w:rPr>
          <w:rFonts w:eastAsiaTheme="minorEastAsia"/>
        </w:rPr>
        <w:t>10</w:t>
      </w:r>
      <w:r>
        <w:rPr>
          <w:rFonts w:eastAsiaTheme="minorEastAsia"/>
        </w:rPr>
        <w:t>).</w:t>
      </w:r>
    </w:p>
    <w:p w14:paraId="3FC07F8A" w14:textId="77777777" w:rsidR="00957AB5" w:rsidRDefault="00957AB5" w:rsidP="00AD78A7">
      <w:pPr>
        <w:rPr>
          <w:rFonts w:eastAsiaTheme="minorEastAsia"/>
        </w:rPr>
      </w:pPr>
    </w:p>
    <w:p w14:paraId="35410CB7" w14:textId="51F693C0" w:rsidR="00AD78A7" w:rsidRDefault="00E86F1B" w:rsidP="008C3128">
      <w:pPr>
        <w:jc w:val="center"/>
      </w:pPr>
      <w:r>
        <w:rPr>
          <w:noProof/>
        </w:rPr>
        <w:drawing>
          <wp:inline distT="0" distB="0" distL="0" distR="0" wp14:anchorId="7B8F0709" wp14:editId="256B10FE">
            <wp:extent cx="6120765" cy="4066540"/>
            <wp:effectExtent l="0" t="0" r="0" b="0"/>
            <wp:docPr id="2042034086" name="Picture 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34086" name="Picture 5" descr="A graph of different colored lines&#10;&#10;AI-generated content may be incorrect."/>
                    <pic:cNvPicPr/>
                  </pic:nvPicPr>
                  <pic:blipFill>
                    <a:blip r:embed="rId51" cstate="screen">
                      <a:extLst>
                        <a:ext uri="{28A0092B-C50C-407E-A947-70E740481C1C}">
                          <a14:useLocalDpi xmlns:a14="http://schemas.microsoft.com/office/drawing/2010/main" val="0"/>
                        </a:ext>
                      </a:extLst>
                    </a:blip>
                    <a:stretch>
                      <a:fillRect/>
                    </a:stretch>
                  </pic:blipFill>
                  <pic:spPr>
                    <a:xfrm>
                      <a:off x="0" y="0"/>
                      <a:ext cx="6120765" cy="4066540"/>
                    </a:xfrm>
                    <a:prstGeom prst="rect">
                      <a:avLst/>
                    </a:prstGeom>
                  </pic:spPr>
                </pic:pic>
              </a:graphicData>
            </a:graphic>
          </wp:inline>
        </w:drawing>
      </w:r>
    </w:p>
    <w:p w14:paraId="1B918879" w14:textId="4DF78674" w:rsidR="00AD78A7" w:rsidRDefault="00AD78A7" w:rsidP="00794FE5">
      <w:pPr>
        <w:pStyle w:val="Caption-Figure"/>
      </w:pPr>
      <w:bookmarkStart w:id="91" w:name="_Toc198634161"/>
      <w:r>
        <w:t xml:space="preserve">Figure </w:t>
      </w:r>
      <w:r w:rsidR="003910E6">
        <w:t>10</w:t>
      </w:r>
      <w:r>
        <w:t>.</w:t>
      </w:r>
      <w:r w:rsidR="00BE3EC4">
        <w:t xml:space="preserve"> </w:t>
      </w:r>
      <w:r>
        <w:t>Predicted mean trajectories for each of the disease states following an outbreak of HPAI in a population of Little Penguins. N – total population</w:t>
      </w:r>
      <w:r w:rsidR="001729FF">
        <w:t xml:space="preserve"> and D </w:t>
      </w:r>
      <w:r w:rsidR="00455D86">
        <w:t>–</w:t>
      </w:r>
      <w:r w:rsidR="001729FF">
        <w:t xml:space="preserve"> deaths</w:t>
      </w:r>
      <w:r>
        <w:t xml:space="preserve"> (relative </w:t>
      </w:r>
      <w:r w:rsidR="00E86F1B">
        <w:t>population size</w:t>
      </w:r>
      <w:r>
        <w:t>), S</w:t>
      </w:r>
      <w:r w:rsidR="00455D86">
        <w:t> </w:t>
      </w:r>
      <w:r>
        <w:t>–</w:t>
      </w:r>
      <w:r w:rsidR="00455D86">
        <w:t> </w:t>
      </w:r>
      <w:r>
        <w:t>Susceptible, I – infected</w:t>
      </w:r>
      <w:r w:rsidR="00DE5763">
        <w:t xml:space="preserve"> (and infectious)</w:t>
      </w:r>
      <w:r>
        <w:t>, R – recovered</w:t>
      </w:r>
      <w:r w:rsidR="001729FF">
        <w:t xml:space="preserve"> (</w:t>
      </w:r>
      <w:r w:rsidR="00E86F1B">
        <w:t>prevalence)</w:t>
      </w:r>
      <w:r w:rsidR="001729FF">
        <w:t>.</w:t>
      </w:r>
      <w:bookmarkEnd w:id="91"/>
    </w:p>
    <w:p w14:paraId="6144238B" w14:textId="77777777" w:rsidR="00705F0C" w:rsidRDefault="00705F0C" w:rsidP="00AD78A7">
      <w:pPr>
        <w:rPr>
          <w:rFonts w:eastAsiaTheme="minorEastAsia"/>
        </w:rPr>
      </w:pPr>
    </w:p>
    <w:p w14:paraId="392D4214" w14:textId="3C87D9B4" w:rsidR="00AD78A7" w:rsidRDefault="00957AB5" w:rsidP="00AD78A7">
      <w:r>
        <w:rPr>
          <w:rFonts w:eastAsiaTheme="minorEastAsia"/>
        </w:rPr>
        <w:t>Variation in the likely responses of Little Penguins to an incursion of HPAI, considering variation in the key epidemiological parameters, suggested that peak prevalence of HPAI infection could vary from 0% (i.e.</w:t>
      </w:r>
      <w:r w:rsidR="00455D86">
        <w:rPr>
          <w:rFonts w:eastAsiaTheme="minorEastAsia"/>
        </w:rPr>
        <w:t> </w:t>
      </w:r>
      <w:r>
        <w:rPr>
          <w:rFonts w:eastAsiaTheme="minorEastAsia"/>
        </w:rPr>
        <w:t xml:space="preserve">epidemic fadeout) to 41% (Figure </w:t>
      </w:r>
      <w:r w:rsidR="003910E6">
        <w:rPr>
          <w:rFonts w:eastAsiaTheme="minorEastAsia"/>
        </w:rPr>
        <w:t>1</w:t>
      </w:r>
      <w:r w:rsidR="000958D8">
        <w:rPr>
          <w:rFonts w:eastAsiaTheme="minorEastAsia"/>
        </w:rPr>
        <w:t>1</w:t>
      </w:r>
      <w:r>
        <w:rPr>
          <w:rFonts w:eastAsiaTheme="minorEastAsia"/>
        </w:rPr>
        <w:t>).</w:t>
      </w:r>
      <w:r w:rsidR="00BE3EC4">
        <w:rPr>
          <w:rFonts w:eastAsiaTheme="minorEastAsia"/>
        </w:rPr>
        <w:t xml:space="preserve"> </w:t>
      </w:r>
      <w:r>
        <w:rPr>
          <w:rFonts w:eastAsiaTheme="minorEastAsia"/>
        </w:rPr>
        <w:t>The mortality rate was also equally variable</w:t>
      </w:r>
      <w:r w:rsidR="00455D86">
        <w:rPr>
          <w:rFonts w:eastAsiaTheme="minorEastAsia"/>
        </w:rPr>
        <w:t>,</w:t>
      </w:r>
      <w:r>
        <w:rPr>
          <w:rFonts w:eastAsiaTheme="minorEastAsia"/>
        </w:rPr>
        <w:t xml:space="preserve"> ranging from 0% to 42% mortality (Figure </w:t>
      </w:r>
      <w:r w:rsidR="003910E6">
        <w:rPr>
          <w:rFonts w:eastAsiaTheme="minorEastAsia"/>
        </w:rPr>
        <w:t>1</w:t>
      </w:r>
      <w:r w:rsidR="000958D8">
        <w:rPr>
          <w:rFonts w:eastAsiaTheme="minorEastAsia"/>
        </w:rPr>
        <w:t>1</w:t>
      </w:r>
      <w:r>
        <w:rPr>
          <w:rFonts w:eastAsiaTheme="minorEastAsia"/>
        </w:rPr>
        <w:t>).</w:t>
      </w:r>
      <w:r w:rsidR="00BE3EC4">
        <w:rPr>
          <w:rFonts w:eastAsiaTheme="minorEastAsia"/>
        </w:rPr>
        <w:t xml:space="preserve"> </w:t>
      </w:r>
      <w:r>
        <w:rPr>
          <w:rFonts w:eastAsiaTheme="minorEastAsia"/>
        </w:rPr>
        <w:t>Epidemic fadeout occurred where transmission of HPAI was insufficient to cause an epidemic, resulting in the extinction of HPAI from the population.</w:t>
      </w:r>
      <w:r w:rsidR="00BE3EC4">
        <w:rPr>
          <w:rFonts w:eastAsiaTheme="minorEastAsia"/>
        </w:rPr>
        <w:t xml:space="preserve"> </w:t>
      </w:r>
      <w:r>
        <w:rPr>
          <w:rFonts w:eastAsiaTheme="minorEastAsia"/>
        </w:rPr>
        <w:t>This occurred in 18% of parameter sets.</w:t>
      </w:r>
      <w:r w:rsidR="00BE3EC4">
        <w:rPr>
          <w:rFonts w:eastAsiaTheme="minorEastAsia"/>
        </w:rPr>
        <w:t xml:space="preserve"> </w:t>
      </w:r>
      <w:r>
        <w:rPr>
          <w:rFonts w:eastAsiaTheme="minorEastAsia"/>
        </w:rPr>
        <w:t>Excluding cases of epidemic fadeout, peak prevalence ranged from 7% to 43%</w:t>
      </w:r>
      <w:r w:rsidR="00455D86">
        <w:rPr>
          <w:rFonts w:eastAsiaTheme="minorEastAsia"/>
        </w:rPr>
        <w:t>,</w:t>
      </w:r>
      <w:r>
        <w:rPr>
          <w:rFonts w:eastAsiaTheme="minorEastAsia"/>
        </w:rPr>
        <w:t xml:space="preserve"> with mortality ranging from 21% to 42%</w:t>
      </w:r>
      <w:r w:rsidR="007B10A0">
        <w:rPr>
          <w:rFonts w:eastAsiaTheme="minorEastAsia"/>
        </w:rPr>
        <w:t xml:space="preserve"> (Figure </w:t>
      </w:r>
      <w:r w:rsidR="003910E6">
        <w:rPr>
          <w:rFonts w:eastAsiaTheme="minorEastAsia"/>
        </w:rPr>
        <w:t>1</w:t>
      </w:r>
      <w:r w:rsidR="000958D8">
        <w:rPr>
          <w:rFonts w:eastAsiaTheme="minorEastAsia"/>
        </w:rPr>
        <w:t>1</w:t>
      </w:r>
      <w:r w:rsidR="007B10A0">
        <w:rPr>
          <w:rFonts w:eastAsiaTheme="minorEastAsia"/>
        </w:rPr>
        <w:t>)</w:t>
      </w:r>
      <w:r w:rsidR="00A20EC2">
        <w:rPr>
          <w:rFonts w:eastAsiaTheme="minorEastAsia"/>
        </w:rPr>
        <w:t>.</w:t>
      </w:r>
    </w:p>
    <w:p w14:paraId="6A4F4832" w14:textId="5230F638" w:rsidR="00AD78A7" w:rsidRDefault="00AD78A7" w:rsidP="00AD78A7"/>
    <w:p w14:paraId="7E918D0A" w14:textId="3B9DD810" w:rsidR="00AD78A7" w:rsidRDefault="00E86F1B" w:rsidP="008C3128">
      <w:pPr>
        <w:jc w:val="center"/>
      </w:pPr>
      <w:r>
        <w:rPr>
          <w:noProof/>
        </w:rPr>
        <w:lastRenderedPageBreak/>
        <w:drawing>
          <wp:inline distT="0" distB="0" distL="0" distR="0" wp14:anchorId="3176BC26" wp14:editId="1C87EBBA">
            <wp:extent cx="6120765" cy="4066540"/>
            <wp:effectExtent l="0" t="0" r="0" b="0"/>
            <wp:docPr id="651693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9325" name="Picture 65169325"/>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6120765" cy="4066540"/>
                    </a:xfrm>
                    <a:prstGeom prst="rect">
                      <a:avLst/>
                    </a:prstGeom>
                  </pic:spPr>
                </pic:pic>
              </a:graphicData>
            </a:graphic>
          </wp:inline>
        </w:drawing>
      </w:r>
    </w:p>
    <w:p w14:paraId="30DCA189" w14:textId="1F5C0845" w:rsidR="00AD78A7" w:rsidRDefault="00AD78A7" w:rsidP="00A20EC2">
      <w:pPr>
        <w:pStyle w:val="Caption-Figure"/>
      </w:pPr>
      <w:bookmarkStart w:id="92" w:name="_Toc198634162"/>
      <w:r>
        <w:t xml:space="preserve">Figure </w:t>
      </w:r>
      <w:r w:rsidR="003910E6">
        <w:t>1</w:t>
      </w:r>
      <w:r w:rsidR="000958D8">
        <w:t>1</w:t>
      </w:r>
      <w:r>
        <w:t>.</w:t>
      </w:r>
      <w:r w:rsidR="00BE3EC4">
        <w:t xml:space="preserve"> </w:t>
      </w:r>
      <w:r w:rsidR="002818D7">
        <w:t>Predicted uncertainty in total (relative) population size (N)</w:t>
      </w:r>
      <w:r w:rsidR="00455D86">
        <w:t>,</w:t>
      </w:r>
      <w:r w:rsidR="002818D7">
        <w:t xml:space="preserve"> infection prevalence (I)</w:t>
      </w:r>
      <w:r w:rsidR="00455D86">
        <w:t>,</w:t>
      </w:r>
      <w:r w:rsidR="002818D7">
        <w:t xml:space="preserve"> and deaths (D) </w:t>
      </w:r>
      <w:r w:rsidR="00FE4FE6">
        <w:t xml:space="preserve">of </w:t>
      </w:r>
      <w:r w:rsidR="00E07B96">
        <w:t>High Pathogenic Avian Influenza</w:t>
      </w:r>
      <w:r w:rsidR="00FE4FE6">
        <w:t xml:space="preserve"> (HPAI) in Little Penguins predicted from the stochastic IBM.</w:t>
      </w:r>
      <w:r w:rsidR="00BE3EC4">
        <w:t xml:space="preserve"> </w:t>
      </w:r>
      <w:r w:rsidR="002818D7">
        <w:t xml:space="preserve">Trajectories were generated by varying key parameters by </w:t>
      </w:r>
      <m:oMath>
        <m:r>
          <m:rPr>
            <m:sty m:val="bi"/>
          </m:rPr>
          <w:rPr>
            <w:rFonts w:ascii="Cambria Math" w:hAnsi="Cambria Math"/>
          </w:rPr>
          <m:t>±</m:t>
        </m:r>
      </m:oMath>
      <w:r w:rsidR="002818D7">
        <w:t xml:space="preserve"> 30% and simulating 250 sets of random parameter values using Latin hypercube sampling, </w:t>
      </w:r>
      <w:r>
        <w:t>Solid black line – mean, dashed black lines – 90% confidence intervals.</w:t>
      </w:r>
      <w:r w:rsidR="00BE3EC4">
        <w:t xml:space="preserve"> </w:t>
      </w:r>
      <w:r>
        <w:t>Susceptible and Recovered states have been removed for clarity.</w:t>
      </w:r>
      <w:bookmarkEnd w:id="92"/>
      <w:r>
        <w:t xml:space="preserve"> </w:t>
      </w:r>
    </w:p>
    <w:p w14:paraId="1B2DC3A3" w14:textId="77777777" w:rsidR="00AD78A7" w:rsidRDefault="00AD78A7" w:rsidP="00AD78A7">
      <w:pPr>
        <w:rPr>
          <w:rFonts w:eastAsiaTheme="minorEastAsia"/>
        </w:rPr>
      </w:pPr>
    </w:p>
    <w:p w14:paraId="45B706E7" w14:textId="77777777" w:rsidR="00AD78A7" w:rsidRDefault="00AD78A7" w:rsidP="001F727C">
      <w:pPr>
        <w:pStyle w:val="Heading4"/>
        <w:rPr>
          <w:rFonts w:eastAsiaTheme="minorEastAsia"/>
        </w:rPr>
      </w:pPr>
      <w:r>
        <w:rPr>
          <w:rFonts w:eastAsiaTheme="minorEastAsia"/>
        </w:rPr>
        <w:t>Vaccination strategies</w:t>
      </w:r>
    </w:p>
    <w:p w14:paraId="199098B9" w14:textId="7D7D5816" w:rsidR="00AD78A7" w:rsidRDefault="00AD78A7" w:rsidP="00AD78A7">
      <w:pPr>
        <w:rPr>
          <w:rFonts w:eastAsiaTheme="minorEastAsia"/>
        </w:rPr>
      </w:pPr>
      <w:r>
        <w:rPr>
          <w:rFonts w:eastAsiaTheme="minorEastAsia"/>
        </w:rPr>
        <w:t>When vaccinating the population prophylactically prior to HPAI arrival, high rates of vaccination, achieving at least 50% population coverage reduced mortalities due to HPAI by around 62% (Figure</w:t>
      </w:r>
      <w:r w:rsidR="00832DFE">
        <w:rPr>
          <w:rFonts w:eastAsiaTheme="minorEastAsia"/>
        </w:rPr>
        <w:t>’</w:t>
      </w:r>
      <w:r>
        <w:rPr>
          <w:rFonts w:eastAsiaTheme="minorEastAsia"/>
        </w:rPr>
        <w:t xml:space="preserve">s </w:t>
      </w:r>
      <w:r w:rsidR="00EF0C95">
        <w:rPr>
          <w:rFonts w:eastAsiaTheme="minorEastAsia"/>
        </w:rPr>
        <w:t>1</w:t>
      </w:r>
      <w:r w:rsidR="003910E6">
        <w:rPr>
          <w:rFonts w:eastAsiaTheme="minorEastAsia"/>
        </w:rPr>
        <w:t>2</w:t>
      </w:r>
      <w:r>
        <w:rPr>
          <w:rFonts w:eastAsiaTheme="minorEastAsia"/>
        </w:rPr>
        <w:t xml:space="preserve"> </w:t>
      </w:r>
      <w:r w:rsidR="00832DFE">
        <w:rPr>
          <w:rFonts w:eastAsiaTheme="minorEastAsia"/>
        </w:rPr>
        <w:t>and</w:t>
      </w:r>
      <w:r>
        <w:rPr>
          <w:rFonts w:eastAsiaTheme="minorEastAsia"/>
        </w:rPr>
        <w:t xml:space="preserve"> </w:t>
      </w:r>
      <w:r w:rsidR="007B10A0">
        <w:rPr>
          <w:rFonts w:eastAsiaTheme="minorEastAsia"/>
        </w:rPr>
        <w:t>A5</w:t>
      </w:r>
      <w:r w:rsidR="000F5EDF">
        <w:rPr>
          <w:rFonts w:eastAsiaTheme="minorEastAsia"/>
        </w:rPr>
        <w:t xml:space="preserve"> – </w:t>
      </w:r>
      <w:r w:rsidR="00A23016">
        <w:rPr>
          <w:rFonts w:eastAsiaTheme="minorEastAsia"/>
        </w:rPr>
        <w:t>s</w:t>
      </w:r>
      <w:r w:rsidR="000F5EDF">
        <w:rPr>
          <w:rFonts w:eastAsiaTheme="minorEastAsia"/>
        </w:rPr>
        <w:t>ection 6.2</w:t>
      </w:r>
      <w:r>
        <w:rPr>
          <w:rFonts w:eastAsiaTheme="minorEastAsia"/>
        </w:rPr>
        <w:t>).</w:t>
      </w:r>
      <w:r w:rsidR="00BE3EC4">
        <w:rPr>
          <w:rFonts w:eastAsiaTheme="minorEastAsia"/>
        </w:rPr>
        <w:t xml:space="preserve"> </w:t>
      </w:r>
      <w:r>
        <w:rPr>
          <w:rFonts w:eastAsiaTheme="minorEastAsia"/>
        </w:rPr>
        <w:t xml:space="preserve">However, vaccination rates achieving 80% population coverage </w:t>
      </w:r>
      <w:r w:rsidR="00832DFE">
        <w:rPr>
          <w:rFonts w:eastAsiaTheme="minorEastAsia"/>
        </w:rPr>
        <w:t>a</w:t>
      </w:r>
      <w:r>
        <w:rPr>
          <w:rFonts w:eastAsiaTheme="minorEastAsia"/>
        </w:rPr>
        <w:t>re required to reduce mortalities to negligible levels (Figure</w:t>
      </w:r>
      <w:r w:rsidR="00832DFE">
        <w:rPr>
          <w:rFonts w:eastAsiaTheme="minorEastAsia"/>
        </w:rPr>
        <w:t>’</w:t>
      </w:r>
      <w:r>
        <w:rPr>
          <w:rFonts w:eastAsiaTheme="minorEastAsia"/>
        </w:rPr>
        <w:t xml:space="preserve">s </w:t>
      </w:r>
      <w:r w:rsidR="00EF0C95">
        <w:rPr>
          <w:rFonts w:eastAsiaTheme="minorEastAsia"/>
        </w:rPr>
        <w:t>1</w:t>
      </w:r>
      <w:r w:rsidR="003910E6">
        <w:rPr>
          <w:rFonts w:eastAsiaTheme="minorEastAsia"/>
        </w:rPr>
        <w:t>2</w:t>
      </w:r>
      <w:r>
        <w:rPr>
          <w:rFonts w:eastAsiaTheme="minorEastAsia"/>
        </w:rPr>
        <w:t xml:space="preserve"> </w:t>
      </w:r>
      <w:r w:rsidR="00832DFE">
        <w:rPr>
          <w:rFonts w:eastAsiaTheme="minorEastAsia"/>
        </w:rPr>
        <w:t>and</w:t>
      </w:r>
      <w:r>
        <w:rPr>
          <w:rFonts w:eastAsiaTheme="minorEastAsia"/>
        </w:rPr>
        <w:t xml:space="preserve"> </w:t>
      </w:r>
      <w:r w:rsidR="007B10A0">
        <w:rPr>
          <w:rFonts w:eastAsiaTheme="minorEastAsia"/>
        </w:rPr>
        <w:t>A5</w:t>
      </w:r>
      <w:r>
        <w:rPr>
          <w:rFonts w:eastAsiaTheme="minorEastAsia"/>
        </w:rPr>
        <w:t>).</w:t>
      </w:r>
      <w:r w:rsidR="00BE3EC4">
        <w:rPr>
          <w:rFonts w:eastAsiaTheme="minorEastAsia"/>
        </w:rPr>
        <w:t xml:space="preserve"> </w:t>
      </w:r>
      <w:r>
        <w:rPr>
          <w:rFonts w:eastAsiaTheme="minorEastAsia"/>
        </w:rPr>
        <w:t xml:space="preserve">This concurs with the analytical estimate of the herd immunity threshold, which is given by </w:t>
      </w:r>
      <m:oMath>
        <m:r>
          <w:rPr>
            <w:rFonts w:ascii="Cambria Math" w:eastAsiaTheme="minorEastAsia" w:hAnsi="Cambria Math"/>
          </w:rPr>
          <m:t>1-</m:t>
        </m:r>
        <m:f>
          <m:fPr>
            <m:type m:val="lin"/>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den>
        </m:f>
      </m:oMath>
      <w:r>
        <w:rPr>
          <w:rFonts w:eastAsiaTheme="minorEastAsia"/>
        </w:rPr>
        <w:t xml:space="preserve"> </w:t>
      </w:r>
      <w:r w:rsidR="00AD77FE">
        <w:rPr>
          <w:rFonts w:eastAsiaTheme="minorEastAsia"/>
        </w:rPr>
        <w:t>= 0.6</w:t>
      </w:r>
      <w:r w:rsidR="00A23016">
        <w:rPr>
          <w:rFonts w:eastAsiaTheme="minorEastAsia"/>
        </w:rPr>
        <w:t>3</w:t>
      </w:r>
      <w:r w:rsidR="00AD77FE">
        <w:rPr>
          <w:rFonts w:eastAsiaTheme="minorEastAsia"/>
        </w:rPr>
        <w:t xml:space="preserve"> </w:t>
      </w:r>
      <w:r>
        <w:rPr>
          <w:rFonts w:eastAsiaTheme="minorEastAsia"/>
        </w:rPr>
        <w:t>or 6</w:t>
      </w:r>
      <w:r w:rsidR="00A23016">
        <w:rPr>
          <w:rFonts w:eastAsiaTheme="minorEastAsia"/>
        </w:rPr>
        <w:t>3</w:t>
      </w:r>
      <w:r>
        <w:rPr>
          <w:rFonts w:eastAsiaTheme="minorEastAsia"/>
        </w:rPr>
        <w:t>% vaccination coverage required to eliminate disease</w:t>
      </w:r>
      <w:r w:rsidR="00A23016">
        <w:rPr>
          <w:rFonts w:eastAsiaTheme="minorEastAsia"/>
        </w:rPr>
        <w:t xml:space="preserve">, assuming a value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oMath>
      <w:r w:rsidR="00A23016">
        <w:rPr>
          <w:rFonts w:eastAsiaTheme="minorEastAsia"/>
        </w:rPr>
        <w:t xml:space="preserve"> of 2.7 (section 6.2)</w:t>
      </w:r>
      <w:r>
        <w:rPr>
          <w:rFonts w:eastAsiaTheme="minorEastAsia"/>
        </w:rPr>
        <w:t>.</w:t>
      </w:r>
    </w:p>
    <w:p w14:paraId="5B3FABA6" w14:textId="15733ADC" w:rsidR="00AD78A7" w:rsidRDefault="00AD78A7" w:rsidP="00AD78A7">
      <w:pPr>
        <w:rPr>
          <w:rFonts w:eastAsiaTheme="minorEastAsia"/>
        </w:rPr>
      </w:pPr>
      <w:r>
        <w:rPr>
          <w:rFonts w:eastAsiaTheme="minorEastAsia"/>
        </w:rPr>
        <w:t>However, if vaccination doesn’t begin until discovery of HPAI in the population (here we assume 5 days from initial infection) and further, that a vaccination program takes around 30 days to achieve the desired level of population coverage, then higher rates of vaccination are required to significantly reduce mortality rates.</w:t>
      </w:r>
      <w:r w:rsidR="00BE3EC4">
        <w:rPr>
          <w:rFonts w:eastAsiaTheme="minorEastAsia"/>
        </w:rPr>
        <w:t xml:space="preserve"> </w:t>
      </w:r>
      <w:r>
        <w:rPr>
          <w:rFonts w:eastAsiaTheme="minorEastAsia"/>
        </w:rPr>
        <w:t>Under this scenario, aiming for a vaccination coverage of 80% will only reduce the mortality rate of Little Penguins by around 55%</w:t>
      </w:r>
      <w:r w:rsidR="00832DFE">
        <w:rPr>
          <w:rFonts w:eastAsiaTheme="minorEastAsia"/>
        </w:rPr>
        <w:t xml:space="preserve">, </w:t>
      </w:r>
      <w:r>
        <w:rPr>
          <w:rFonts w:eastAsiaTheme="minorEastAsia"/>
        </w:rPr>
        <w:t>with vaccination rates of 95% required to reduce the mortality rate by 79% (Figure</w:t>
      </w:r>
      <w:r w:rsidR="00832DFE">
        <w:rPr>
          <w:rFonts w:eastAsiaTheme="minorEastAsia"/>
        </w:rPr>
        <w:t>’</w:t>
      </w:r>
      <w:r w:rsidR="003910E6">
        <w:rPr>
          <w:rFonts w:eastAsiaTheme="minorEastAsia"/>
        </w:rPr>
        <w:t>s</w:t>
      </w:r>
      <w:r>
        <w:rPr>
          <w:rFonts w:eastAsiaTheme="minorEastAsia"/>
        </w:rPr>
        <w:t xml:space="preserve"> </w:t>
      </w:r>
      <w:r w:rsidR="00C00B28">
        <w:rPr>
          <w:rFonts w:eastAsiaTheme="minorEastAsia"/>
        </w:rPr>
        <w:t>1</w:t>
      </w:r>
      <w:r w:rsidR="003910E6">
        <w:rPr>
          <w:rFonts w:eastAsiaTheme="minorEastAsia"/>
        </w:rPr>
        <w:t>3</w:t>
      </w:r>
      <w:r>
        <w:rPr>
          <w:rFonts w:eastAsiaTheme="minorEastAsia"/>
        </w:rPr>
        <w:t xml:space="preserve"> </w:t>
      </w:r>
      <w:r w:rsidR="00832DFE">
        <w:rPr>
          <w:rFonts w:eastAsiaTheme="minorEastAsia"/>
        </w:rPr>
        <w:t>and</w:t>
      </w:r>
      <w:r>
        <w:rPr>
          <w:rFonts w:eastAsiaTheme="minorEastAsia"/>
        </w:rPr>
        <w:t xml:space="preserve"> </w:t>
      </w:r>
      <w:r w:rsidR="007B10A0">
        <w:rPr>
          <w:rFonts w:eastAsiaTheme="minorEastAsia"/>
        </w:rPr>
        <w:t>A6</w:t>
      </w:r>
      <w:r w:rsidR="000F5EDF">
        <w:rPr>
          <w:rFonts w:eastAsiaTheme="minorEastAsia"/>
        </w:rPr>
        <w:t xml:space="preserve"> – </w:t>
      </w:r>
      <w:r w:rsidR="00A23016">
        <w:rPr>
          <w:rFonts w:eastAsiaTheme="minorEastAsia"/>
        </w:rPr>
        <w:t>s</w:t>
      </w:r>
      <w:r w:rsidR="000F5EDF">
        <w:rPr>
          <w:rFonts w:eastAsiaTheme="minorEastAsia"/>
        </w:rPr>
        <w:t>ection 6.2</w:t>
      </w:r>
      <w:r>
        <w:rPr>
          <w:rFonts w:eastAsiaTheme="minorEastAsia"/>
        </w:rPr>
        <w:t xml:space="preserve">). </w:t>
      </w:r>
    </w:p>
    <w:p w14:paraId="34A8F338" w14:textId="77777777" w:rsidR="00AD78A7" w:rsidRDefault="00AD78A7" w:rsidP="00AD78A7">
      <w:pPr>
        <w:rPr>
          <w:rFonts w:eastAsiaTheme="minorEastAsia"/>
        </w:rPr>
      </w:pPr>
    </w:p>
    <w:p w14:paraId="785A67E2" w14:textId="77777777" w:rsidR="00AD78A7" w:rsidRDefault="00AD78A7" w:rsidP="00AD78A7">
      <w:pPr>
        <w:rPr>
          <w:rFonts w:eastAsiaTheme="minorEastAsia"/>
        </w:rPr>
      </w:pPr>
    </w:p>
    <w:p w14:paraId="3F503D51" w14:textId="5B148D34" w:rsidR="00AD78A7" w:rsidRDefault="002904D9" w:rsidP="008C3128">
      <w:pPr>
        <w:jc w:val="center"/>
        <w:rPr>
          <w:rFonts w:eastAsiaTheme="minorEastAsia"/>
        </w:rPr>
      </w:pPr>
      <w:r>
        <w:rPr>
          <w:rFonts w:eastAsiaTheme="minorEastAsia"/>
          <w:noProof/>
        </w:rPr>
        <w:lastRenderedPageBreak/>
        <w:drawing>
          <wp:inline distT="0" distB="0" distL="0" distR="0" wp14:anchorId="6E396D18" wp14:editId="5A5F7E94">
            <wp:extent cx="4320000" cy="2682000"/>
            <wp:effectExtent l="0" t="0" r="4445" b="4445"/>
            <wp:docPr id="445969487" name="Picture 2" descr="A graph of a vaccination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69487" name="Picture 2" descr="A graph of a vaccination rate&#10;&#10;AI-generated content may be incorrect."/>
                    <pic:cNvPicPr/>
                  </pic:nvPicPr>
                  <pic:blipFill>
                    <a:blip r:embed="rId53" cstate="screen">
                      <a:extLst>
                        <a:ext uri="{28A0092B-C50C-407E-A947-70E740481C1C}">
                          <a14:useLocalDpi xmlns:a14="http://schemas.microsoft.com/office/drawing/2010/main" val="0"/>
                        </a:ext>
                      </a:extLst>
                    </a:blip>
                    <a:stretch>
                      <a:fillRect/>
                    </a:stretch>
                  </pic:blipFill>
                  <pic:spPr>
                    <a:xfrm>
                      <a:off x="0" y="0"/>
                      <a:ext cx="4320000" cy="2682000"/>
                    </a:xfrm>
                    <a:prstGeom prst="rect">
                      <a:avLst/>
                    </a:prstGeom>
                  </pic:spPr>
                </pic:pic>
              </a:graphicData>
            </a:graphic>
          </wp:inline>
        </w:drawing>
      </w:r>
    </w:p>
    <w:p w14:paraId="044D1BC7" w14:textId="3A291EF2" w:rsidR="00AD78A7" w:rsidRDefault="00AD78A7" w:rsidP="00167A9F">
      <w:pPr>
        <w:pStyle w:val="Caption-Figure"/>
      </w:pPr>
      <w:bookmarkStart w:id="93" w:name="_Toc198634163"/>
      <w:r>
        <w:t xml:space="preserve">Figure </w:t>
      </w:r>
      <w:r w:rsidR="001B440E">
        <w:t>1</w:t>
      </w:r>
      <w:r w:rsidR="003910E6">
        <w:t>2</w:t>
      </w:r>
      <w:r>
        <w:t>.</w:t>
      </w:r>
      <w:r w:rsidR="00BE3EC4">
        <w:t xml:space="preserve"> </w:t>
      </w:r>
      <w:r>
        <w:t>Maximum mortality rate of Little Penguins due to HPAI</w:t>
      </w:r>
      <w:r w:rsidR="00D53F28">
        <w:t>,</w:t>
      </w:r>
      <w:r>
        <w:t xml:space="preserve"> estimated following vaccination programs achieving varying rates of population coverage.</w:t>
      </w:r>
      <w:r w:rsidR="00BE3EC4">
        <w:t xml:space="preserve"> </w:t>
      </w:r>
      <w:r>
        <w:t>Vaccination was assumed to be applied just prior to arrival of HPAI.</w:t>
      </w:r>
      <w:bookmarkEnd w:id="93"/>
    </w:p>
    <w:p w14:paraId="56D73C4F" w14:textId="77777777" w:rsidR="008C3128" w:rsidRDefault="008C3128" w:rsidP="00AD78A7">
      <w:pPr>
        <w:rPr>
          <w:rFonts w:eastAsiaTheme="minorEastAsia"/>
        </w:rPr>
      </w:pPr>
    </w:p>
    <w:p w14:paraId="786F4132" w14:textId="77777777" w:rsidR="008C3128" w:rsidRDefault="008C3128" w:rsidP="00AD78A7">
      <w:pPr>
        <w:rPr>
          <w:rFonts w:eastAsiaTheme="minorEastAsia"/>
        </w:rPr>
      </w:pPr>
    </w:p>
    <w:p w14:paraId="39183D9C" w14:textId="77777777" w:rsidR="00CD1D4B" w:rsidRDefault="00CD1D4B" w:rsidP="00AD78A7">
      <w:pPr>
        <w:rPr>
          <w:rFonts w:eastAsiaTheme="minorEastAsia"/>
        </w:rPr>
      </w:pPr>
    </w:p>
    <w:p w14:paraId="1DE43E8B" w14:textId="45C1AB86" w:rsidR="00AD78A7" w:rsidRDefault="00E551B9" w:rsidP="008C3128">
      <w:pPr>
        <w:jc w:val="center"/>
        <w:rPr>
          <w:rFonts w:eastAsiaTheme="minorEastAsia"/>
        </w:rPr>
      </w:pPr>
      <w:r>
        <w:rPr>
          <w:rFonts w:eastAsiaTheme="minorEastAsia"/>
          <w:noProof/>
        </w:rPr>
        <w:drawing>
          <wp:inline distT="0" distB="0" distL="0" distR="0" wp14:anchorId="5468492F" wp14:editId="3423BEE7">
            <wp:extent cx="4320000" cy="2682000"/>
            <wp:effectExtent l="0" t="0" r="4445" b="4445"/>
            <wp:docPr id="1083874261" name="Picture 3" descr="A graph of a vaccination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74261" name="Picture 3" descr="A graph of a vaccination rate&#10;&#10;AI-generated content may be incorrect."/>
                    <pic:cNvPicPr/>
                  </pic:nvPicPr>
                  <pic:blipFill>
                    <a:blip r:embed="rId54" cstate="screen">
                      <a:extLst>
                        <a:ext uri="{28A0092B-C50C-407E-A947-70E740481C1C}">
                          <a14:useLocalDpi xmlns:a14="http://schemas.microsoft.com/office/drawing/2010/main" val="0"/>
                        </a:ext>
                      </a:extLst>
                    </a:blip>
                    <a:stretch>
                      <a:fillRect/>
                    </a:stretch>
                  </pic:blipFill>
                  <pic:spPr>
                    <a:xfrm>
                      <a:off x="0" y="0"/>
                      <a:ext cx="4320000" cy="2682000"/>
                    </a:xfrm>
                    <a:prstGeom prst="rect">
                      <a:avLst/>
                    </a:prstGeom>
                  </pic:spPr>
                </pic:pic>
              </a:graphicData>
            </a:graphic>
          </wp:inline>
        </w:drawing>
      </w:r>
    </w:p>
    <w:p w14:paraId="5840208E" w14:textId="70B43623" w:rsidR="00AD78A7" w:rsidRDefault="00AD78A7" w:rsidP="00167A9F">
      <w:pPr>
        <w:pStyle w:val="Caption-Figure"/>
      </w:pPr>
      <w:bookmarkStart w:id="94" w:name="_Toc198634164"/>
      <w:r>
        <w:t xml:space="preserve">Figure </w:t>
      </w:r>
      <w:r w:rsidR="001B440E">
        <w:t>1</w:t>
      </w:r>
      <w:r w:rsidR="003910E6">
        <w:t>3</w:t>
      </w:r>
      <w:r>
        <w:t>. Maximum mortality rate of Little Penguins due to HPAI</w:t>
      </w:r>
      <w:r w:rsidR="00D53F28">
        <w:t>,</w:t>
      </w:r>
      <w:r>
        <w:t xml:space="preserve"> estimated following vaccination programs achieving varying rates of population coverage.</w:t>
      </w:r>
      <w:r w:rsidR="00BE3EC4">
        <w:t xml:space="preserve"> </w:t>
      </w:r>
      <w:r>
        <w:t>Vaccination was assumed to be initiated 5</w:t>
      </w:r>
      <w:r w:rsidR="00D53F28">
        <w:t> </w:t>
      </w:r>
      <w:r>
        <w:t>days following the arrival of HPAI, taking 30 days to achieve the desired level of population coverage.</w:t>
      </w:r>
      <w:bookmarkEnd w:id="94"/>
      <w:r>
        <w:t xml:space="preserve"> </w:t>
      </w:r>
    </w:p>
    <w:p w14:paraId="4AF1C365" w14:textId="77777777" w:rsidR="001F727C" w:rsidRDefault="001F727C" w:rsidP="00AD78A7">
      <w:pPr>
        <w:rPr>
          <w:rFonts w:eastAsiaTheme="minorEastAsia"/>
        </w:rPr>
      </w:pPr>
    </w:p>
    <w:p w14:paraId="6EA20CE2" w14:textId="1F41B359" w:rsidR="001F727C" w:rsidRDefault="00BF5B8C" w:rsidP="001F727C">
      <w:pPr>
        <w:pStyle w:val="Heading4"/>
        <w:rPr>
          <w:rFonts w:eastAsiaTheme="minorEastAsia"/>
        </w:rPr>
      </w:pPr>
      <w:r>
        <w:rPr>
          <w:rFonts w:eastAsiaTheme="minorEastAsia"/>
        </w:rPr>
        <w:t>Conclusions</w:t>
      </w:r>
    </w:p>
    <w:p w14:paraId="75C5D3FE" w14:textId="47EF05F2" w:rsidR="00415500" w:rsidRPr="00415500" w:rsidRDefault="00415500" w:rsidP="00270D41">
      <w:pPr>
        <w:rPr>
          <w:rFonts w:eastAsiaTheme="minorEastAsia"/>
        </w:rPr>
      </w:pPr>
      <w:r w:rsidRPr="00415500">
        <w:rPr>
          <w:rFonts w:eastAsiaTheme="minorEastAsia"/>
        </w:rPr>
        <w:t>The susceptibility of Little Penguins to HPAI is obviously highly uncertain.</w:t>
      </w:r>
      <w:r w:rsidR="00BE3EC4">
        <w:rPr>
          <w:rFonts w:eastAsiaTheme="minorEastAsia"/>
        </w:rPr>
        <w:t xml:space="preserve"> </w:t>
      </w:r>
      <w:r w:rsidRPr="00415500">
        <w:rPr>
          <w:rFonts w:eastAsiaTheme="minorEastAsia"/>
        </w:rPr>
        <w:t>In other penguin species, such as African Penguins</w:t>
      </w:r>
      <w:r w:rsidR="001C22EF">
        <w:rPr>
          <w:rFonts w:eastAsiaTheme="minorEastAsia"/>
        </w:rPr>
        <w:t xml:space="preserve"> (</w:t>
      </w:r>
      <w:r w:rsidR="001C22EF" w:rsidRPr="00DA5824">
        <w:rPr>
          <w:rFonts w:eastAsiaTheme="minorEastAsia"/>
          <w:i/>
          <w:iCs/>
        </w:rPr>
        <w:t xml:space="preserve">Spheniscus </w:t>
      </w:r>
      <w:proofErr w:type="spellStart"/>
      <w:r w:rsidR="001C22EF" w:rsidRPr="00DA5824">
        <w:rPr>
          <w:rFonts w:eastAsiaTheme="minorEastAsia"/>
          <w:i/>
          <w:iCs/>
        </w:rPr>
        <w:t>demersus</w:t>
      </w:r>
      <w:proofErr w:type="spellEnd"/>
      <w:r w:rsidR="001C22EF">
        <w:rPr>
          <w:rFonts w:eastAsiaTheme="minorEastAsia"/>
        </w:rPr>
        <w:t>)</w:t>
      </w:r>
      <w:r w:rsidRPr="00415500">
        <w:rPr>
          <w:rFonts w:eastAsiaTheme="minorEastAsia"/>
        </w:rPr>
        <w:t>, outbreaks of HPAI resulted in epidemics with high mortality rates.</w:t>
      </w:r>
      <w:r w:rsidR="00BE3EC4">
        <w:rPr>
          <w:rFonts w:eastAsiaTheme="minorEastAsia"/>
        </w:rPr>
        <w:t xml:space="preserve"> </w:t>
      </w:r>
      <w:r w:rsidRPr="00415500">
        <w:rPr>
          <w:rFonts w:eastAsiaTheme="minorEastAsia"/>
        </w:rPr>
        <w:t>However, in species such as Adélie Penguins (</w:t>
      </w:r>
      <w:proofErr w:type="spellStart"/>
      <w:r w:rsidRPr="00270D41">
        <w:rPr>
          <w:rFonts w:eastAsiaTheme="minorEastAsia"/>
          <w:i/>
          <w:iCs/>
        </w:rPr>
        <w:t>Pygoscelis</w:t>
      </w:r>
      <w:proofErr w:type="spellEnd"/>
      <w:r w:rsidRPr="00270D41">
        <w:rPr>
          <w:rFonts w:eastAsiaTheme="minorEastAsia"/>
          <w:i/>
          <w:iCs/>
        </w:rPr>
        <w:t xml:space="preserve"> </w:t>
      </w:r>
      <w:proofErr w:type="spellStart"/>
      <w:r w:rsidRPr="00270D41">
        <w:rPr>
          <w:rFonts w:eastAsiaTheme="minorEastAsia"/>
          <w:i/>
          <w:iCs/>
        </w:rPr>
        <w:t>adeliae</w:t>
      </w:r>
      <w:proofErr w:type="spellEnd"/>
      <w:r w:rsidRPr="00415500">
        <w:rPr>
          <w:rFonts w:eastAsiaTheme="minorEastAsia"/>
        </w:rPr>
        <w:t>)</w:t>
      </w:r>
      <w:r w:rsidR="001C22EF">
        <w:rPr>
          <w:rFonts w:eastAsiaTheme="minorEastAsia"/>
        </w:rPr>
        <w:t>,</w:t>
      </w:r>
      <w:r w:rsidRPr="00415500">
        <w:rPr>
          <w:rFonts w:eastAsiaTheme="minorEastAsia"/>
        </w:rPr>
        <w:t xml:space="preserve"> exposure to HPAI appeared to result in little clinical disease </w:t>
      </w:r>
      <w:r w:rsidRPr="00415500">
        <w:rPr>
          <w:rFonts w:eastAsiaTheme="minorEastAsia"/>
        </w:rPr>
        <w:fldChar w:fldCharType="begin"/>
      </w:r>
      <w:r w:rsidR="009F541F">
        <w:rPr>
          <w:rFonts w:eastAsiaTheme="minorEastAsia"/>
        </w:rPr>
        <w:instrText xml:space="preserve"> ADDIN ZOTERO_ITEM CSL_CITATION {"citationID":"ctxrhjLK","properties":{"formattedCitation":"(Vaughan-Higgins {\\i{}et al.} 2024)","plainCitation":"(Vaughan-Higgins et al. 2024)","noteIndex":0},"citationItems":[{"id":9550,"uris":["http://zotero.org/users/634364/items/RB9CABHX"],"itemData":{"id":9550,"type":"report","event-place":"University of Melbourne.","publisher":"Report prepared for Phillip Island Nature Parks","publisher-place":"University of Melbourne.","title":"Phillip Island (Millowl) Little Penguin (Eudyptula minor) disease risk assessment","author":[{"family":"Vaughan-Higgins","given":"R."},{"family":"Skerratt","given":"Lee F"},{"family":"Hufschmid","given":"Jasmin"}],"issued":{"date-parts":[["2024"]]}}}],"schema":"https://github.com/citation-style-language/schema/raw/master/csl-citation.json"} </w:instrText>
      </w:r>
      <w:r w:rsidRPr="00415500">
        <w:rPr>
          <w:rFonts w:eastAsiaTheme="minorEastAsia"/>
        </w:rPr>
        <w:fldChar w:fldCharType="separate"/>
      </w:r>
      <w:r w:rsidR="009F541F" w:rsidRPr="009F541F">
        <w:t xml:space="preserve">(Vaughan-Higgins </w:t>
      </w:r>
      <w:r w:rsidR="009F541F" w:rsidRPr="00DA5824">
        <w:t>et al.</w:t>
      </w:r>
      <w:r w:rsidR="009F541F" w:rsidRPr="009F541F">
        <w:t xml:space="preserve"> 2024)</w:t>
      </w:r>
      <w:r w:rsidRPr="00415500">
        <w:rPr>
          <w:rFonts w:eastAsiaTheme="minorEastAsia"/>
        </w:rPr>
        <w:fldChar w:fldCharType="end"/>
      </w:r>
      <w:r w:rsidRPr="00415500">
        <w:rPr>
          <w:rFonts w:eastAsiaTheme="minorEastAsia"/>
        </w:rPr>
        <w:t xml:space="preserve">. If Little Penguins </w:t>
      </w:r>
      <w:r w:rsidR="00C942D5">
        <w:rPr>
          <w:rFonts w:eastAsiaTheme="minorEastAsia"/>
        </w:rPr>
        <w:t>prove</w:t>
      </w:r>
      <w:r w:rsidRPr="00415500">
        <w:rPr>
          <w:rFonts w:eastAsiaTheme="minorEastAsia"/>
        </w:rPr>
        <w:t xml:space="preserve"> to be </w:t>
      </w:r>
      <w:r w:rsidR="00C942D5">
        <w:rPr>
          <w:rFonts w:eastAsiaTheme="minorEastAsia"/>
        </w:rPr>
        <w:t xml:space="preserve">highly </w:t>
      </w:r>
      <w:r w:rsidRPr="00415500">
        <w:rPr>
          <w:rFonts w:eastAsiaTheme="minorEastAsia"/>
        </w:rPr>
        <w:t>susceptible to HPAI, then the worst-case scenario suggests that mortality rates of at least 20% and as high as 40% could be expected following an outbreak lasting approximately 6 weeks.</w:t>
      </w:r>
      <w:r w:rsidR="00BE3EC4">
        <w:rPr>
          <w:rFonts w:eastAsiaTheme="minorEastAsia"/>
        </w:rPr>
        <w:t xml:space="preserve"> </w:t>
      </w:r>
      <w:r w:rsidRPr="00415500">
        <w:rPr>
          <w:rFonts w:eastAsiaTheme="minorEastAsia"/>
        </w:rPr>
        <w:t>A 2</w:t>
      </w:r>
      <w:r w:rsidR="001C22EF">
        <w:rPr>
          <w:rFonts w:eastAsiaTheme="minorEastAsia"/>
        </w:rPr>
        <w:t>0–</w:t>
      </w:r>
      <w:r w:rsidRPr="00415500">
        <w:rPr>
          <w:rFonts w:eastAsiaTheme="minorEastAsia"/>
        </w:rPr>
        <w:t xml:space="preserve">40% mortality rate would represent the deaths of around </w:t>
      </w:r>
      <w:r w:rsidR="00F751BF">
        <w:rPr>
          <w:rFonts w:eastAsiaTheme="minorEastAsia"/>
        </w:rPr>
        <w:t>8</w:t>
      </w:r>
      <w:r w:rsidRPr="00415500">
        <w:rPr>
          <w:rFonts w:eastAsiaTheme="minorEastAsia"/>
        </w:rPr>
        <w:t>,000</w:t>
      </w:r>
      <w:r w:rsidR="001C22EF">
        <w:rPr>
          <w:rFonts w:eastAsiaTheme="minorEastAsia"/>
        </w:rPr>
        <w:t>–</w:t>
      </w:r>
      <w:r w:rsidRPr="00415500">
        <w:rPr>
          <w:rFonts w:eastAsiaTheme="minorEastAsia"/>
        </w:rPr>
        <w:t>1</w:t>
      </w:r>
      <w:r w:rsidR="00F751BF">
        <w:rPr>
          <w:rFonts w:eastAsiaTheme="minorEastAsia"/>
        </w:rPr>
        <w:t>6</w:t>
      </w:r>
      <w:r w:rsidRPr="00415500">
        <w:rPr>
          <w:rFonts w:eastAsiaTheme="minorEastAsia"/>
        </w:rPr>
        <w:t>,000 penguins in the Summerland Peninsula.</w:t>
      </w:r>
    </w:p>
    <w:p w14:paraId="4162B06F" w14:textId="09B321AC" w:rsidR="00415500" w:rsidRPr="00415500" w:rsidRDefault="00415500" w:rsidP="00270D41">
      <w:pPr>
        <w:rPr>
          <w:rFonts w:eastAsiaTheme="minorEastAsia"/>
        </w:rPr>
      </w:pPr>
      <w:r w:rsidRPr="00415500">
        <w:rPr>
          <w:rFonts w:eastAsiaTheme="minorEastAsia"/>
        </w:rPr>
        <w:t>Implementing a program of vaccination in any wildlife species has many practical and logistical challenges.</w:t>
      </w:r>
      <w:r w:rsidR="00BE3EC4">
        <w:rPr>
          <w:rFonts w:eastAsiaTheme="minorEastAsia"/>
        </w:rPr>
        <w:t xml:space="preserve"> </w:t>
      </w:r>
      <w:r w:rsidRPr="00415500">
        <w:rPr>
          <w:rFonts w:eastAsiaTheme="minorEastAsia"/>
        </w:rPr>
        <w:t xml:space="preserve">While a suitable vaccine against H5N1 infection exists, its availability for use would need to overcome regulatory hurdles before it could be </w:t>
      </w:r>
      <w:r w:rsidR="00F751BF">
        <w:rPr>
          <w:rFonts w:eastAsiaTheme="minorEastAsia"/>
        </w:rPr>
        <w:t>permitted</w:t>
      </w:r>
      <w:r w:rsidRPr="00415500">
        <w:rPr>
          <w:rFonts w:eastAsiaTheme="minorEastAsia"/>
        </w:rPr>
        <w:t xml:space="preserve"> for </w:t>
      </w:r>
      <w:r w:rsidR="00F751BF">
        <w:rPr>
          <w:rFonts w:eastAsiaTheme="minorEastAsia"/>
        </w:rPr>
        <w:t xml:space="preserve">emergency </w:t>
      </w:r>
      <w:r w:rsidRPr="00415500">
        <w:rPr>
          <w:rFonts w:eastAsiaTheme="minorEastAsia"/>
        </w:rPr>
        <w:t>use in Australian wildlife.</w:t>
      </w:r>
      <w:r w:rsidR="00BE3EC4">
        <w:rPr>
          <w:rFonts w:eastAsiaTheme="minorEastAsia"/>
        </w:rPr>
        <w:t xml:space="preserve"> </w:t>
      </w:r>
      <w:r w:rsidRPr="00415500">
        <w:rPr>
          <w:rFonts w:eastAsiaTheme="minorEastAsia"/>
        </w:rPr>
        <w:t xml:space="preserve">Two types of vaccine </w:t>
      </w:r>
      <w:r w:rsidRPr="00415500">
        <w:rPr>
          <w:rFonts w:eastAsiaTheme="minorEastAsia"/>
        </w:rPr>
        <w:lastRenderedPageBreak/>
        <w:t xml:space="preserve">have been previously tested in African Penguins, a vaccine based on an inactivated H5N8 viral strain and a second based on virus-like particles (VLP) </w:t>
      </w:r>
      <w:r w:rsidRPr="00415500">
        <w:rPr>
          <w:rFonts w:eastAsiaTheme="minorEastAsia"/>
        </w:rPr>
        <w:fldChar w:fldCharType="begin"/>
      </w:r>
      <w:r w:rsidR="009F541F">
        <w:rPr>
          <w:rFonts w:eastAsiaTheme="minorEastAsia"/>
        </w:rPr>
        <w:instrText xml:space="preserve"> ADDIN ZOTERO_ITEM CSL_CITATION {"citationID":"RLqeykJZ","properties":{"formattedCitation":"(Roberts {\\i{}et al.} 2024)","plainCitation":"(Roberts et al. 2024)","noteIndex":0},"citationItems":[{"id":9544,"uris":["http://zotero.org/users/634364/items/RU6JUDME"],"itemData":{"id":9544,"type":"article-journal","container-title":"Veterinary Record","issue":"2","note":"publisher: Wiley Online Library","page":"no–no","title":"Vaccination of African penguins (Spheniscus demersus) against high-pathogenicity avian influenza","volume":"194","author":[{"family":"Roberts","given":"Laura Christl"},{"family":"Abernethy","given":"Darrell"},{"family":"Roberts","given":"David Gordon"},{"family":"Ludynia","given":"Katrin"},{"family":"O'Kennedy","given":"Martha Magaretha"},{"family":"Abolnik","given":"Celia"}],"issued":{"date-parts":[["2024"]]}}}],"schema":"https://github.com/citation-style-language/schema/raw/master/csl-citation.json"} </w:instrText>
      </w:r>
      <w:r w:rsidRPr="00415500">
        <w:rPr>
          <w:rFonts w:eastAsiaTheme="minorEastAsia"/>
        </w:rPr>
        <w:fldChar w:fldCharType="separate"/>
      </w:r>
      <w:r w:rsidR="009F541F" w:rsidRPr="009F541F">
        <w:t xml:space="preserve">(Roberts </w:t>
      </w:r>
      <w:r w:rsidR="009F541F" w:rsidRPr="00DA5824">
        <w:t>et al</w:t>
      </w:r>
      <w:r w:rsidR="009F541F" w:rsidRPr="009F541F">
        <w:rPr>
          <w:i/>
          <w:iCs/>
        </w:rPr>
        <w:t>.</w:t>
      </w:r>
      <w:r w:rsidR="009F541F" w:rsidRPr="009F541F">
        <w:t xml:space="preserve"> 2024)</w:t>
      </w:r>
      <w:r w:rsidRPr="00415500">
        <w:rPr>
          <w:rFonts w:eastAsiaTheme="minorEastAsia"/>
        </w:rPr>
        <w:fldChar w:fldCharType="end"/>
      </w:r>
      <w:r w:rsidRPr="00415500">
        <w:rPr>
          <w:rFonts w:eastAsiaTheme="minorEastAsia"/>
        </w:rPr>
        <w:t xml:space="preserve">. Although no challenge trials were undertaken, both these vaccines appeared to result in antibody titres that were adequate for protection against H5N1 and </w:t>
      </w:r>
      <w:r w:rsidR="001C22EF">
        <w:rPr>
          <w:rFonts w:eastAsiaTheme="minorEastAsia"/>
        </w:rPr>
        <w:t>therefore</w:t>
      </w:r>
      <w:r w:rsidRPr="00415500">
        <w:rPr>
          <w:rFonts w:eastAsiaTheme="minorEastAsia"/>
        </w:rPr>
        <w:t>, it could be assumed that either of these vaccines would be suitable for use in Little Penguins.</w:t>
      </w:r>
      <w:r w:rsidR="00BE3EC4">
        <w:rPr>
          <w:rFonts w:eastAsiaTheme="minorEastAsia"/>
        </w:rPr>
        <w:t xml:space="preserve"> </w:t>
      </w:r>
      <w:r w:rsidRPr="00415500">
        <w:rPr>
          <w:rFonts w:eastAsiaTheme="minorEastAsia"/>
        </w:rPr>
        <w:t xml:space="preserve">However, the inactivated vaccine required two doses to give similar levels of antibody titres compared with a single dose of VLP vaccine </w:t>
      </w:r>
      <w:r w:rsidRPr="00415500">
        <w:rPr>
          <w:rFonts w:eastAsiaTheme="minorEastAsia"/>
        </w:rPr>
        <w:fldChar w:fldCharType="begin"/>
      </w:r>
      <w:r w:rsidR="009F541F">
        <w:rPr>
          <w:rFonts w:eastAsiaTheme="minorEastAsia"/>
        </w:rPr>
        <w:instrText xml:space="preserve"> ADDIN ZOTERO_ITEM CSL_CITATION {"citationID":"9ixVbUAz","properties":{"formattedCitation":"(Roberts {\\i{}et al.} 2024)","plainCitation":"(Roberts et al. 2024)","noteIndex":0},"citationItems":[{"id":9544,"uris":["http://zotero.org/users/634364/items/RU6JUDME"],"itemData":{"id":9544,"type":"article-journal","container-title":"Veterinary Record","issue":"2","note":"publisher: Wiley Online Library","page":"no–no","title":"Vaccination of African penguins (Spheniscus demersus) against high-pathogenicity avian influenza","volume":"194","author":[{"family":"Roberts","given":"Laura Christl"},{"family":"Abernethy","given":"Darrell"},{"family":"Roberts","given":"David Gordon"},{"family":"Ludynia","given":"Katrin"},{"family":"O'Kennedy","given":"Martha Magaretha"},{"family":"Abolnik","given":"Celia"}],"issued":{"date-parts":[["2024"]]}}}],"schema":"https://github.com/citation-style-language/schema/raw/master/csl-citation.json"} </w:instrText>
      </w:r>
      <w:r w:rsidRPr="00415500">
        <w:rPr>
          <w:rFonts w:eastAsiaTheme="minorEastAsia"/>
        </w:rPr>
        <w:fldChar w:fldCharType="separate"/>
      </w:r>
      <w:r w:rsidR="009F541F" w:rsidRPr="009F541F">
        <w:t xml:space="preserve">(Roberts </w:t>
      </w:r>
      <w:r w:rsidR="009F541F" w:rsidRPr="00DA5824">
        <w:t>et al</w:t>
      </w:r>
      <w:r w:rsidR="009F541F" w:rsidRPr="009F541F">
        <w:rPr>
          <w:i/>
          <w:iCs/>
        </w:rPr>
        <w:t>.</w:t>
      </w:r>
      <w:r w:rsidR="009F541F" w:rsidRPr="009F541F">
        <w:t xml:space="preserve"> 2024)</w:t>
      </w:r>
      <w:r w:rsidRPr="00415500">
        <w:rPr>
          <w:rFonts w:eastAsiaTheme="minorEastAsia"/>
        </w:rPr>
        <w:fldChar w:fldCharType="end"/>
      </w:r>
      <w:r w:rsidRPr="00415500">
        <w:rPr>
          <w:rFonts w:eastAsiaTheme="minorEastAsia"/>
        </w:rPr>
        <w:t>.</w:t>
      </w:r>
      <w:r w:rsidR="00BE3EC4">
        <w:rPr>
          <w:rFonts w:eastAsiaTheme="minorEastAsia"/>
        </w:rPr>
        <w:t xml:space="preserve"> </w:t>
      </w:r>
      <w:r w:rsidR="00AC76B3">
        <w:rPr>
          <w:rFonts w:eastAsiaTheme="minorEastAsia"/>
        </w:rPr>
        <w:t>T</w:t>
      </w:r>
      <w:r w:rsidR="00AE765F">
        <w:rPr>
          <w:rFonts w:eastAsiaTheme="minorEastAsia"/>
        </w:rPr>
        <w:t>rials of a</w:t>
      </w:r>
      <w:r w:rsidR="003811FF">
        <w:rPr>
          <w:rFonts w:eastAsiaTheme="minorEastAsia"/>
        </w:rPr>
        <w:t>n</w:t>
      </w:r>
      <w:r w:rsidR="00AE765F">
        <w:rPr>
          <w:rFonts w:eastAsiaTheme="minorEastAsia"/>
        </w:rPr>
        <w:t xml:space="preserve"> inactivated </w:t>
      </w:r>
      <w:r w:rsidR="004478D0">
        <w:rPr>
          <w:rFonts w:eastAsiaTheme="minorEastAsia"/>
        </w:rPr>
        <w:t xml:space="preserve">H5N3 </w:t>
      </w:r>
      <w:r w:rsidR="00971439">
        <w:rPr>
          <w:rFonts w:eastAsiaTheme="minorEastAsia"/>
        </w:rPr>
        <w:t>v</w:t>
      </w:r>
      <w:r w:rsidR="001131C9">
        <w:rPr>
          <w:rFonts w:eastAsiaTheme="minorEastAsia"/>
        </w:rPr>
        <w:t>accine</w:t>
      </w:r>
      <w:r w:rsidR="004478D0">
        <w:rPr>
          <w:rFonts w:eastAsiaTheme="minorEastAsia"/>
        </w:rPr>
        <w:t xml:space="preserve"> on </w:t>
      </w:r>
      <w:r w:rsidR="00B07E35">
        <w:rPr>
          <w:rFonts w:eastAsiaTheme="minorEastAsia"/>
        </w:rPr>
        <w:t xml:space="preserve">five </w:t>
      </w:r>
      <w:r w:rsidR="004478D0">
        <w:rPr>
          <w:rFonts w:eastAsiaTheme="minorEastAsia"/>
        </w:rPr>
        <w:t>native birds in New Zealand</w:t>
      </w:r>
      <w:r w:rsidRPr="00415500">
        <w:rPr>
          <w:rFonts w:eastAsiaTheme="minorEastAsia"/>
        </w:rPr>
        <w:t xml:space="preserve"> </w:t>
      </w:r>
      <w:r w:rsidR="001C22EF">
        <w:rPr>
          <w:rFonts w:eastAsiaTheme="minorEastAsia"/>
        </w:rPr>
        <w:t xml:space="preserve">are </w:t>
      </w:r>
      <w:r w:rsidR="0069797A">
        <w:rPr>
          <w:rFonts w:eastAsiaTheme="minorEastAsia"/>
        </w:rPr>
        <w:t xml:space="preserve">also </w:t>
      </w:r>
      <w:r w:rsidR="00AC76B3">
        <w:rPr>
          <w:rFonts w:eastAsiaTheme="minorEastAsia"/>
        </w:rPr>
        <w:t xml:space="preserve">currently underway. </w:t>
      </w:r>
      <w:r w:rsidR="00E940BA">
        <w:rPr>
          <w:rFonts w:eastAsiaTheme="minorEastAsia"/>
        </w:rPr>
        <w:t xml:space="preserve">This vaccine requires </w:t>
      </w:r>
      <w:r w:rsidR="008F3779">
        <w:rPr>
          <w:rFonts w:eastAsiaTheme="minorEastAsia"/>
        </w:rPr>
        <w:t xml:space="preserve">a second </w:t>
      </w:r>
      <w:r w:rsidR="00290099">
        <w:rPr>
          <w:rFonts w:eastAsiaTheme="minorEastAsia"/>
        </w:rPr>
        <w:t xml:space="preserve">booster </w:t>
      </w:r>
      <w:r w:rsidR="008F3779">
        <w:rPr>
          <w:rFonts w:eastAsiaTheme="minorEastAsia"/>
        </w:rPr>
        <w:t>dose to be administered at week 4</w:t>
      </w:r>
      <w:r w:rsidR="001C22EF">
        <w:rPr>
          <w:rFonts w:eastAsiaTheme="minorEastAsia"/>
        </w:rPr>
        <w:t xml:space="preserve">, </w:t>
      </w:r>
      <w:r w:rsidR="008F3779">
        <w:rPr>
          <w:rFonts w:eastAsiaTheme="minorEastAsia"/>
        </w:rPr>
        <w:t>following initial vaccination.</w:t>
      </w:r>
      <w:r w:rsidR="00AC76B3">
        <w:rPr>
          <w:rFonts w:eastAsiaTheme="minorEastAsia"/>
        </w:rPr>
        <w:t xml:space="preserve"> </w:t>
      </w:r>
    </w:p>
    <w:p w14:paraId="0217613A" w14:textId="45D86DCE" w:rsidR="00415500" w:rsidRPr="00415500" w:rsidRDefault="00415500" w:rsidP="00270D41">
      <w:pPr>
        <w:rPr>
          <w:rFonts w:eastAsiaTheme="minorEastAsia"/>
        </w:rPr>
      </w:pPr>
      <w:r w:rsidRPr="00415500">
        <w:rPr>
          <w:rFonts w:eastAsiaTheme="minorEastAsia"/>
        </w:rPr>
        <w:t xml:space="preserve">The logistical challenges of vaccinating the entire mega colony of Little Penguins inhabiting Summerland Peninsula </w:t>
      </w:r>
      <w:r w:rsidR="00EB3882">
        <w:rPr>
          <w:rFonts w:eastAsiaTheme="minorEastAsia"/>
        </w:rPr>
        <w:t xml:space="preserve">(approximately 40,000 birds) </w:t>
      </w:r>
      <w:r w:rsidR="00777822">
        <w:rPr>
          <w:rFonts w:eastAsiaTheme="minorEastAsia"/>
        </w:rPr>
        <w:t>are</w:t>
      </w:r>
      <w:r w:rsidRPr="00415500">
        <w:rPr>
          <w:rFonts w:eastAsiaTheme="minorEastAsia"/>
        </w:rPr>
        <w:t xml:space="preserve"> obviously </w:t>
      </w:r>
      <w:r w:rsidR="00777822">
        <w:rPr>
          <w:rFonts w:eastAsiaTheme="minorEastAsia"/>
        </w:rPr>
        <w:t>very</w:t>
      </w:r>
      <w:r w:rsidRPr="00415500">
        <w:rPr>
          <w:rFonts w:eastAsiaTheme="minorEastAsia"/>
        </w:rPr>
        <w:t xml:space="preserve"> daunting. However, it may be feasible to target one or several sub-colonies, such as the Penguin Parade and adjoining colonies</w:t>
      </w:r>
      <w:r w:rsidR="00777822">
        <w:rPr>
          <w:rFonts w:eastAsiaTheme="minorEastAsia"/>
        </w:rPr>
        <w:t>,</w:t>
      </w:r>
      <w:r w:rsidRPr="00415500">
        <w:rPr>
          <w:rFonts w:eastAsiaTheme="minorEastAsia"/>
        </w:rPr>
        <w:t xml:space="preserve"> since sub-colonies only contain around 100 breeding pairs (~200 individuals) </w:t>
      </w:r>
      <w:r w:rsidRPr="00415500">
        <w:rPr>
          <w:rFonts w:eastAsiaTheme="minorEastAsia"/>
        </w:rPr>
        <w:fldChar w:fldCharType="begin"/>
      </w:r>
      <w:r w:rsidR="009F541F">
        <w:rPr>
          <w:rFonts w:eastAsiaTheme="minorEastAsia"/>
        </w:rPr>
        <w:instrText xml:space="preserve"> ADDIN ZOTERO_ITEM CSL_CITATION {"citationID":"L6PySIL8","properties":{"formattedCitation":"(Pulvirenti {\\i{}et al.} 2023)","plainCitation":"(Pulvirenti et al. 2023)","noteIndex":0},"citationItems":[{"id":9556,"uris":["http://zotero.org/users/634364/items/PFJZRXBS"],"itemData":{"id":9556,"type":"article-journal","abstract":"While differences in foraging and reproductive success are well studied between seabird colonies, they are less understood at a smaller subcolony scale. Working with little penguins (\n              Eudyptula minor\n              ) at Phillip Island, Australia, we used an automated penguin monitoring system and performed regular nest checks at two subcolonies situated 2 km apart during the 2015/2016 breeding seasons. We examined whether foraging and reproductive success differed between subcolonies. We used satellite data to examine how sea surface temperature, as environmental pressure, in the foraging regions from each subcolony influenced their foraging performance. In the pre-laying and incubation breeding stages, the birds from one subcolony had a lower foraging success than birds from the other. However, this pattern was reversed between the subcolonies in the guard and post-guard stages. Breeding success data from the two subcolonies from 2004–2018 showed that reproductive success and mean egg-laying had a negative relationship with sea surface temperature. We highlighted that variation in foraging and reproductive success can arise in subcolonies, likely due to different responses to environmental conditions and prey availability. Differences at the subcolony level can help refine, develop and improve appropriate species management plans for conserving a range of colonial central place seabirds.","container-title":"Royal Society Open Science","DOI":"10.1098/rsos.220362","ISSN":"2054-5703","issue":"6","journalAbbreviation":"R. Soc. open sci.","language":"en","page":"220362","source":"DOI.org (Crossref)","title":"Exploring subcolony differences in foraging and reproductive success: the influence of environmental conditions on a central place foraging seabird","title-short":"Exploring subcolony differences in foraging and reproductive success","volume":"10","author":[{"family":"Pulvirenti","given":"Jessica"},{"family":"Reina","given":"Richard D."},{"family":"Chiaradia","given":"Andre"}],"issued":{"date-parts":[["2023",6]]}}}],"schema":"https://github.com/citation-style-language/schema/raw/master/csl-citation.json"} </w:instrText>
      </w:r>
      <w:r w:rsidRPr="00415500">
        <w:rPr>
          <w:rFonts w:eastAsiaTheme="minorEastAsia"/>
        </w:rPr>
        <w:fldChar w:fldCharType="separate"/>
      </w:r>
      <w:r w:rsidR="009F541F" w:rsidRPr="009F541F">
        <w:t xml:space="preserve">(Pulvirenti </w:t>
      </w:r>
      <w:r w:rsidR="009F541F" w:rsidRPr="00DA5824">
        <w:t>et al</w:t>
      </w:r>
      <w:r w:rsidR="009F541F" w:rsidRPr="009F541F">
        <w:rPr>
          <w:i/>
          <w:iCs/>
        </w:rPr>
        <w:t>.</w:t>
      </w:r>
      <w:r w:rsidR="009F541F" w:rsidRPr="009F541F">
        <w:t xml:space="preserve"> 2023)</w:t>
      </w:r>
      <w:r w:rsidRPr="00415500">
        <w:rPr>
          <w:rFonts w:eastAsiaTheme="minorEastAsia"/>
        </w:rPr>
        <w:fldChar w:fldCharType="end"/>
      </w:r>
      <w:r w:rsidRPr="00415500">
        <w:rPr>
          <w:rFonts w:eastAsiaTheme="minorEastAsia"/>
        </w:rPr>
        <w:t>. Targeting the Penguin Parade for vaccination would make an obvious choice given the economic importance and high visibility of this sub-colony.</w:t>
      </w:r>
      <w:r w:rsidR="00BE3EC4">
        <w:rPr>
          <w:rFonts w:eastAsiaTheme="minorEastAsia"/>
        </w:rPr>
        <w:t xml:space="preserve"> </w:t>
      </w:r>
      <w:r w:rsidRPr="00415500">
        <w:rPr>
          <w:rFonts w:eastAsiaTheme="minorEastAsia"/>
        </w:rPr>
        <w:t>Since most of the nesting sites in this sub-colony are known, this would presumably also make catching and administering the vaccine to penguins much easier than in other areas of the peninsula.</w:t>
      </w:r>
      <w:r w:rsidR="00BE3EC4">
        <w:rPr>
          <w:rFonts w:eastAsiaTheme="minorEastAsia"/>
        </w:rPr>
        <w:t xml:space="preserve"> </w:t>
      </w:r>
      <w:r w:rsidRPr="00415500">
        <w:rPr>
          <w:rFonts w:eastAsiaTheme="minorEastAsia"/>
        </w:rPr>
        <w:t xml:space="preserve">Targeting the Penguin Parade and the </w:t>
      </w:r>
      <w:r w:rsidR="00EB3882">
        <w:rPr>
          <w:rFonts w:eastAsiaTheme="minorEastAsia"/>
        </w:rPr>
        <w:t>a</w:t>
      </w:r>
      <w:r w:rsidRPr="00415500">
        <w:rPr>
          <w:rFonts w:eastAsiaTheme="minorEastAsia"/>
        </w:rPr>
        <w:t xml:space="preserve">djoining sub-colonies would mean that around </w:t>
      </w:r>
      <w:r w:rsidR="00A23016">
        <w:rPr>
          <w:rFonts w:eastAsiaTheme="minorEastAsia"/>
        </w:rPr>
        <w:t>800 – 10</w:t>
      </w:r>
      <w:r w:rsidRPr="00415500">
        <w:rPr>
          <w:rFonts w:eastAsiaTheme="minorEastAsia"/>
        </w:rPr>
        <w:t xml:space="preserve">00 </w:t>
      </w:r>
      <w:r w:rsidR="00A23016">
        <w:rPr>
          <w:rFonts w:eastAsiaTheme="minorEastAsia"/>
        </w:rPr>
        <w:t>p</w:t>
      </w:r>
      <w:r w:rsidRPr="00415500">
        <w:rPr>
          <w:rFonts w:eastAsiaTheme="minorEastAsia"/>
        </w:rPr>
        <w:t>enguins would need to be vaccinated to give adequate protection against an incursion of H5N1.</w:t>
      </w:r>
      <w:r w:rsidR="00BE3EC4">
        <w:rPr>
          <w:rFonts w:eastAsiaTheme="minorEastAsia"/>
        </w:rPr>
        <w:t xml:space="preserve"> </w:t>
      </w:r>
    </w:p>
    <w:p w14:paraId="6B1A08E3" w14:textId="741F3633" w:rsidR="00BB2A73" w:rsidRDefault="00415500" w:rsidP="00BB2A73">
      <w:pPr>
        <w:rPr>
          <w:rFonts w:eastAsiaTheme="minorEastAsia"/>
        </w:rPr>
      </w:pPr>
      <w:r w:rsidRPr="00415500">
        <w:rPr>
          <w:rFonts w:eastAsiaTheme="minorEastAsia"/>
        </w:rPr>
        <w:t>To ensure that adequate coverage is achieved, any vaccination program would need to be administered</w:t>
      </w:r>
      <w:r w:rsidR="00BE3EC4">
        <w:rPr>
          <w:rFonts w:eastAsiaTheme="minorEastAsia"/>
        </w:rPr>
        <w:t xml:space="preserve"> </w:t>
      </w:r>
      <w:r w:rsidRPr="00415500">
        <w:rPr>
          <w:rFonts w:eastAsiaTheme="minorEastAsia"/>
        </w:rPr>
        <w:t>prior to the arrival of H5N1.</w:t>
      </w:r>
      <w:r w:rsidR="00BE3EC4">
        <w:rPr>
          <w:rFonts w:eastAsiaTheme="minorEastAsia"/>
        </w:rPr>
        <w:t xml:space="preserve"> </w:t>
      </w:r>
      <w:r w:rsidRPr="00415500">
        <w:rPr>
          <w:rFonts w:eastAsiaTheme="minorEastAsia"/>
        </w:rPr>
        <w:t>Modelling revealed that waiting until the arrival and discovery of H5N1 to start administering vaccin</w:t>
      </w:r>
      <w:r w:rsidR="00BD03FA">
        <w:rPr>
          <w:rFonts w:eastAsiaTheme="minorEastAsia"/>
        </w:rPr>
        <w:t>ations</w:t>
      </w:r>
      <w:r w:rsidRPr="00415500">
        <w:rPr>
          <w:rFonts w:eastAsiaTheme="minorEastAsia"/>
        </w:rPr>
        <w:t xml:space="preserve"> would most likely be too late</w:t>
      </w:r>
      <w:r w:rsidR="00BD03FA">
        <w:rPr>
          <w:rFonts w:eastAsiaTheme="minorEastAsia"/>
        </w:rPr>
        <w:t>, because</w:t>
      </w:r>
      <w:r w:rsidRPr="00415500">
        <w:rPr>
          <w:rFonts w:eastAsiaTheme="minorEastAsia"/>
        </w:rPr>
        <w:t xml:space="preserve"> significant mortality is likely to occur before adequate vaccine coverage is achieved.</w:t>
      </w:r>
      <w:r w:rsidR="00BE3EC4">
        <w:rPr>
          <w:rFonts w:eastAsiaTheme="minorEastAsia"/>
        </w:rPr>
        <w:t xml:space="preserve"> </w:t>
      </w:r>
      <w:r w:rsidR="00485608">
        <w:rPr>
          <w:rFonts w:eastAsiaTheme="minorEastAsia"/>
        </w:rPr>
        <w:t>Based on preliminary results from the New Zealand vaccine trial, peak antibody titres are not reach</w:t>
      </w:r>
      <w:r w:rsidR="00EB3882">
        <w:rPr>
          <w:rFonts w:eastAsiaTheme="minorEastAsia"/>
        </w:rPr>
        <w:t>ed</w:t>
      </w:r>
      <w:r w:rsidR="00485608">
        <w:rPr>
          <w:rFonts w:eastAsiaTheme="minorEastAsia"/>
        </w:rPr>
        <w:t xml:space="preserve"> until around 10 weeks from the initial dose</w:t>
      </w:r>
      <w:r w:rsidR="00485608" w:rsidRPr="00415500">
        <w:rPr>
          <w:rFonts w:eastAsiaTheme="minorEastAsia"/>
        </w:rPr>
        <w:t xml:space="preserve"> </w:t>
      </w:r>
      <w:r w:rsidR="00BA686D">
        <w:rPr>
          <w:rFonts w:eastAsiaTheme="minorEastAsia"/>
        </w:rPr>
        <w:t xml:space="preserve">and </w:t>
      </w:r>
      <w:r w:rsidR="00BD03FA">
        <w:rPr>
          <w:rFonts w:eastAsiaTheme="minorEastAsia"/>
        </w:rPr>
        <w:t>therefore</w:t>
      </w:r>
      <w:r w:rsidR="00BA686D">
        <w:rPr>
          <w:rFonts w:eastAsiaTheme="minorEastAsia"/>
        </w:rPr>
        <w:t>, beginning th</w:t>
      </w:r>
      <w:r w:rsidR="00B113B3">
        <w:rPr>
          <w:rFonts w:eastAsiaTheme="minorEastAsia"/>
        </w:rPr>
        <w:t>e</w:t>
      </w:r>
      <w:r w:rsidR="00BA686D">
        <w:rPr>
          <w:rFonts w:eastAsiaTheme="minorEastAsia"/>
        </w:rPr>
        <w:t xml:space="preserve"> vaccination </w:t>
      </w:r>
      <w:r w:rsidR="00142C79">
        <w:rPr>
          <w:rFonts w:eastAsiaTheme="minorEastAsia"/>
        </w:rPr>
        <w:t>program upon discovery of the first signs of disease would be too late to avoid significant mortality.</w:t>
      </w:r>
      <w:r w:rsidR="00BE3EC4">
        <w:rPr>
          <w:rFonts w:eastAsiaTheme="minorEastAsia"/>
        </w:rPr>
        <w:t xml:space="preserve"> </w:t>
      </w:r>
      <w:r w:rsidRPr="00415500">
        <w:rPr>
          <w:rFonts w:eastAsiaTheme="minorEastAsia"/>
        </w:rPr>
        <w:t xml:space="preserve">Unfortunately, the arrival of H5N1 into Australia (should it occur) cannot be predicted with any certainty, although the greatest risk is likely to occur when migratory shorebirds start arriving during the </w:t>
      </w:r>
      <w:proofErr w:type="gramStart"/>
      <w:r w:rsidRPr="00415500">
        <w:rPr>
          <w:rFonts w:eastAsiaTheme="minorEastAsia"/>
        </w:rPr>
        <w:t>Austral spring</w:t>
      </w:r>
      <w:proofErr w:type="gramEnd"/>
      <w:r w:rsidRPr="00415500">
        <w:rPr>
          <w:rFonts w:eastAsiaTheme="minorEastAsia"/>
        </w:rPr>
        <w:t>.</w:t>
      </w:r>
      <w:r w:rsidR="00BE3EC4">
        <w:rPr>
          <w:rFonts w:eastAsiaTheme="minorEastAsia"/>
        </w:rPr>
        <w:t xml:space="preserve"> </w:t>
      </w:r>
      <w:r w:rsidR="00BD03FA">
        <w:rPr>
          <w:rFonts w:eastAsiaTheme="minorEastAsia"/>
        </w:rPr>
        <w:t>As a result</w:t>
      </w:r>
      <w:r w:rsidRPr="00415500">
        <w:rPr>
          <w:rFonts w:eastAsiaTheme="minorEastAsia"/>
        </w:rPr>
        <w:t xml:space="preserve">, the logistical challenges and economic costs associated with rolling out a vaccination program before or during the </w:t>
      </w:r>
      <w:proofErr w:type="gramStart"/>
      <w:r w:rsidRPr="00415500">
        <w:rPr>
          <w:rFonts w:eastAsiaTheme="minorEastAsia"/>
        </w:rPr>
        <w:t>Austral spring</w:t>
      </w:r>
      <w:proofErr w:type="gramEnd"/>
      <w:r w:rsidRPr="00415500">
        <w:rPr>
          <w:rFonts w:eastAsiaTheme="minorEastAsia"/>
        </w:rPr>
        <w:t xml:space="preserve"> would need to be balanced against the risks of arrival of H5N1 and the likely susceptibility and impacts of the virus on Little Penguins.</w:t>
      </w:r>
      <w:r w:rsidR="00BE3EC4">
        <w:rPr>
          <w:rFonts w:eastAsiaTheme="minorEastAsia"/>
        </w:rPr>
        <w:t xml:space="preserve"> </w:t>
      </w:r>
      <w:r w:rsidRPr="00415500">
        <w:rPr>
          <w:rFonts w:eastAsiaTheme="minorEastAsia"/>
        </w:rPr>
        <w:t>Since the duration of protective antibody titres following vaccine administration is approximately 175 days, any vaccination program should provide protection for the population for approximately 6 months.</w:t>
      </w:r>
      <w:r w:rsidR="00BE3EC4">
        <w:rPr>
          <w:rFonts w:eastAsiaTheme="minorEastAsia"/>
        </w:rPr>
        <w:t xml:space="preserve"> </w:t>
      </w:r>
    </w:p>
    <w:p w14:paraId="469EE1D0" w14:textId="77777777" w:rsidR="00DB604F" w:rsidRDefault="00DB604F" w:rsidP="00BB2A73"/>
    <w:p w14:paraId="60235A51" w14:textId="6A3AEC2A" w:rsidR="007901CB" w:rsidRDefault="00E07B96" w:rsidP="00C5029C">
      <w:pPr>
        <w:pStyle w:val="Heading3-Numbered"/>
      </w:pPr>
      <w:bookmarkStart w:id="95" w:name="_Toc198634114"/>
      <w:r>
        <w:t>White Nose Syndrome</w:t>
      </w:r>
      <w:r w:rsidR="00CC06ED">
        <w:t xml:space="preserve"> in </w:t>
      </w:r>
      <w:r w:rsidR="00A67F12">
        <w:t>Southern Bent-wing Bats</w:t>
      </w:r>
      <w:bookmarkEnd w:id="95"/>
    </w:p>
    <w:p w14:paraId="49BAD9CB" w14:textId="08863E2A" w:rsidR="006026D5" w:rsidRPr="00097629" w:rsidRDefault="006026D5" w:rsidP="00BB2A73">
      <w:pPr>
        <w:rPr>
          <w:rFonts w:eastAsiaTheme="minorEastAsia"/>
        </w:rPr>
      </w:pPr>
      <w:r w:rsidRPr="00097629">
        <w:rPr>
          <w:rFonts w:eastAsiaTheme="minorEastAsia"/>
        </w:rPr>
        <w:t xml:space="preserve">WNS, caused by the fungal pathogen </w:t>
      </w:r>
      <w:bookmarkStart w:id="96" w:name="_Hlk196305391"/>
      <w:r w:rsidRPr="00642BC4">
        <w:rPr>
          <w:rFonts w:eastAsiaTheme="minorEastAsia"/>
          <w:i/>
          <w:iCs/>
        </w:rPr>
        <w:t xml:space="preserve">Pseudogymnoascus </w:t>
      </w:r>
      <w:proofErr w:type="spellStart"/>
      <w:r w:rsidRPr="00642BC4">
        <w:rPr>
          <w:rFonts w:eastAsiaTheme="minorEastAsia"/>
          <w:i/>
          <w:iCs/>
        </w:rPr>
        <w:t>destructans</w:t>
      </w:r>
      <w:proofErr w:type="spellEnd"/>
      <w:r w:rsidRPr="00097629">
        <w:rPr>
          <w:rFonts w:eastAsiaTheme="minorEastAsia"/>
        </w:rPr>
        <w:t xml:space="preserve"> </w:t>
      </w:r>
      <w:bookmarkEnd w:id="96"/>
      <w:r w:rsidRPr="00097629">
        <w:rPr>
          <w:rFonts w:eastAsiaTheme="minorEastAsia"/>
        </w:rPr>
        <w:t>(</w:t>
      </w:r>
      <w:r w:rsidRPr="00B165AB">
        <w:rPr>
          <w:rFonts w:eastAsiaTheme="minorEastAsia"/>
          <w:i/>
          <w:iCs/>
        </w:rPr>
        <w:t>Pd</w:t>
      </w:r>
      <w:r w:rsidRPr="00097629">
        <w:rPr>
          <w:rFonts w:eastAsiaTheme="minorEastAsia"/>
        </w:rPr>
        <w:t>), is a disease primarily affecting hibernating, cave-dwelling bats.</w:t>
      </w:r>
      <w:r w:rsidR="00BE3EC4">
        <w:rPr>
          <w:rFonts w:eastAsiaTheme="minorEastAsia"/>
        </w:rPr>
        <w:t xml:space="preserve"> </w:t>
      </w:r>
      <w:r w:rsidRPr="00097629">
        <w:rPr>
          <w:rFonts w:eastAsiaTheme="minorEastAsia"/>
        </w:rPr>
        <w:t xml:space="preserve">Since its introduction into North America from Eurasia in 2006, WNS has </w:t>
      </w:r>
      <w:r w:rsidR="002A6DD2">
        <w:rPr>
          <w:rFonts w:eastAsiaTheme="minorEastAsia"/>
        </w:rPr>
        <w:t>killed</w:t>
      </w:r>
      <w:r w:rsidRPr="00097629">
        <w:rPr>
          <w:rFonts w:eastAsiaTheme="minorEastAsia"/>
        </w:rPr>
        <w:t xml:space="preserve"> </w:t>
      </w:r>
      <w:r w:rsidR="00D460BF">
        <w:rPr>
          <w:rFonts w:eastAsiaTheme="minorEastAsia"/>
        </w:rPr>
        <w:t xml:space="preserve">millions </w:t>
      </w:r>
      <w:r w:rsidRPr="00097629">
        <w:rPr>
          <w:rFonts w:eastAsiaTheme="minorEastAsia"/>
        </w:rPr>
        <w:t xml:space="preserve">of </w:t>
      </w:r>
      <w:r w:rsidR="002A6DD2">
        <w:rPr>
          <w:rFonts w:eastAsiaTheme="minorEastAsia"/>
        </w:rPr>
        <w:t xml:space="preserve">individuals of various </w:t>
      </w:r>
      <w:r w:rsidRPr="00097629">
        <w:rPr>
          <w:rFonts w:eastAsiaTheme="minorEastAsia"/>
        </w:rPr>
        <w:t>hibernating ba</w:t>
      </w:r>
      <w:r w:rsidR="002A6DD2">
        <w:rPr>
          <w:rFonts w:eastAsiaTheme="minorEastAsia"/>
        </w:rPr>
        <w:t>t</w:t>
      </w:r>
      <w:r w:rsidRPr="00097629">
        <w:rPr>
          <w:rFonts w:eastAsiaTheme="minorEastAsia"/>
        </w:rPr>
        <w:t xml:space="preserve"> species throughout the temperate regions of North America</w:t>
      </w:r>
      <w:r w:rsidR="0033681C">
        <w:rPr>
          <w:rFonts w:eastAsiaTheme="minorEastAsia"/>
        </w:rPr>
        <w:t>, with some species declining by at least 90%</w:t>
      </w:r>
      <w:r w:rsidRPr="00097629">
        <w:rPr>
          <w:rFonts w:eastAsiaTheme="minorEastAsia"/>
        </w:rPr>
        <w:t xml:space="preserve"> </w:t>
      </w:r>
      <w:r w:rsidRPr="00097629">
        <w:rPr>
          <w:rFonts w:eastAsiaTheme="minorEastAsia"/>
        </w:rPr>
        <w:fldChar w:fldCharType="begin"/>
      </w:r>
      <w:r w:rsidR="009F541F">
        <w:rPr>
          <w:rFonts w:eastAsiaTheme="minorEastAsia"/>
        </w:rPr>
        <w:instrText xml:space="preserve"> ADDIN ZOTERO_ITEM CSL_CITATION {"citationID":"DidoIzP8","properties":{"formattedCitation":"(Blehert {\\i{}et al.} 2009; Foley {\\i{}et al.} 2011; Cheng {\\i{}et al.} 2021)","plainCitation":"(Blehert et al. 2009; Foley et al. 2011; Cheng et al. 2021)","noteIndex":0},"citationItems":[{"id":9562,"uris":["http://zotero.org/users/634364/items/2MNH35S7"],"itemData":{"id":9562,"type":"article-journal","abstract":"White-nose syndrome (WNS) is a condition associated with an unprecedented bat mortality event in the northeastern United States. Since the winter of 2006*2007, bat declines exceeding 75% have been observed at surveyed hibernacula. Affected bats often present with visually striking white fungal growth on their muzzles, ears, and/or wing membranes. Direct microscopy and culture analyses demonstrated that the skin of WNS-affected bats is colonized by a psychro-philic fungus that is phylogenetically related to Geomyces spp. but with a conidial morphology distinct from characterized members of this genus. This report characterizes the cutaneous fungal infection associated with WNS.","container-title":"Science","DOI":"10.1126/science.1163874","ISSN":"0036-8075, 1095-9203","issue":"5911","journalAbbreviation":"Science","language":"en","page":"227-227","source":"DOI.org (Crossref)","title":"Bat White-Nose Syndrome: An Emerging Fungal Pathogen?","title-short":"Bat White-Nose Syndrome","volume":"323","author":[{"family":"Blehert","given":"David S."},{"family":"Hicks","given":"Alan C."},{"family":"Behr","given":"Melissa"},{"family":"Meteyer","given":"Carol U."},{"family":"Berlowski-Zier","given":"Brenda M."},{"family":"Buckles","given":"Elizabeth L."},{"family":"Coleman","given":"Jeremy T. H."},{"family":"Darling","given":"Scott R."},{"family":"Gargas","given":"Andrea"},{"family":"Niver","given":"Robyn"},{"family":"Okoniewski","given":"Joseph C."},{"family":"Rudd","given":"Robert J."},{"family":"Stone","given":"Ward B."}],"issued":{"date-parts":[["2009",1,9]]}}},{"id":9519,"uris":["http://zotero.org/users/634364/items/VA2TNPPN"],"itemData":{"id":9519,"type":"article-journal","abstract":"White-nose syndrome (WNS) is a fatal disease of bats that hibernate. The etiologic agent of WNS is the fungus Geomyces destructans, which infects the skin and wing membranes. Over 1 million bats in six species in eastern North America have died from WNS since 2006, and as a result several species of bats may become endangered or extinct. Information is lacking on the pathogenesis of G. destructans and WNS, WNS transmission and maintenance, individual and site factors that contribute to the probability of an outbreak of WNS, and spatial dynamics of WNS spread in North America. We considered how descriptive and analytical epidemiology could be used to fill these information gaps, including a four-step (modified) outbreak investigation, application of a set of criteria (Hill’s) for assessing causation, compartment models of disease dynamics, and spatial modeling. We cataloged and critiqued adaptive-management options that have been either previously proposed for WNS or were helpful in addressing other emerging diseases of wild animals. These include an ongoing program of prospective surveillance of bats and hibernacula for WNS, treatment of individual bats, increasing population resistance to WNS (through vaccines, immunomodulators, or other methods), improving probability of survival from starvation and dehydration associated with WNS, modifying hibernacula environments to eliminate G. destructans, culling individuals or populations, controlling anthropogenic spread of WNS, conserving genetic diversity of bats, and educating the public about bats and bat conservation issues associated with WNS.","container-title":"Conservation Biology","DOI":"10.1111/j.1523-1739.2010.01638.x","ISSN":"08888892","language":"en","license":"http://doi.wiley.com/10.1002/tdm_license_1.1","page":"no-no","source":"DOI.org (Crossref)","title":"Investigating and Managing the Rapid Emergence of White-Nose Syndrome, a Novel, Fatal, Infectious Disease of Hibernating Bats: White-Nose Syndrome in Bats","title-short":"Investigating and Managing the Rapid Emergence of White-Nose Syndrome, a Novel, Fatal, Infectious Disease of Hibernating Bats","author":[{"family":"Foley","given":"Janet"},{"family":"Clifford","given":"Deana"},{"family":"Castle","given":"Kevin"},{"family":"Cryan","given":"Paul"},{"family":"Ostfeld","given":"Richard S."}],"issued":{"date-parts":[["2011",1]]}}},{"id":9658,"uris":["http://zotero.org/users/634364/items/RI9DXYNM"],"itemData":{"id":9658,"type":"article-journal","container-title":"Conservation Biology","issue":"5","note":"publisher: Wiley Online Library","page":"1586–1597","title":"The scope and severity of white-nose syndrome on hibernating bats in North America","volume":"35","author":[{"family":"Cheng","given":"Tina L"},{"family":"Reichard","given":"Jonathan D"},{"family":"Coleman","given":"Jeremy TH"},{"family":"Weller","given":"Theodore J"},{"family":"Thogmartin","given":"Wayne E"},{"family":"Reichert","given":"Brian E"},{"family":"Bennett","given":"Alyssa B"},{"family":"Broders","given":"Hugh G"},{"family":"Campbell","given":"Joshua"},{"family":"Etchison","given":"Katherine"},{"literal":"others"}],"issued":{"date-parts":[["2021"]]}}}],"schema":"https://github.com/citation-style-language/schema/raw/master/csl-citation.json"} </w:instrText>
      </w:r>
      <w:r w:rsidRPr="00097629">
        <w:rPr>
          <w:rFonts w:eastAsiaTheme="minorEastAsia"/>
        </w:rPr>
        <w:fldChar w:fldCharType="separate"/>
      </w:r>
      <w:r w:rsidR="009F541F" w:rsidRPr="009F541F">
        <w:t xml:space="preserve">(Blehert </w:t>
      </w:r>
      <w:r w:rsidR="009F541F" w:rsidRPr="00DA5824">
        <w:t>et al.</w:t>
      </w:r>
      <w:r w:rsidR="009F541F" w:rsidRPr="00BD03FA">
        <w:t xml:space="preserve"> </w:t>
      </w:r>
      <w:r w:rsidR="009F541F" w:rsidRPr="009F541F">
        <w:t xml:space="preserve">2009; Foley </w:t>
      </w:r>
      <w:r w:rsidR="009F541F" w:rsidRPr="00DA5824">
        <w:t>et al.</w:t>
      </w:r>
      <w:r w:rsidR="009F541F" w:rsidRPr="00BD03FA">
        <w:t xml:space="preserve"> </w:t>
      </w:r>
      <w:r w:rsidR="009F541F" w:rsidRPr="009F541F">
        <w:t xml:space="preserve">2011; Cheng </w:t>
      </w:r>
      <w:r w:rsidR="009F541F" w:rsidRPr="00DA5824">
        <w:t>et al.</w:t>
      </w:r>
      <w:r w:rsidR="009F541F" w:rsidRPr="00BD03FA">
        <w:t xml:space="preserve"> </w:t>
      </w:r>
      <w:r w:rsidR="009F541F" w:rsidRPr="009F541F">
        <w:t>2021)</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WNS is a cold-loving fungus thriving at temperatures below 15</w:t>
      </w:r>
      <w:r w:rsidR="001C4B51" w:rsidRPr="001C4B51">
        <w:rPr>
          <w:rFonts w:eastAsiaTheme="minorEastAsia"/>
        </w:rPr>
        <w:t xml:space="preserve">°C </w:t>
      </w:r>
      <w:r w:rsidRPr="00097629">
        <w:rPr>
          <w:rFonts w:eastAsiaTheme="minorEastAsia"/>
        </w:rPr>
        <w:t>ceasing growth above 20</w:t>
      </w:r>
      <w:r w:rsidR="001C4B51">
        <w:rPr>
          <w:rFonts w:eastAsiaTheme="minorEastAsia"/>
        </w:rPr>
        <w:t>°</w:t>
      </w:r>
      <w:r w:rsidRPr="00097629">
        <w:rPr>
          <w:rFonts w:eastAsiaTheme="minorEastAsia"/>
        </w:rPr>
        <w:t xml:space="preserve">C </w:t>
      </w:r>
      <w:r w:rsidRPr="00097629">
        <w:rPr>
          <w:rFonts w:eastAsiaTheme="minorEastAsia"/>
        </w:rPr>
        <w:fldChar w:fldCharType="begin"/>
      </w:r>
      <w:r w:rsidR="009F541F">
        <w:rPr>
          <w:rFonts w:eastAsiaTheme="minorEastAsia"/>
        </w:rPr>
        <w:instrText xml:space="preserve"> ADDIN ZOTERO_ITEM CSL_CITATION {"citationID":"zr0ngvWZ","properties":{"formattedCitation":"(Holz {\\i{}et al.} 2016)","plainCitation":"(Holz et al. 2016)","noteIndex":0},"citationItems":[{"id":9563,"uris":["http://zotero.org/users/634364/items/M9LUA4A6"],"itemData":{"id":9563,"type":"report","event-place":"Wildlife Health Australia: Sydney, NSW, Australia","publisher-place":"Wildlife Health Australia: Sydney, NSW, Australia","title":"Qualitative risk assessment: White-nose syndrome in bats in Australia.  A report prepared for Wildlife Health Australia.","author":[{"family":"Holz","given":"Peter"},{"family":"Hufschmid","given":"Jasmin"},{"family":"Boardman","given":"Wayne"},{"family":"Cassey","given":"Phillip"},{"family":"Firestone","given":"Simon"},{"family":"Lumsden","given":"Lindy"},{"family":"Prowse","given":"Thomas"},{"family":"Reardon","given":"Terry"},{"family":"Stevenson","given":"Mark"}],"issued":{"date-parts":[["2016"]]}}}],"schema":"https://github.com/citation-style-language/schema/raw/master/csl-citation.json"} </w:instrText>
      </w:r>
      <w:r w:rsidRPr="00097629">
        <w:rPr>
          <w:rFonts w:eastAsiaTheme="minorEastAsia"/>
        </w:rPr>
        <w:fldChar w:fldCharType="separate"/>
      </w:r>
      <w:r w:rsidR="009F541F" w:rsidRPr="009F541F">
        <w:t xml:space="preserve">(Holz </w:t>
      </w:r>
      <w:r w:rsidR="009F541F" w:rsidRPr="00DA5824">
        <w:t>et al.</w:t>
      </w:r>
      <w:r w:rsidR="009F541F" w:rsidRPr="009F541F">
        <w:t xml:space="preserve"> 2016)</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Bat mortality due to WNS occurs predominantly during winter</w:t>
      </w:r>
      <w:r w:rsidR="00BD03FA">
        <w:rPr>
          <w:rFonts w:eastAsiaTheme="minorEastAsia"/>
        </w:rPr>
        <w:t>,</w:t>
      </w:r>
      <w:r w:rsidRPr="00097629">
        <w:rPr>
          <w:rFonts w:eastAsiaTheme="minorEastAsia"/>
        </w:rPr>
        <w:t xml:space="preserve"> where fungal growth on the skin of bats leads to high evaporative water loss and subsequent dehydration.</w:t>
      </w:r>
      <w:r w:rsidR="00BE3EC4">
        <w:rPr>
          <w:rFonts w:eastAsiaTheme="minorEastAsia"/>
        </w:rPr>
        <w:t xml:space="preserve"> </w:t>
      </w:r>
      <w:r w:rsidRPr="00097629">
        <w:rPr>
          <w:rFonts w:eastAsiaTheme="minorEastAsia"/>
        </w:rPr>
        <w:t>This causes bats to wake frequently from hibernation</w:t>
      </w:r>
      <w:r w:rsidR="00BD03FA">
        <w:rPr>
          <w:rFonts w:eastAsiaTheme="minorEastAsia"/>
        </w:rPr>
        <w:t>,</w:t>
      </w:r>
      <w:r w:rsidR="00B11B62">
        <w:rPr>
          <w:rFonts w:eastAsiaTheme="minorEastAsia"/>
        </w:rPr>
        <w:t xml:space="preserve"> </w:t>
      </w:r>
      <w:r w:rsidR="00BD03FA">
        <w:rPr>
          <w:rFonts w:eastAsiaTheme="minorEastAsia"/>
        </w:rPr>
        <w:t>resulting in</w:t>
      </w:r>
      <w:r w:rsidR="00B11B62">
        <w:rPr>
          <w:rFonts w:eastAsiaTheme="minorEastAsia"/>
        </w:rPr>
        <w:t xml:space="preserve"> dehydration, electrolyte disturbance and </w:t>
      </w:r>
      <w:r w:rsidR="00BD03FA">
        <w:rPr>
          <w:rFonts w:eastAsiaTheme="minorEastAsia"/>
        </w:rPr>
        <w:t xml:space="preserve">the </w:t>
      </w:r>
      <w:r w:rsidR="00B11B62">
        <w:rPr>
          <w:rFonts w:eastAsiaTheme="minorEastAsia"/>
        </w:rPr>
        <w:t>depletion of</w:t>
      </w:r>
      <w:r w:rsidRPr="00097629">
        <w:rPr>
          <w:rFonts w:eastAsiaTheme="minorEastAsia"/>
        </w:rPr>
        <w:t xml:space="preserve"> energy reserves</w:t>
      </w:r>
      <w:r w:rsidR="001C4B51">
        <w:rPr>
          <w:rFonts w:eastAsiaTheme="minorEastAsia"/>
        </w:rPr>
        <w:t>,</w:t>
      </w:r>
      <w:r w:rsidR="00BD03FA">
        <w:rPr>
          <w:rFonts w:eastAsiaTheme="minorEastAsia"/>
        </w:rPr>
        <w:t xml:space="preserve"> </w:t>
      </w:r>
      <w:r w:rsidR="00C942D5">
        <w:rPr>
          <w:rFonts w:eastAsiaTheme="minorEastAsia"/>
        </w:rPr>
        <w:t>which</w:t>
      </w:r>
      <w:r w:rsidRPr="00097629">
        <w:rPr>
          <w:rFonts w:eastAsiaTheme="minorEastAsia"/>
        </w:rPr>
        <w:t xml:space="preserve"> eventually lead</w:t>
      </w:r>
      <w:r w:rsidR="00C942D5">
        <w:rPr>
          <w:rFonts w:eastAsiaTheme="minorEastAsia"/>
        </w:rPr>
        <w:t>s</w:t>
      </w:r>
      <w:r w:rsidRPr="00097629">
        <w:rPr>
          <w:rFonts w:eastAsiaTheme="minorEastAsia"/>
        </w:rPr>
        <w:t xml:space="preserve"> to</w:t>
      </w:r>
      <w:r w:rsidR="00C942D5">
        <w:rPr>
          <w:rFonts w:eastAsiaTheme="minorEastAsia"/>
        </w:rPr>
        <w:t xml:space="preserve"> </w:t>
      </w:r>
      <w:r w:rsidRPr="00097629">
        <w:rPr>
          <w:rFonts w:eastAsiaTheme="minorEastAsia"/>
        </w:rPr>
        <w:t xml:space="preserve">death </w:t>
      </w:r>
      <w:r w:rsidRPr="00097629">
        <w:rPr>
          <w:rFonts w:eastAsiaTheme="minorEastAsia"/>
        </w:rPr>
        <w:fldChar w:fldCharType="begin"/>
      </w:r>
      <w:r w:rsidR="009F541F">
        <w:rPr>
          <w:rFonts w:eastAsiaTheme="minorEastAsia"/>
        </w:rPr>
        <w:instrText xml:space="preserve"> ADDIN ZOTERO_ITEM CSL_CITATION {"citationID":"lH5kHIq6","properties":{"formattedCitation":"(Thomas {\\i{}et al.} 1990; Verant {\\i{}et al.} 2014)","plainCitation":"(Thomas et al. 1990; Verant et al. 2014)","noteIndex":0},"citationItems":[{"id":9566,"uris":["http://zotero.org/users/634364/items/C3ZETIDP"],"itemData":{"id":9566,"type":"article-journal","container-title":"Journal of mammalogy","issue":"3","note":"publisher: JSTOR","page":"475–479","title":"Winter energy budgets and cost of arousals for hibernating little brown bats, Myotis lucifugus","volume":"71","author":[{"family":"Thomas","given":"Donald W"},{"family":"Dorais","given":"Martin"},{"family":"Bergeron","given":"Jean-Marie"}],"issued":{"date-parts":[["1990"]]}}},{"id":9661,"uris":["http://zotero.org/users/634364/items/BQWX89XK"],"itemData":{"id":9661,"type":"article-journal","abstract":"Background: The physiological effects of white-nose syndrome (WNS) in hibernating bats and ultimate causes of mortality from infection with Pseudogymnoascus (formerly Geomyces) destructans are not fully understood. Increased frequency of arousal from torpor described among hibernating bats with late-stage WNS is thought to accelerate depletion of fat reserves, but the physiological mechanisms that lead to these alterations in hibernation behavior have not been elucidated. We used the doubly labeled water (DLW) method and clinical chemistry to evaluate energy use, body composition changes, and blood chemistry perturbations in hibernating little brown bats (Myotis lucifugus) experimentally infected with P. destructans to better understand the physiological processes that underlie mortality from WNS.\nResults: These data indicated that fat energy utilization, as demonstrated by changes in body composition, was two-fold higher for bats with WNS compared to negative controls. These differences were apparent in early stages of infection when torpor-arousal patterns were equivalent between infected and non-infected animals, suggesting that P. destructans has complex physiological impacts on its host prior to onset of clinical signs indicative of late-stage infections. Additionally, bats with mild to moderate skin lesions associated with early-stage WNS demonstrated a chronic respiratory acidosis characterized by significantly elevated dissolved carbon dioxide, acidemia, and elevated bicarbonate. Potassium concentrations were also significantly higher among infected bats, but sodium, chloride, and other hydration parameters were equivalent to controls.\nConclusions: Integrating these novel findings on the physiological changes that occur in early-stage WNS with those previously documented in late-stage infections, we propose a multi-stage disease progression model that mechanistically describes the pathologic and physiologic effects underlying mortality of WNS in hibernating bats. This model identifies testable hypotheses for better understanding this disease, knowledge that will be critical for defining effective disease mitigation strategies aimed at reducing morbidity and mortality that results from WNS.","container-title":"BMC Physiology","issue":"10","language":"en","page":"1-10","source":"Zotero","title":"White-nose syndrome initiates a cascade of physiologic disturbances in the hibernating bat host","volume":"14","author":[{"family":"Verant","given":"Michelle L"},{"family":"Meteyer","given":"Carol U"},{"family":"Speakman","given":"John R"},{"family":"Cryan","given":"Paul M"},{"family":"Lorch","given":"Jeffrey M"},{"family":"Blehert","given":"David S"}],"issued":{"date-parts":[["2014"]]}}}],"schema":"https://github.com/citation-style-language/schema/raw/master/csl-citation.json"} </w:instrText>
      </w:r>
      <w:r w:rsidRPr="00097629">
        <w:rPr>
          <w:rFonts w:eastAsiaTheme="minorEastAsia"/>
        </w:rPr>
        <w:fldChar w:fldCharType="separate"/>
      </w:r>
      <w:r w:rsidR="009F541F" w:rsidRPr="009F541F">
        <w:t xml:space="preserve">(Thomas </w:t>
      </w:r>
      <w:r w:rsidR="009F541F" w:rsidRPr="00DA5824">
        <w:t>et al.</w:t>
      </w:r>
      <w:r w:rsidR="009F541F" w:rsidRPr="00BD03FA">
        <w:t xml:space="preserve"> </w:t>
      </w:r>
      <w:r w:rsidR="009F541F" w:rsidRPr="009F541F">
        <w:t xml:space="preserve">1990; Verant </w:t>
      </w:r>
      <w:r w:rsidR="009F541F" w:rsidRPr="00DA5824">
        <w:t>et al.</w:t>
      </w:r>
      <w:r w:rsidR="009F541F" w:rsidRPr="009F541F">
        <w:t xml:space="preserve"> 2014)</w:t>
      </w:r>
      <w:r w:rsidRPr="00097629">
        <w:rPr>
          <w:rFonts w:eastAsiaTheme="minorEastAsia"/>
        </w:rPr>
        <w:fldChar w:fldCharType="end"/>
      </w:r>
      <w:r w:rsidRPr="00097629">
        <w:rPr>
          <w:rFonts w:eastAsiaTheme="minorEastAsia"/>
        </w:rPr>
        <w:t>.</w:t>
      </w:r>
    </w:p>
    <w:p w14:paraId="28F0B644" w14:textId="5B3E045C" w:rsidR="0035407E" w:rsidRPr="00097629" w:rsidRDefault="0035407E" w:rsidP="0035407E">
      <w:pPr>
        <w:rPr>
          <w:rFonts w:eastAsiaTheme="minorEastAsia"/>
        </w:rPr>
      </w:pPr>
      <w:r w:rsidRPr="00B165AB">
        <w:rPr>
          <w:rFonts w:eastAsiaTheme="minorEastAsia"/>
          <w:i/>
          <w:iCs/>
        </w:rPr>
        <w:t>Pd</w:t>
      </w:r>
      <w:r w:rsidRPr="00097629">
        <w:rPr>
          <w:rFonts w:eastAsiaTheme="minorEastAsia"/>
        </w:rPr>
        <w:t xml:space="preserve"> is believed to be absent from Australia </w:t>
      </w:r>
      <w:r w:rsidR="00DE39F3">
        <w:rPr>
          <w:rFonts w:eastAsiaTheme="minorEastAsia"/>
        </w:rPr>
        <w:fldChar w:fldCharType="begin"/>
      </w:r>
      <w:r w:rsidR="009F541F">
        <w:rPr>
          <w:rFonts w:eastAsiaTheme="minorEastAsia"/>
        </w:rPr>
        <w:instrText xml:space="preserve"> ADDIN ZOTERO_ITEM CSL_CITATION {"citationID":"9pEky5PU","properties":{"formattedCitation":"(Holz {\\i{}et al.} 2018)","plainCitation":"(Holz et al. 2018)","noteIndex":0},"citationItems":[{"id":9610,"uris":["http://zotero.org/users/634364/items/DGWFCAUT"],"itemData":{"id":9610,"type":"article-journal","abstract":"Fungi are increasingly being documented as causing disease in a wide range of faunal species, including Pseudogymnoascus destructans, the fungus responsible for white nose syndrome which is having a devastating impact on bats in North America. The population size of the Australian southern bent-winged bat (Miniopterus orianae bassanii), a critically endangered subspecies, has declined over the past 50 years. As part of a larger study to determine whether disease could be a contributing factor to this decline, southern bentwinged bats were tested for the presence of a range of potentially pathogenic fungi: P. destructans, dermatophytes and Histoplasma capsulatum (a potential human pathogen commonly associated with caves inhabited by bats). Results were compared with those obtained for the more common eastern bent-winged bat (M. orianae oceanensis). All bats and their environment were negative for P. destructans. A large number of fungi were found on the skin and fur of bats, most of which were environmental or plant associated, and none of which were likely to be of significant pathogenicity for bats. A 0–19% prevalence of H.","container-title":"PLOS ONE","DOI":"10.1371/journal.pone.0204282","ISSN":"1932-6203","issue":"10","journalAbbreviation":"PLoS ONE","language":"en","page":"e0204282","source":"DOI.org (Crossref)","title":"Two subspecies of bent-winged bats (Miniopterus orianae bassanii and oceanensis) in southern Australia have diverse fungal skin flora but not Pseudogymnoascus destructans","volume":"13","author":[{"family":"Holz","given":"Peter H."},{"family":"Lumsden","given":"Linda F."},{"family":"Marenda","given":"Marc S."},{"family":"Browning","given":"Glenn F."},{"family":"Hufschmid","given":"Jasmin"}],"editor":[{"family":"Baker","given":"Michelle L."}],"issued":{"date-parts":[["2018",10,10]]}}}],"schema":"https://github.com/citation-style-language/schema/raw/master/csl-citation.json"} </w:instrText>
      </w:r>
      <w:r w:rsidR="00DE39F3">
        <w:rPr>
          <w:rFonts w:eastAsiaTheme="minorEastAsia"/>
        </w:rPr>
        <w:fldChar w:fldCharType="separate"/>
      </w:r>
      <w:r w:rsidR="009F541F" w:rsidRPr="009F541F">
        <w:t xml:space="preserve">(Holz </w:t>
      </w:r>
      <w:r w:rsidR="009F541F" w:rsidRPr="00DA5824">
        <w:t>et al.</w:t>
      </w:r>
      <w:r w:rsidR="009F541F" w:rsidRPr="009F541F">
        <w:t xml:space="preserve"> 2018)</w:t>
      </w:r>
      <w:r w:rsidR="00DE39F3">
        <w:rPr>
          <w:rFonts w:eastAsiaTheme="minorEastAsia"/>
        </w:rPr>
        <w:fldChar w:fldCharType="end"/>
      </w:r>
      <w:r w:rsidR="00A63BA8">
        <w:rPr>
          <w:rFonts w:eastAsiaTheme="minorEastAsia"/>
        </w:rPr>
        <w:t xml:space="preserve"> </w:t>
      </w:r>
      <w:r w:rsidRPr="00097629">
        <w:rPr>
          <w:rFonts w:eastAsiaTheme="minorEastAsia"/>
        </w:rPr>
        <w:t xml:space="preserve">but recent risk assessments have concluded that the risk of the fungus entering bat populations in Australia is </w:t>
      </w:r>
      <w:r w:rsidR="00FA72A4">
        <w:rPr>
          <w:rFonts w:eastAsiaTheme="minorEastAsia"/>
        </w:rPr>
        <w:t>likely</w:t>
      </w:r>
      <w:r w:rsidR="004356AC">
        <w:rPr>
          <w:rFonts w:eastAsiaTheme="minorEastAsia"/>
        </w:rPr>
        <w:t>,</w:t>
      </w:r>
      <w:r w:rsidRPr="00097629">
        <w:rPr>
          <w:rFonts w:eastAsiaTheme="minorEastAsia"/>
        </w:rPr>
        <w:t xml:space="preserve"> with the most at-risk species being the cave-dwelling bats of southern Australia </w:t>
      </w:r>
      <w:r w:rsidRPr="00097629">
        <w:rPr>
          <w:rFonts w:eastAsiaTheme="minorEastAsia"/>
        </w:rPr>
        <w:fldChar w:fldCharType="begin"/>
      </w:r>
      <w:r w:rsidR="009F541F">
        <w:rPr>
          <w:rFonts w:eastAsiaTheme="minorEastAsia"/>
        </w:rPr>
        <w:instrText xml:space="preserve"> ADDIN ZOTERO_ITEM CSL_CITATION {"citationID":"pfZ7U7rH","properties":{"formattedCitation":"(Holz {\\i{}et al.} 2016; Turbill and Welbergen 2020)","plainCitation":"(Holz et al. 2016; Turbill and Welbergen 2020)","noteIndex":0},"citationItems":[{"id":9563,"uris":["http://zotero.org/users/634364/items/M9LUA4A6"],"itemData":{"id":9563,"type":"report","event-place":"Wildlife Health Australia: Sydney, NSW, Australia","publisher-place":"Wildlife Health Australia: Sydney, NSW, Australia","title":"Qualitative risk assessment: White-nose syndrome in bats in Australia.  A report prepared for Wildlife Health Australia.","author":[{"family":"Holz","given":"Peter"},{"family":"Hufschmid","given":"Jasmin"},{"family":"Boardman","given":"Wayne"},{"family":"Cassey","given":"Phillip"},{"family":"Firestone","given":"Simon"},{"family":"Lumsden","given":"Lindy"},{"family":"Prowse","given":"Thomas"},{"family":"Reardon","given":"Terry"},{"family":"Stevenson","given":"Mark"}],"issued":{"date-parts":[["2016"]]}}},{"id":9503,"uris":["http://zotero.org/users/634364/items/FPUWKBEW"],"itemData":{"id":9503,"type":"article-journal","abstract":"There is a serious concern that white-nose syndrome (WNS), a fungal disease causing severe population declines in North American bats, could soon threaten bats on the Australian continent. Despite an ‘almost certain’ risk of incursion within the next ten years, and high virulence in na€ıve bat populations, we remain uncertain about the vulnerability of Australian bats to WNS. In this study, we intersected occurrences for the 27 cave roosting bat species in Australia with interpolated data on mean annual surface temperature, which provides a proxy for thermal conditions within a cave and hence its suitability for growth by the fungal pathogen Pseudogymnoascus destructans. Our analysis identiﬁes favourable roost thermal conditions within 30–100% of the ranges of eight bat species across south-eastern Australia, including for seven species already listed as threatened with extinction. These results demonstrate the potential for widespread exposure to P. destructans and suggest that WNS could pose a serious risk to the conservation of Australia’s bat fauna. The impacts of exposure to P. destructans will depend, however, on the sensitivity of bats to developing WNS, and a more comprehensive vulnerability assessment is currently prevented by a lack of information on the hibernation biology of Australian bats. Thus, given the clear potential for widespread exposure of Australia’s bats to P. destructans demonstrated by our study, two speciﬁc policy actions seem justiﬁed: (i) urgent implementation of border controls that identify and decontaminate cave-associated fomites and (ii) dedicated funding to enable research on key aspects of bat winter behaviour and hibernation physiology. Further, as accidental translocation of this fungus could also pose a risk to other na€ıve bat faunas in cooler regions of southern Africa and South America, we argue that a proactive, globally coordinated approach is required to understand and mitigate the potential impacts of WNS spreading to Southern Hemisphere bats.","container-title":"Austral Ecology","DOI":"10.1111/aec.12832","ISSN":"1442-9985, 1442-9993","issue":"1","journalAbbreviation":"Austral Ecology","language":"en",</w:instrText>
      </w:r>
      <w:r w:rsidR="009F541F">
        <w:rPr>
          <w:rFonts w:eastAsiaTheme="minorEastAsia" w:hint="eastAsia"/>
        </w:rPr>
        <w:instrText>"page":"89-96","source":"DOI.org (Crossref)","title":"Anticipating white</w:instrText>
      </w:r>
      <w:r w:rsidR="009F541F">
        <w:rPr>
          <w:rFonts w:eastAsiaTheme="minorEastAsia" w:hint="eastAsia"/>
        </w:rPr>
        <w:instrText>‐</w:instrText>
      </w:r>
      <w:r w:rsidR="009F541F">
        <w:rPr>
          <w:rFonts w:eastAsiaTheme="minorEastAsia" w:hint="eastAsia"/>
        </w:rPr>
        <w:instrText>nose syndrome in the Southern Hemisphere: Widespread conditions favourable to &lt;i&gt;Pseudogymnoascus destructans&lt;/i&gt; pose a serious risk to Australia's bat fauna","title-short":"Anticipating white</w:instrText>
      </w:r>
      <w:r w:rsidR="009F541F">
        <w:rPr>
          <w:rFonts w:eastAsiaTheme="minorEastAsia" w:hint="eastAsia"/>
        </w:rPr>
        <w:instrText>‐</w:instrText>
      </w:r>
      <w:r w:rsidR="009F541F">
        <w:rPr>
          <w:rFonts w:eastAsiaTheme="minorEastAsia" w:hint="eastAsia"/>
        </w:rPr>
        <w:instrText>nose syndrome in the Southern Hemisphere","volume":"45","author":[{"family":"Turbill","given":"Christopher"},{"family":"Welbergen","given":"Justin A."}],"issued":{"date-parts":[["2020",2]]}}}],"schema":"https://github.com/citation-style-langua</w:instrText>
      </w:r>
      <w:r w:rsidR="009F541F">
        <w:rPr>
          <w:rFonts w:eastAsiaTheme="minorEastAsia"/>
        </w:rPr>
        <w:instrText xml:space="preserve">ge/schema/raw/master/csl-citation.json"} </w:instrText>
      </w:r>
      <w:r w:rsidRPr="00097629">
        <w:rPr>
          <w:rFonts w:eastAsiaTheme="minorEastAsia"/>
        </w:rPr>
        <w:fldChar w:fldCharType="separate"/>
      </w:r>
      <w:r w:rsidR="009F541F" w:rsidRPr="009F541F">
        <w:t xml:space="preserve">(Holz </w:t>
      </w:r>
      <w:r w:rsidR="009F541F" w:rsidRPr="00DA5824">
        <w:t>et al</w:t>
      </w:r>
      <w:r w:rsidR="009F541F" w:rsidRPr="009F541F">
        <w:rPr>
          <w:i/>
          <w:iCs/>
        </w:rPr>
        <w:t>.</w:t>
      </w:r>
      <w:r w:rsidR="009F541F" w:rsidRPr="009F541F">
        <w:t xml:space="preserve"> 2016; Turbill and Welbergen 2020)</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 xml:space="preserve">Temperatures suitable for the growth of </w:t>
      </w:r>
      <w:r w:rsidRPr="00B165AB">
        <w:rPr>
          <w:rFonts w:eastAsiaTheme="minorEastAsia"/>
          <w:i/>
          <w:iCs/>
        </w:rPr>
        <w:t>Pd</w:t>
      </w:r>
      <w:r w:rsidRPr="00097629">
        <w:rPr>
          <w:rFonts w:eastAsiaTheme="minorEastAsia"/>
        </w:rPr>
        <w:t xml:space="preserve"> are likely to occur in around one third of Australia’s cave-dwelling bat species </w:t>
      </w:r>
      <w:r w:rsidRPr="00097629">
        <w:rPr>
          <w:rFonts w:eastAsiaTheme="minorEastAsia"/>
        </w:rPr>
        <w:fldChar w:fldCharType="begin"/>
      </w:r>
      <w:r w:rsidRPr="00097629">
        <w:rPr>
          <w:rFonts w:eastAsiaTheme="minorEastAsia"/>
        </w:rPr>
        <w:instrText xml:space="preserve"> ADDIN ZOTERO_ITEM CSL_CITATION {"citationID":"2tVsEDHN","properties":{"formattedCitation":"(Turbill and Welbergen 2020)","plainCitation":"(Turbill and Welbergen 2020)","noteIndex":0},"citationItems":[{"id":9503,"uris":["http://zotero.org/users/634364/items/FPUWKBEW"],"itemData":{"id":9503,"type":"article-journal","abstract":"There is a serious concern that white-nose syndrome (WNS), a fungal disease causing severe population declines in North American bats, could soon threaten bats on the Australian continent. Despite an ‘almost certain’ risk of incursion within the next ten years, and high virulence in na€ıve bat populations, we remain uncertain about the vulnerability of Australian bats to WNS. In this study, we intersected occurrences for the 27 cave roosting bat species in Australia with interpolated data on mean annual surface temperature, which provides a proxy for thermal conditions within a cave and hence its suitability for growth by the fungal pathogen Pseudogymnoascus destructans. Our analysis identiﬁes favourable roost thermal conditions within 30–100% of the ranges of eight bat species across south-eastern Australia, including for seven species already listed as threatened with extinction. These results demonstrate the potential for widespread exposure to P. destructans and suggest that WNS could pose a serious risk to the conservation of Australia’s bat fauna. The impacts of exposure to P. destructans will depend, however, on the sensitivity of bats to developing WNS, and a more comprehensive vulnerability assessment is currently prevented by a lack of information on the hibernation biology of Australian bats. Thus, given the clear potential for widespread exposure of Australia’s bats to P. destructans demonstrated by our study, two speciﬁc policy actions seem justiﬁed: (i) urgent implementation of border controls that identify and decontaminate cave-associated fomites and (ii) dedicated funding to enable research on key aspects of bat winter behaviour and hibernation physiology. Further, as accidental translocation of this fungus could also pose a risk to other na€ıve bat faunas in cooler regions of southern Africa and South America, we argue that a proactive, globally coordinated approach is required to understand and mitigate the potential impacts of WNS spreading to Southern Hemisphere bats.","container-title":"Austral Ecology","DOI":"10.1111/aec.12832","ISSN":"1442-9985, 1442-9993","issue":"1","journalAbbreviation":"Austral Ecology","language":"en","page":"89-96","source":"DOI.org (Crossref)","title":"Anticipating white</w:instrText>
      </w:r>
      <w:r w:rsidRPr="00097629">
        <w:rPr>
          <w:rFonts w:ascii="Cambria Math" w:eastAsiaTheme="minorEastAsia" w:hAnsi="Cambria Math" w:cs="Cambria Math"/>
        </w:rPr>
        <w:instrText>‐</w:instrText>
      </w:r>
      <w:r w:rsidRPr="00097629">
        <w:rPr>
          <w:rFonts w:eastAsiaTheme="minorEastAsia"/>
        </w:rPr>
        <w:instrText>nose syndrome in the Southern Hemisphere: Widespread conditions favourable to &lt;i&gt;Pseudogymnoascus destructans&lt;/i&gt; pose a serious risk to Australia's bat fauna","title-short":"Anticipating white</w:instrText>
      </w:r>
      <w:r w:rsidRPr="00097629">
        <w:rPr>
          <w:rFonts w:ascii="Cambria Math" w:eastAsiaTheme="minorEastAsia" w:hAnsi="Cambria Math" w:cs="Cambria Math"/>
        </w:rPr>
        <w:instrText>‐</w:instrText>
      </w:r>
      <w:r w:rsidRPr="00097629">
        <w:rPr>
          <w:rFonts w:eastAsiaTheme="minorEastAsia"/>
        </w:rPr>
        <w:instrText xml:space="preserve">nose syndrome in the Southern Hemisphere","volume":"45","author":[{"family":"Turbill","given":"Christopher"},{"family":"Welbergen","given":"Justin A."}],"issued":{"date-parts":[["2020",2]]}}}],"schema":"https://github.com/citation-style-language/schema/raw/master/csl-citation.json"} </w:instrText>
      </w:r>
      <w:r w:rsidRPr="00097629">
        <w:rPr>
          <w:rFonts w:eastAsiaTheme="minorEastAsia"/>
        </w:rPr>
        <w:fldChar w:fldCharType="separate"/>
      </w:r>
      <w:r w:rsidR="009F541F" w:rsidRPr="009F541F">
        <w:t>(Turbill and Welbergen 2020)</w:t>
      </w:r>
      <w:r w:rsidRPr="00097629">
        <w:rPr>
          <w:rFonts w:eastAsiaTheme="minorEastAsia"/>
        </w:rPr>
        <w:fldChar w:fldCharType="end"/>
      </w:r>
      <w:r w:rsidRPr="00097629">
        <w:rPr>
          <w:rFonts w:eastAsiaTheme="minorEastAsia"/>
        </w:rPr>
        <w:t xml:space="preserve">. The impacts of WNS on bats are largely dependent on the thermal energetics during hibernation, and their effects on body fat stores as well interactions with immune responses </w:t>
      </w:r>
      <w:r w:rsidRPr="00097629">
        <w:rPr>
          <w:rFonts w:eastAsiaTheme="minorEastAsia"/>
        </w:rPr>
        <w:fldChar w:fldCharType="begin"/>
      </w:r>
      <w:r w:rsidRPr="00097629">
        <w:rPr>
          <w:rFonts w:eastAsiaTheme="minorEastAsia"/>
        </w:rPr>
        <w:instrText xml:space="preserve"> ADDIN ZOTERO_ITEM CSL_CITATION {"citationID":"ZHVwy5TB","properties":{"formattedCitation":"(Turbill and Welbergen 2020)","plainCitation":"(Turbill and Welbergen 2020)","noteIndex":0},"citationItems":[{"id":9503,"uris":["http://zotero.org/users/634364/items/FPUWKBEW"],"itemData":{"id":9503,"type":"article-journal","abstract":"There is a serious concern that white-nose syndrome (WNS), a fungal disease causing severe population declines in North American bats, could soon threaten bats on the Australian continent. Despite an ‘almost certain’ risk of incursion within the next ten years, and high virulence in na€ıve bat populations, we remain uncertain about the vulnerability of Australian bats to WNS. In this study, we intersected occurrences for the 27 cave roosting bat species in Australia with interpolated data on mean annual surface temperature, which provides a proxy for thermal conditions within a cave and hence its suitability for growth by the fungal pathogen Pseudogymnoascus destructans. Our analysis identiﬁes favourable roost thermal conditions within 30–100% of the ranges of eight bat species across south-eastern Australia, including for seven species already listed as threatened with extinction. These results demonstrate the potential for widespread exposure to P. destructans and suggest that WNS could pose a serious risk to the conservation of Australia’s bat fauna. The impacts of exposure to P. destructans will depend, however, on the sensitivity of bats to developing WNS, and a more comprehensive vulnerability assessment is currently prevented by a lack of information on the hibernation biology of Australian bats. Thus, given the clear potential for widespread exposure of Australia’s bats to P. destructans demonstrated by our study, two speciﬁc policy actions seem justiﬁed: (i) urgent implementation of border controls that identify and decontaminate cave-associated fomites and (ii) dedicated funding to enable research on key aspects of bat winter behaviour and hibernation physiology. Further, as accidental translocation of this fungus could also pose a risk to other na€ıve bat faunas in cooler regions of southern Africa and South America, we argue that a proactive, globally coordinated approach is required to understand and mitigate the potential impacts of WNS spreading to Southern Hemisphere bats.","container-title":"Austral Ecology","DOI":"10.1111/aec.12832","ISSN":"1442-9985, 1442-9993","issue":"1","journalAbbreviation":"Austral Ecology","language":"en","page":"89-96","source":"DOI.org (Crossref)","title":"Anticipating white</w:instrText>
      </w:r>
      <w:r w:rsidRPr="00097629">
        <w:rPr>
          <w:rFonts w:ascii="Cambria Math" w:eastAsiaTheme="minorEastAsia" w:hAnsi="Cambria Math" w:cs="Cambria Math"/>
        </w:rPr>
        <w:instrText>‐</w:instrText>
      </w:r>
      <w:r w:rsidRPr="00097629">
        <w:rPr>
          <w:rFonts w:eastAsiaTheme="minorEastAsia"/>
        </w:rPr>
        <w:instrText>nose syndrome in the Southern Hemisphere: Widespread conditions favourable to &lt;i&gt;Pseudogymnoascus destructans&lt;/i&gt; pose a serious risk to Australia's bat fauna","title-short":"Anticipating white</w:instrText>
      </w:r>
      <w:r w:rsidRPr="00097629">
        <w:rPr>
          <w:rFonts w:ascii="Cambria Math" w:eastAsiaTheme="minorEastAsia" w:hAnsi="Cambria Math" w:cs="Cambria Math"/>
        </w:rPr>
        <w:instrText>‐</w:instrText>
      </w:r>
      <w:r w:rsidRPr="00097629">
        <w:rPr>
          <w:rFonts w:eastAsiaTheme="minorEastAsia"/>
        </w:rPr>
        <w:instrText xml:space="preserve">nose syndrome in the Southern Hemisphere","volume":"45","author":[{"family":"Turbill","given":"Christopher"},{"family":"Welbergen","given":"Justin A."}],"issued":{"date-parts":[["2020",2]]}}}],"schema":"https://github.com/citation-style-language/schema/raw/master/csl-citation.json"} </w:instrText>
      </w:r>
      <w:r w:rsidRPr="00097629">
        <w:rPr>
          <w:rFonts w:eastAsiaTheme="minorEastAsia"/>
        </w:rPr>
        <w:fldChar w:fldCharType="separate"/>
      </w:r>
      <w:r w:rsidR="009F541F" w:rsidRPr="009F541F">
        <w:t>(Turbill and Welbergen 2020)</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In North American Little Brown Bats (</w:t>
      </w:r>
      <w:r w:rsidRPr="00D51DBE">
        <w:rPr>
          <w:rFonts w:eastAsiaTheme="minorEastAsia"/>
          <w:i/>
          <w:iCs/>
        </w:rPr>
        <w:t xml:space="preserve">Myotis </w:t>
      </w:r>
      <w:proofErr w:type="spellStart"/>
      <w:r w:rsidRPr="00D51DBE">
        <w:rPr>
          <w:rFonts w:eastAsiaTheme="minorEastAsia"/>
          <w:i/>
          <w:iCs/>
        </w:rPr>
        <w:t>lucifugus</w:t>
      </w:r>
      <w:proofErr w:type="spellEnd"/>
      <w:r w:rsidRPr="00097629">
        <w:rPr>
          <w:rFonts w:eastAsiaTheme="minorEastAsia"/>
        </w:rPr>
        <w:t>), arousal from hibernation results in a large expenditure of energy, expending as much fat reserves as is consumed during 67 days of torpor</w:t>
      </w:r>
      <w:r w:rsidR="009A0036">
        <w:rPr>
          <w:rFonts w:eastAsiaTheme="minorEastAsia"/>
        </w:rPr>
        <w:t xml:space="preserve"> (</w:t>
      </w:r>
      <w:r w:rsidR="009A0036" w:rsidRPr="009A0036">
        <w:rPr>
          <w:rFonts w:eastAsiaTheme="minorEastAsia"/>
        </w:rPr>
        <w:t>a state in which bats lower their metabolic rate and temperature and become inactive</w:t>
      </w:r>
      <w:r w:rsidR="009A0036">
        <w:rPr>
          <w:rFonts w:eastAsiaTheme="minorEastAsia"/>
        </w:rPr>
        <w:t>)</w:t>
      </w:r>
      <w:r w:rsidRPr="00097629">
        <w:rPr>
          <w:rFonts w:eastAsiaTheme="minorEastAsia"/>
        </w:rPr>
        <w:t xml:space="preserve"> </w:t>
      </w:r>
      <w:r w:rsidRPr="00097629">
        <w:rPr>
          <w:rFonts w:eastAsiaTheme="minorEastAsia"/>
        </w:rPr>
        <w:fldChar w:fldCharType="begin"/>
      </w:r>
      <w:r w:rsidR="009F541F">
        <w:rPr>
          <w:rFonts w:eastAsiaTheme="minorEastAsia"/>
        </w:rPr>
        <w:instrText xml:space="preserve"> ADDIN ZOTERO_ITEM CSL_CITATION {"citationID":"GqkZTQql","properties":{"formattedCitation":"(Thomas {\\i{}et al.} 1990)","plainCitation":"(Thomas et al. 1990)","noteIndex":0},"citationItems":[{"id":9566,"uris":["http://zotero.org/users/634364/items/C3ZETIDP"],"itemData":{"id":9566,"type":"article-journal","container-title":"Journal of mammalogy","issue":"3","note":"publisher: JSTOR","page":"475–479","title":"Winter energy budgets and cost of arousals for hibernating little brown bats, Myotis lucifugus","volume":"71","author":[{"family":"Thomas","given":"Donald W"},{"family":"Dorais","given":"Martin"},{"family":"Bergeron","given":"Jean-Marie"}],"issued":{"date-parts":[["1990"]]}}}],"schema":"https://github.com/citation-style-language/schema/raw/master/csl-citation.json"} </w:instrText>
      </w:r>
      <w:r w:rsidRPr="00097629">
        <w:rPr>
          <w:rFonts w:eastAsiaTheme="minorEastAsia"/>
        </w:rPr>
        <w:fldChar w:fldCharType="separate"/>
      </w:r>
      <w:r w:rsidR="009F541F" w:rsidRPr="009F541F">
        <w:t xml:space="preserve">(Thomas </w:t>
      </w:r>
      <w:r w:rsidR="009F541F" w:rsidRPr="00DA5824">
        <w:t>et al.</w:t>
      </w:r>
      <w:r w:rsidR="009F541F" w:rsidRPr="00BD03FA">
        <w:t xml:space="preserve"> </w:t>
      </w:r>
      <w:r w:rsidR="009F541F" w:rsidRPr="009F541F">
        <w:t>1990)</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 xml:space="preserve">Unfortunately, there is a lack of information on the thermal energetics of many of Australia’s cave-dwelling bats especially during winter torpor, </w:t>
      </w:r>
      <w:r w:rsidR="00BD03FA">
        <w:rPr>
          <w:rFonts w:eastAsiaTheme="minorEastAsia"/>
        </w:rPr>
        <w:t>despite this process being</w:t>
      </w:r>
      <w:r w:rsidRPr="00097629">
        <w:rPr>
          <w:rFonts w:eastAsiaTheme="minorEastAsia"/>
        </w:rPr>
        <w:t xml:space="preserve"> undertaken by many of Australia’s bat species </w:t>
      </w:r>
      <w:r w:rsidRPr="00097629">
        <w:rPr>
          <w:rFonts w:eastAsiaTheme="minorEastAsia"/>
        </w:rPr>
        <w:fldChar w:fldCharType="begin"/>
      </w:r>
      <w:r w:rsidRPr="00097629">
        <w:rPr>
          <w:rFonts w:eastAsiaTheme="minorEastAsia"/>
        </w:rPr>
        <w:instrText xml:space="preserve"> ADDIN ZOTERO_ITEM CSL_CITATION {"citationID":"SQ4mClKP","properties":{"formattedCitation":"(Turbill and Welbergen 2020)","plainCitation":"(Turbill and Welbergen 2020)","noteIndex":0},"citationItems":[{"id":9503,"uris":["http://zotero.org/users/634364/items/FPUWKBEW"],"itemData":{"id":9503,"type":"article-journal","abstract":"There is a serious concern that white-nose syndrome (WNS), a fungal disease causing severe population declines in North American bats, could soon threaten bats on the Australian continent. Despite an ‘almost certain’ risk of incursion within the next ten years, and high virulence in na€ıve bat populations, we remain uncertain about the vulnerability of Australian bats to WNS. In this study, we intersected occurrences for the 27 cave roosting bat species in Australia with interpolated data on mean annual surface temperature, which provides a proxy for thermal conditions within a cave and hence its suitability for growth by the fungal pathogen Pseudogymnoascus destructans. Our analysis identiﬁes favourable roost thermal conditions within 30–100% of the ranges of eight bat species across south-eastern Australia, including for seven species already listed as threatened with extinction. These results demonstrate the potential for widespread exposure to P. destructans and suggest that WNS could pose a serious risk to the conservation of Australia’s bat fauna. The impacts of exposure to P. destructans will depend, however, on the sensitivity of bats to developing WNS, and a more comprehensive vulnerability assessment is currently prevented by a lack of information on the hibernation biology of Australian bats. Thus, given the clear potential for widespread exposure of Australia’s bats to P. destructans demonstrated by our study, two speciﬁc policy actions seem justiﬁed: (i) urgent implementation of border controls that identify and decontaminate cave-associated fomites and (ii) dedicated funding to enable research on key aspects of bat winter behaviour and hibernation physiology. Further, as accidental translocation of this fungus could also pose a risk to other na€ıve bat faunas in cooler regions of southern Africa and South America, we argue that a proactive, globally coordinated approach is required to understand and mitigate the potential impacts of WNS spreading to Southern Hemisphere bats.","container-title":"Austral Ecology","DOI":"10.1111/aec.12832","ISSN":"1442-9985, 1442-9993","issue":"1","journalAbbreviation":"Austral Ecology","language":"en","page":"89-96","source":"DOI.org (Crossref)","title":"Anticipating white</w:instrText>
      </w:r>
      <w:r w:rsidRPr="00097629">
        <w:rPr>
          <w:rFonts w:ascii="Cambria Math" w:eastAsiaTheme="minorEastAsia" w:hAnsi="Cambria Math" w:cs="Cambria Math"/>
        </w:rPr>
        <w:instrText>‐</w:instrText>
      </w:r>
      <w:r w:rsidRPr="00097629">
        <w:rPr>
          <w:rFonts w:eastAsiaTheme="minorEastAsia"/>
        </w:rPr>
        <w:instrText>nose syndrome in the Southern Hemisphere: Widespread conditions favourable to &lt;i&gt;Pseudogymnoascus destructans&lt;/i&gt; pose a serious risk to Australia's bat fauna","title-short":"Anticipating white</w:instrText>
      </w:r>
      <w:r w:rsidRPr="00097629">
        <w:rPr>
          <w:rFonts w:ascii="Cambria Math" w:eastAsiaTheme="minorEastAsia" w:hAnsi="Cambria Math" w:cs="Cambria Math"/>
        </w:rPr>
        <w:instrText>‐</w:instrText>
      </w:r>
      <w:r w:rsidRPr="00097629">
        <w:rPr>
          <w:rFonts w:eastAsiaTheme="minorEastAsia"/>
        </w:rPr>
        <w:instrText xml:space="preserve">nose syndrome in the Southern Hemisphere","volume":"45","author":[{"family":"Turbill","given":"Christopher"},{"family":"Welbergen","given":"Justin A."}],"issued":{"date-parts":[["2020",2]]}}}],"schema":"https://github.com/citation-style-language/schema/raw/master/csl-citation.json"} </w:instrText>
      </w:r>
      <w:r w:rsidRPr="00097629">
        <w:rPr>
          <w:rFonts w:eastAsiaTheme="minorEastAsia"/>
        </w:rPr>
        <w:fldChar w:fldCharType="separate"/>
      </w:r>
      <w:r w:rsidR="009F541F" w:rsidRPr="009F541F">
        <w:t>(Turbill and Welbergen 2020)</w:t>
      </w:r>
      <w:r w:rsidRPr="00097629">
        <w:rPr>
          <w:rFonts w:eastAsiaTheme="minorEastAsia"/>
        </w:rPr>
        <w:fldChar w:fldCharType="end"/>
      </w:r>
      <w:r w:rsidRPr="00097629">
        <w:rPr>
          <w:rFonts w:eastAsiaTheme="minorEastAsia"/>
        </w:rPr>
        <w:t xml:space="preserve">. </w:t>
      </w:r>
    </w:p>
    <w:p w14:paraId="358D1703" w14:textId="575EEFDF" w:rsidR="0035407E" w:rsidRPr="00097629" w:rsidRDefault="0035407E" w:rsidP="0035407E">
      <w:pPr>
        <w:rPr>
          <w:rFonts w:eastAsiaTheme="minorEastAsia"/>
        </w:rPr>
      </w:pPr>
      <w:r w:rsidRPr="00097629">
        <w:rPr>
          <w:rFonts w:eastAsiaTheme="minorEastAsia"/>
        </w:rPr>
        <w:t>The sensitivity of many bat species to WNS in Australia is likely to be alleviated by shorter winter periods and/or shorter bouts of torpor during hibernation,</w:t>
      </w:r>
      <w:r w:rsidR="00BD03FA">
        <w:rPr>
          <w:rFonts w:eastAsiaTheme="minorEastAsia"/>
        </w:rPr>
        <w:t xml:space="preserve"> since these</w:t>
      </w:r>
      <w:r w:rsidRPr="00097629">
        <w:rPr>
          <w:rFonts w:eastAsiaTheme="minorEastAsia"/>
        </w:rPr>
        <w:t xml:space="preserve"> may retard the growth of WNS and reduce the severity of disease in affected individuals.</w:t>
      </w:r>
      <w:r w:rsidR="00BE3EC4">
        <w:rPr>
          <w:rFonts w:eastAsiaTheme="minorEastAsia"/>
        </w:rPr>
        <w:t xml:space="preserve"> </w:t>
      </w:r>
      <w:r w:rsidRPr="00097629">
        <w:rPr>
          <w:rFonts w:eastAsiaTheme="minorEastAsia"/>
        </w:rPr>
        <w:t>Among the Victorian cave-dwelling bat species most likely to be affected by WNS is the S</w:t>
      </w:r>
      <w:r w:rsidR="006368EC">
        <w:rPr>
          <w:rFonts w:eastAsiaTheme="minorEastAsia"/>
        </w:rPr>
        <w:t xml:space="preserve">outhern </w:t>
      </w:r>
      <w:r w:rsidRPr="00097629">
        <w:rPr>
          <w:rFonts w:eastAsiaTheme="minorEastAsia"/>
        </w:rPr>
        <w:t>B</w:t>
      </w:r>
      <w:r w:rsidR="006368EC">
        <w:rPr>
          <w:rFonts w:eastAsiaTheme="minorEastAsia"/>
        </w:rPr>
        <w:t xml:space="preserve">ent-wing </w:t>
      </w:r>
      <w:r w:rsidRPr="00097629">
        <w:rPr>
          <w:rFonts w:eastAsiaTheme="minorEastAsia"/>
        </w:rPr>
        <w:t>B</w:t>
      </w:r>
      <w:r w:rsidR="006368EC">
        <w:rPr>
          <w:rFonts w:eastAsiaTheme="minorEastAsia"/>
        </w:rPr>
        <w:t>at (</w:t>
      </w:r>
      <w:proofErr w:type="spellStart"/>
      <w:r w:rsidR="006368EC" w:rsidRPr="00DA5824">
        <w:rPr>
          <w:i/>
          <w:iCs/>
        </w:rPr>
        <w:t>Miniopterus</w:t>
      </w:r>
      <w:proofErr w:type="spellEnd"/>
      <w:r w:rsidR="006368EC" w:rsidRPr="00DA5824">
        <w:rPr>
          <w:i/>
          <w:iCs/>
        </w:rPr>
        <w:t xml:space="preserve"> </w:t>
      </w:r>
      <w:proofErr w:type="spellStart"/>
      <w:r w:rsidR="006368EC" w:rsidRPr="00DA5824">
        <w:rPr>
          <w:i/>
          <w:iCs/>
        </w:rPr>
        <w:t>orianae</w:t>
      </w:r>
      <w:proofErr w:type="spellEnd"/>
      <w:r w:rsidR="006368EC" w:rsidRPr="00DA5824">
        <w:rPr>
          <w:i/>
          <w:iCs/>
        </w:rPr>
        <w:t xml:space="preserve"> </w:t>
      </w:r>
      <w:proofErr w:type="spellStart"/>
      <w:r w:rsidR="006368EC" w:rsidRPr="00DA5824">
        <w:rPr>
          <w:i/>
          <w:iCs/>
        </w:rPr>
        <w:t>bassanii</w:t>
      </w:r>
      <w:proofErr w:type="spellEnd"/>
      <w:r w:rsidR="006368EC">
        <w:rPr>
          <w:i/>
          <w:iCs/>
        </w:rPr>
        <w:t xml:space="preserve"> </w:t>
      </w:r>
      <w:r w:rsidR="006368EC">
        <w:t>– SBWB)</w:t>
      </w:r>
      <w:r w:rsidRPr="00097629">
        <w:rPr>
          <w:rFonts w:eastAsiaTheme="minorEastAsia"/>
        </w:rPr>
        <w:t>, which has a distribution restricted to south-west Victoria and south-east South Australia</w:t>
      </w:r>
      <w:r w:rsidR="00143C99">
        <w:rPr>
          <w:rFonts w:eastAsiaTheme="minorEastAsia"/>
        </w:rPr>
        <w:t xml:space="preserve"> </w:t>
      </w:r>
      <w:r w:rsidR="001402A5">
        <w:rPr>
          <w:rFonts w:eastAsiaTheme="minorEastAsia"/>
        </w:rPr>
        <w:fldChar w:fldCharType="begin"/>
      </w:r>
      <w:r w:rsidR="009F541F">
        <w:rPr>
          <w:rFonts w:eastAsiaTheme="minorEastAsia"/>
        </w:rPr>
        <w:instrText xml:space="preserve"> ADDIN ZOTERO_ITEM CSL_CITATION {"citationID":"AX2uFNdq","properties":{"formattedCitation":"(Holz {\\i{}et al.} 2019)","plainCitation":"(Holz et al. 2019)","noteIndex":0},"citationItems":[{"id":9565,"uris":["http://zotero.org/users/634364/items/64IDBNM7"],"itemData":{"id":9565,"type":"article-journal","abstract":"Context. Pseudogymnoascus destructans is the fungus responsible for white-nose syndrome (WNS), which has killed millions of hibernating bats in North America, but also occurs in bats in Europe and China without causing large-scale population effects. This is likely to be due to differences in species susceptibility and behaviour, and environmental factors, such as temperature and humidity. Pseudogymnoascus destructans is currently believed to be absent from Australia.","container-title":"Wildlife Research","DOI":"10.1071/WR18194","ISSN":"1035-3712","issue":"8","journalAbbreviation":"Wildl. Res.","language":"en","page":"657","source":"DOI.org (Crossref)","title":"Does the fungus causing white-nose syndrome pose a significant risk to Australian bats?","volume":"46","author":[{"family":"Holz","given":"Peter"},{"family":"Hufschmid","given":"Jasmin"},{"family":"Boardman","given":"Wayne S. J."},{"family":"Cassey","given":"Phillip"},{"family":"Firestone","given":"Simon"},{"family":"Lumsden","given":"Lindy F."},{"family":"Prowse","given":"Thomas A. A."},{"family":"Reardon","given":"Terry"},{"family":"Stevenson","given":"Mark"}],"issued":{"date-parts":[["2019"]]}}}],"schema":"https://github.com/citation-style-language/schema/raw/master/csl-citation.json"} </w:instrText>
      </w:r>
      <w:r w:rsidR="001402A5">
        <w:rPr>
          <w:rFonts w:eastAsiaTheme="minorEastAsia"/>
        </w:rPr>
        <w:fldChar w:fldCharType="separate"/>
      </w:r>
      <w:r w:rsidR="009F541F" w:rsidRPr="009F541F">
        <w:t xml:space="preserve">(Holz </w:t>
      </w:r>
      <w:r w:rsidR="009F541F" w:rsidRPr="00DA5824">
        <w:t>et al</w:t>
      </w:r>
      <w:r w:rsidR="009F541F" w:rsidRPr="009F541F">
        <w:rPr>
          <w:i/>
          <w:iCs/>
        </w:rPr>
        <w:t>.</w:t>
      </w:r>
      <w:r w:rsidR="009F541F" w:rsidRPr="009F541F">
        <w:t xml:space="preserve"> 2019)</w:t>
      </w:r>
      <w:r w:rsidR="001402A5">
        <w:rPr>
          <w:rFonts w:eastAsiaTheme="minorEastAsia"/>
        </w:rPr>
        <w:fldChar w:fldCharType="end"/>
      </w:r>
      <w:r w:rsidRPr="00097629">
        <w:rPr>
          <w:rFonts w:eastAsiaTheme="minorEastAsia"/>
        </w:rPr>
        <w:t>.</w:t>
      </w:r>
    </w:p>
    <w:p w14:paraId="00B88C6F" w14:textId="55CCB213" w:rsidR="0035407E" w:rsidRDefault="0035407E" w:rsidP="0035407E">
      <w:pPr>
        <w:rPr>
          <w:rFonts w:eastAsiaTheme="minorEastAsia"/>
        </w:rPr>
      </w:pPr>
      <w:r w:rsidRPr="00097629">
        <w:rPr>
          <w:rFonts w:eastAsiaTheme="minorEastAsia"/>
        </w:rPr>
        <w:lastRenderedPageBreak/>
        <w:t xml:space="preserve">To Investigate the possible impacts of an incursion of </w:t>
      </w:r>
      <w:r w:rsidRPr="00472914">
        <w:rPr>
          <w:rFonts w:eastAsiaTheme="minorEastAsia"/>
          <w:i/>
          <w:iCs/>
        </w:rPr>
        <w:t>Pd</w:t>
      </w:r>
      <w:r w:rsidRPr="00097629">
        <w:rPr>
          <w:rFonts w:eastAsiaTheme="minorEastAsia"/>
        </w:rPr>
        <w:t xml:space="preserve"> on </w:t>
      </w:r>
      <w:r w:rsidR="009A0036">
        <w:rPr>
          <w:rFonts w:eastAsiaTheme="minorEastAsia"/>
        </w:rPr>
        <w:t xml:space="preserve">the </w:t>
      </w:r>
      <w:r w:rsidRPr="00097629">
        <w:rPr>
          <w:rFonts w:eastAsiaTheme="minorEastAsia"/>
        </w:rPr>
        <w:t xml:space="preserve">SBWB, we examined how variation in hibernation behaviour of </w:t>
      </w:r>
      <w:r w:rsidR="009A0036">
        <w:rPr>
          <w:rFonts w:eastAsiaTheme="minorEastAsia"/>
        </w:rPr>
        <w:t xml:space="preserve">the </w:t>
      </w:r>
      <w:r w:rsidRPr="00097629">
        <w:rPr>
          <w:rFonts w:eastAsiaTheme="minorEastAsia"/>
        </w:rPr>
        <w:t>SBWB could affect the epidemiology and subsequent impacts of WNS.</w:t>
      </w:r>
      <w:r w:rsidR="00BE3EC4">
        <w:rPr>
          <w:rFonts w:eastAsiaTheme="minorEastAsia"/>
        </w:rPr>
        <w:t xml:space="preserve"> </w:t>
      </w:r>
      <w:r w:rsidRPr="00097629">
        <w:rPr>
          <w:rFonts w:eastAsiaTheme="minorEastAsia"/>
        </w:rPr>
        <w:t xml:space="preserve">We adapted a model originally constructed to investigate WNS in Little Brown Bats in North America </w:t>
      </w:r>
      <w:r w:rsidRPr="00097629">
        <w:rPr>
          <w:rFonts w:eastAsiaTheme="minorEastAsia"/>
        </w:rPr>
        <w:fldChar w:fldCharType="begin"/>
      </w:r>
      <w:r w:rsidR="009F541F">
        <w:rPr>
          <w:rFonts w:eastAsiaTheme="minorEastAsia"/>
        </w:rPr>
        <w:instrText xml:space="preserve"> ADDIN ZOTERO_ITEM CSL_CITATION {"citationID":"Q35pEMgo","properties":{"formattedCitation":"(Meyer {\\i{}et al.} 2016; Cornwell {\\i{}et al.} 2019)","plainCitation":"(Meyer et al. 2016; Cornwell et al. 2019)","noteIndex":0},"citationItems":[{"id":9493,"uris":["http://zotero.org/users/634364/items/H23I7GUY"],"itemData":{"id":9493,"type":"article-journal","abstract":"White-nose syndrome (WNS) is a lethal infection of bats caused by the psychrophilic fungus Pseudogymnoascus destructans (Pd). Since the ﬁrst cases of WNS were documented in 2006, it is estimated that as many as 5.5 million bats have succumbed in the United States—one of the fastest mammalian die-offs due to disease ever observed, and the ﬁrst known sustained epizootic of bats. WNS is contagious between bats, and mounting evidence suggests that a persistent environmental reservoir of Pd plays a signiﬁcant role in transmission as well. It is unclear, however, the relative contributions of bat-to-bat and environment-to-bat transmission to disease propagation within a colony. We analyze a mathematical model to investigate the consequences of both avenues of transmission on colony survival in addition to the efﬁcacy of disease control strategies. Our model shows that selection of the most effective control strategies is highly dependent on the primary route of WNS transmission. Under all scenarios, however, generalized culling is ineffective and while targeted culling of infected bats may be effective under idealized conditions, it primarily has negative consequences. Thus, understanding the signiﬁcance of environment-to-bat transmission is paramount to designing effective management plans.","container-title":"Journal of Theoretical Biology","DOI":"10.1016/j.jtbi.2016.08.033","ISSN":"00225193","journalAbbreviation":"Journal of Theoretical Biology","language":"en","page":"60-69","source":"DOI.org (Crossref)","title":"Predicting bat colony survival under controls targeting multiple transmission routes of white-nose syndrome","volume":"409","author":[{"family":"Meyer","given":"A.D."},{"family":"Stevens","given":"D.F."},{"family":"Blackwood","given":"J.C."}],"issued":{"date-parts":[["2016",11]]}}},{"id":9475,"uris":["http://zotero.org/users/634364/items/FD2I6XAF"],"itemData":{"id":9475,"type":"article-journal","abstract":"Since 2006, the North American bat population has been in rapid decline due to white-nose syndrome (WNS), which is caused by an invasive fungus (Pseudogymnoascus destructans). The little brown bat (Myotis lucifugus) is the species most affected by this emerging disease. We consider how best to prevent local extinctions of this species using mathematical models. In 2017, development began on a new vaccine for WNS; we analyze the effects of implementing vaccination as a control measure. We create a Susceptible-Exposed-Infectious-Vaccinated hybrid ordinary differential equation and difference equation model informed by the phenology of little brown bats. We compare the effectiveness of annual, biennial, and one-time vaccination programs for multiple durations of immunity length. We also determine the optimal time to vaccinate, if vaccinating only once, as a function of average duration of immunity. Next, we perform a sensitivity analysis to determine the robustness of our results. Finally, we consider other possible control measures together with vaccination to determine the optimal control strategy. We find that if the vaccine offers lifelong immunity, then it will be the most effective control measure considered thus far.","container-title":"Ecological Modelling","DOI":"https://doi.org/10.1016/j.ecolmodel.2019.108724","ISSN":"0304-3800","page":"108724","title":"Modeling vaccination strategies to control white-nose syndrome in little brown bat colonies","volume":"407","author":[{"family":"Cornwell","given":"Eva"},{"family":"Elzinga","given":"David C."},{"family":"Stowe","given":"Shelby"},{"family":"Capaldi","given":"Alex"}],"issued":{"date-parts":[["2019"]]}}}],"schema":"https://github.com/citation-style-language/schema/raw/master/csl-citation.json"} </w:instrText>
      </w:r>
      <w:r w:rsidRPr="00097629">
        <w:rPr>
          <w:rFonts w:eastAsiaTheme="minorEastAsia"/>
        </w:rPr>
        <w:fldChar w:fldCharType="separate"/>
      </w:r>
      <w:r w:rsidR="009F541F" w:rsidRPr="009F541F">
        <w:t xml:space="preserve">(Meyer </w:t>
      </w:r>
      <w:r w:rsidR="009F541F" w:rsidRPr="00DA5824">
        <w:t>et al.</w:t>
      </w:r>
      <w:r w:rsidR="009F541F" w:rsidRPr="009A0036">
        <w:t xml:space="preserve"> 2016; Cornwell </w:t>
      </w:r>
      <w:r w:rsidR="009F541F" w:rsidRPr="00DA5824">
        <w:t>et al.</w:t>
      </w:r>
      <w:r w:rsidR="009F541F" w:rsidRPr="009A0036">
        <w:t xml:space="preserve"> 2019)</w:t>
      </w:r>
      <w:r w:rsidRPr="00097629">
        <w:rPr>
          <w:rFonts w:eastAsiaTheme="minorEastAsia"/>
        </w:rPr>
        <w:fldChar w:fldCharType="end"/>
      </w:r>
      <w:r w:rsidRPr="00097629">
        <w:rPr>
          <w:rFonts w:eastAsiaTheme="minorEastAsia"/>
        </w:rPr>
        <w:t xml:space="preserve"> so that it would reflect the life history and ecology of </w:t>
      </w:r>
      <w:r w:rsidR="009A0036">
        <w:rPr>
          <w:rFonts w:eastAsiaTheme="minorEastAsia"/>
        </w:rPr>
        <w:t xml:space="preserve">the </w:t>
      </w:r>
      <w:r w:rsidRPr="00097629">
        <w:rPr>
          <w:rFonts w:eastAsiaTheme="minorEastAsia"/>
        </w:rPr>
        <w:t>SBWB and the possible epidemiology of WNS in Australian conditions.</w:t>
      </w:r>
      <w:r w:rsidR="00BE3EC4">
        <w:rPr>
          <w:rFonts w:eastAsiaTheme="minorEastAsia"/>
        </w:rPr>
        <w:t xml:space="preserve"> </w:t>
      </w:r>
      <w:r w:rsidRPr="00097629">
        <w:rPr>
          <w:rFonts w:eastAsiaTheme="minorEastAsia"/>
        </w:rPr>
        <w:t>Specifically, we linked mortality due to WNS to the length of torpor periods during winter hibernation in</w:t>
      </w:r>
      <w:r w:rsidR="009A0036">
        <w:rPr>
          <w:rFonts w:eastAsiaTheme="minorEastAsia"/>
        </w:rPr>
        <w:t xml:space="preserve"> the</w:t>
      </w:r>
      <w:r w:rsidRPr="00097629">
        <w:rPr>
          <w:rFonts w:eastAsiaTheme="minorEastAsia"/>
        </w:rPr>
        <w:t xml:space="preserve"> SBWB.</w:t>
      </w:r>
      <w:r w:rsidR="00BE3EC4">
        <w:rPr>
          <w:rFonts w:eastAsiaTheme="minorEastAsia"/>
        </w:rPr>
        <w:t xml:space="preserve"> </w:t>
      </w:r>
      <w:r w:rsidRPr="00097629">
        <w:rPr>
          <w:rFonts w:eastAsiaTheme="minorEastAsia"/>
        </w:rPr>
        <w:t xml:space="preserve">Although, winter hibernation behaviour by </w:t>
      </w:r>
      <w:r w:rsidR="009A0036">
        <w:rPr>
          <w:rFonts w:eastAsiaTheme="minorEastAsia"/>
        </w:rPr>
        <w:t xml:space="preserve">the </w:t>
      </w:r>
      <w:r w:rsidRPr="00097629">
        <w:rPr>
          <w:rFonts w:eastAsiaTheme="minorEastAsia"/>
        </w:rPr>
        <w:t>SBWB is largely unknown, the objectives of the modelling were to investigate how variation in behaviour might affect the resulting epidemiology and impacts of disease.</w:t>
      </w:r>
      <w:r w:rsidR="00BE3EC4">
        <w:rPr>
          <w:rFonts w:eastAsiaTheme="minorEastAsia"/>
        </w:rPr>
        <w:t xml:space="preserve"> </w:t>
      </w:r>
      <w:r w:rsidRPr="00097629">
        <w:rPr>
          <w:rFonts w:eastAsiaTheme="minorEastAsia"/>
        </w:rPr>
        <w:t>For this</w:t>
      </w:r>
      <w:r w:rsidR="009A0036">
        <w:rPr>
          <w:rFonts w:eastAsiaTheme="minorEastAsia"/>
        </w:rPr>
        <w:t>,</w:t>
      </w:r>
      <w:r w:rsidRPr="00097629">
        <w:rPr>
          <w:rFonts w:eastAsiaTheme="minorEastAsia"/>
        </w:rPr>
        <w:t xml:space="preserve"> we constructed the following model, representing two distinct phases in the life history of </w:t>
      </w:r>
      <w:r w:rsidR="009A0036">
        <w:rPr>
          <w:rFonts w:eastAsiaTheme="minorEastAsia"/>
        </w:rPr>
        <w:t xml:space="preserve">the </w:t>
      </w:r>
      <w:r w:rsidRPr="00097629">
        <w:rPr>
          <w:rFonts w:eastAsiaTheme="minorEastAsia"/>
        </w:rPr>
        <w:t>SBWB.</w:t>
      </w:r>
    </w:p>
    <w:p w14:paraId="42F03698" w14:textId="77777777" w:rsidR="0035407E" w:rsidRPr="00423E45" w:rsidRDefault="0035407E" w:rsidP="00423E45">
      <w:pPr>
        <w:rPr>
          <w:rFonts w:eastAsiaTheme="minorEastAsia"/>
          <w:b/>
          <w:bCs/>
        </w:rPr>
      </w:pPr>
      <w:r w:rsidRPr="00423E45">
        <w:rPr>
          <w:rFonts w:eastAsiaTheme="minorEastAsia"/>
          <w:b/>
          <w:bCs/>
        </w:rPr>
        <w:t>Hibernation (torpor) phase</w:t>
      </w:r>
    </w:p>
    <w:p w14:paraId="146B4EDF" w14:textId="2BBD7710" w:rsidR="0035407E" w:rsidRDefault="0035407E" w:rsidP="0035407E">
      <w:pPr>
        <w:rPr>
          <w:rFonts w:eastAsiaTheme="minorEastAsia"/>
        </w:rPr>
      </w:pPr>
      <w:r w:rsidRPr="00097629">
        <w:rPr>
          <w:rFonts w:eastAsiaTheme="minorEastAsia"/>
        </w:rPr>
        <w:t>We first describe the period during the cooler winter months where SBWB</w:t>
      </w:r>
      <w:r w:rsidR="00EF7335">
        <w:rPr>
          <w:rFonts w:eastAsiaTheme="minorEastAsia"/>
        </w:rPr>
        <w:t>s</w:t>
      </w:r>
      <w:r w:rsidRPr="00097629">
        <w:rPr>
          <w:rFonts w:eastAsiaTheme="minorEastAsia"/>
        </w:rPr>
        <w:t xml:space="preserve"> are believed to enter torpor.</w:t>
      </w:r>
      <w:r w:rsidR="00BE3EC4">
        <w:rPr>
          <w:rFonts w:eastAsiaTheme="minorEastAsia"/>
        </w:rPr>
        <w:t xml:space="preserve"> </w:t>
      </w:r>
      <w:r w:rsidRPr="00097629">
        <w:rPr>
          <w:rFonts w:eastAsiaTheme="minorEastAsia"/>
        </w:rPr>
        <w:t>It is during this period that bats are at high risk of infection from WNS</w:t>
      </w:r>
      <w:r w:rsidR="009A0036">
        <w:rPr>
          <w:rFonts w:eastAsiaTheme="minorEastAsia"/>
        </w:rPr>
        <w:t>, because</w:t>
      </w:r>
      <w:r w:rsidRPr="00097629">
        <w:rPr>
          <w:rFonts w:eastAsiaTheme="minorEastAsia"/>
        </w:rPr>
        <w:t xml:space="preserve"> their body temperatures are conducive to growth of the fungus (i.e. &lt; 20</w:t>
      </w:r>
      <w:r w:rsidR="009A0036" w:rsidRPr="009A0036">
        <w:rPr>
          <w:rFonts w:eastAsiaTheme="minorEastAsia"/>
        </w:rPr>
        <w:t>°C</w:t>
      </w:r>
      <w:r w:rsidRPr="00097629">
        <w:rPr>
          <w:rFonts w:eastAsiaTheme="minorEastAsia"/>
        </w:rPr>
        <w:t xml:space="preserve">) </w:t>
      </w:r>
      <w:r w:rsidRPr="00097629">
        <w:rPr>
          <w:rFonts w:eastAsiaTheme="minorEastAsia"/>
        </w:rPr>
        <w:fldChar w:fldCharType="begin"/>
      </w:r>
      <w:r w:rsidRPr="00097629">
        <w:rPr>
          <w:rFonts w:eastAsiaTheme="minorEastAsia"/>
        </w:rPr>
        <w:instrText xml:space="preserve"> ADDIN ZOTERO_ITEM CSL_CITATION {"citationID":"hzYboOX8","properties":{"formattedCitation":"(Dwyer 1964; van Harten 2020)","plainCitation":"(Dwyer 1964; van Harten 2020)","noteIndex":0},"citationItems":[{"id":9571,"uris":["http://zotero.org/users/634364/items/EWJWCCFV"],"itemData":{"id":9571,"type":"article-journal","container-title":"Australian Journal of Zoology","issue":"1","note":"publisher: CSIRO Publishing","page":"52–69","title":"Seasonal changes in activity and weight of Minipterus schreibersi blepotis (Chiroptera) in north-eastern NSW.","volume":"12","author":[{"family":"Dwyer","given":"PD"}],"issued":{"date-parts":[["1964"]]}}},{"id":9567,"uris":["http://zotero.org/users/634364/items/Q3RLUQKR"],"itemData":{"id":9567,"type":"thesis","genre":"PhD Thesis","number-of-pages":"198","publisher":"La Trobe University","title":"Population dynamics of the critically endangered, southern bent-winged bat Miniopterus orianae bassanii","author":[{"family":"Harten","given":"Emmi","non-dropping-particle":"van"}],"issued":{"date-parts":[["2020"]]}}}],"schema":"https://github.com/citation-style-language/schema/raw/master/csl-citation.json"} </w:instrText>
      </w:r>
      <w:r w:rsidRPr="00097629">
        <w:rPr>
          <w:rFonts w:eastAsiaTheme="minorEastAsia"/>
        </w:rPr>
        <w:fldChar w:fldCharType="separate"/>
      </w:r>
      <w:r w:rsidR="009F541F" w:rsidRPr="009F541F">
        <w:t>(Dwyer 1964; van Harten 2020)</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 xml:space="preserve">Growth of the fungus on bat epidermis during these torpor periods </w:t>
      </w:r>
      <w:r w:rsidR="009A0036">
        <w:rPr>
          <w:rFonts w:eastAsiaTheme="minorEastAsia"/>
        </w:rPr>
        <w:t>is</w:t>
      </w:r>
      <w:r w:rsidRPr="00097629">
        <w:rPr>
          <w:rFonts w:eastAsiaTheme="minorEastAsia"/>
        </w:rPr>
        <w:t xml:space="preserve"> likely to impact bats through dehydration, arousal from torpor and loss of fat reserves leading to emaciation and death </w:t>
      </w:r>
      <w:r w:rsidRPr="00097629">
        <w:rPr>
          <w:rFonts w:eastAsiaTheme="minorEastAsia"/>
        </w:rPr>
        <w:fldChar w:fldCharType="begin"/>
      </w:r>
      <w:r w:rsidRPr="00097629">
        <w:rPr>
          <w:rFonts w:eastAsiaTheme="minorEastAsia"/>
        </w:rPr>
        <w:instrText xml:space="preserve"> ADDIN ZOTERO_ITEM CSL_CITATION {"citationID":"Y1TQly0l","properties":{"formattedCitation":"(Turbill and Welbergen 2020)","plainCitation":"(Turbill and Welbergen 2020)","noteIndex":0},"citationItems":[{"id":9503,"uris":["http://zotero.org/users/634364/items/FPUWKBEW"],"itemData":{"id":9503,"type":"article-journal","abstract":"There is a serious concern that white-nose syndrome (WNS), a fungal disease causing severe population declines in North American bats, could soon threaten bats on the Australian continent. Despite an ‘almost certain’ risk of incursion within the next ten years, and high virulence in na€ıve bat populations, we remain uncertain about the vulnerability of Australian bats to WNS. In this study, we intersected occurrences for the 27 cave roosting bat species in Australia with interpolated data on mean annual surface temperature, which provides a proxy for thermal conditions within a cave and hence its suitability for growth by the fungal pathogen Pseudogymnoascus destructans. Our analysis identiﬁes favourable roost thermal conditions within 30–100% of the ranges of eight bat species across south-eastern Australia, including for seven species already listed as threatened with extinction. These results demonstrate the potential for widespread exposure to P. destructans and suggest that WNS could pose a serious risk to the conservation of Australia’s bat fauna. The impacts of exposure to P. destructans will depend, however, on the sensitivity of bats to developing WNS, and a more comprehensive vulnerability assessment is currently prevented by a lack of information on the hibernation biology of Australian bats. Thus, given the clear potential for widespread exposure of Australia’s bats to P. destructans demonstrated by our study, two speciﬁc policy actions seem justiﬁed: (i) urgent implementation of border controls that identify and decontaminate cave-associated fomites and (ii) dedicated funding to enable research on key aspects of bat winter behaviour and hibernation physiology. Further, as accidental translocation of this fungus could also pose a risk to other na€ıve bat faunas in cooler regions of southern Africa and South America, we argue that a proactive, globally coordinated approach is required to understand and mitigate the potential impacts of WNS spreading to Southern Hemisphere bats.","container-title":"Austral Ecology","DOI":"10.1111/aec.12832","ISSN":"1442-9985, 1442-9993","issue":"1","journalAbbreviation":"Austral Ecology","language":"en","page":"89-96","source":"DOI.org (Crossref)","title":"Anticipating white</w:instrText>
      </w:r>
      <w:r w:rsidRPr="00097629">
        <w:rPr>
          <w:rFonts w:ascii="Cambria Math" w:eastAsiaTheme="minorEastAsia" w:hAnsi="Cambria Math" w:cs="Cambria Math"/>
        </w:rPr>
        <w:instrText>‐</w:instrText>
      </w:r>
      <w:r w:rsidRPr="00097629">
        <w:rPr>
          <w:rFonts w:eastAsiaTheme="minorEastAsia"/>
        </w:rPr>
        <w:instrText>nose syndrome in the Southern Hemisphere: Widespread conditions favourable to &lt;i&gt;Pseudogymnoascus destructans&lt;/i&gt; pose a serious risk to Australia's bat fauna","title-short":"Anticipating white</w:instrText>
      </w:r>
      <w:r w:rsidRPr="00097629">
        <w:rPr>
          <w:rFonts w:ascii="Cambria Math" w:eastAsiaTheme="minorEastAsia" w:hAnsi="Cambria Math" w:cs="Cambria Math"/>
        </w:rPr>
        <w:instrText>‐</w:instrText>
      </w:r>
      <w:r w:rsidRPr="00097629">
        <w:rPr>
          <w:rFonts w:eastAsiaTheme="minorEastAsia"/>
        </w:rPr>
        <w:instrText xml:space="preserve">nose syndrome in the Southern Hemisphere","volume":"45","author":[{"family":"Turbill","given":"Christopher"},{"family":"Welbergen","given":"Justin A."}],"issued":{"date-parts":[["2020",2]]}}}],"schema":"https://github.com/citation-style-language/schema/raw/master/csl-citation.json"} </w:instrText>
      </w:r>
      <w:r w:rsidRPr="00097629">
        <w:rPr>
          <w:rFonts w:eastAsiaTheme="minorEastAsia"/>
        </w:rPr>
        <w:fldChar w:fldCharType="separate"/>
      </w:r>
      <w:r w:rsidR="009F541F" w:rsidRPr="009F541F">
        <w:t>(Turbill and Welbergen 2020)</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 xml:space="preserve">Towards the end of </w:t>
      </w:r>
      <w:r w:rsidR="009A0036">
        <w:rPr>
          <w:rFonts w:eastAsiaTheme="minorEastAsia"/>
        </w:rPr>
        <w:t>a</w:t>
      </w:r>
      <w:r w:rsidRPr="00097629">
        <w:rPr>
          <w:rFonts w:eastAsiaTheme="minorEastAsia"/>
        </w:rPr>
        <w:t>utumn, SBWB</w:t>
      </w:r>
      <w:r w:rsidR="009A0036">
        <w:rPr>
          <w:rFonts w:eastAsiaTheme="minorEastAsia"/>
        </w:rPr>
        <w:t>s</w:t>
      </w:r>
      <w:r w:rsidRPr="00097629">
        <w:rPr>
          <w:rFonts w:eastAsiaTheme="minorEastAsia"/>
        </w:rPr>
        <w:t xml:space="preserve"> leave the maternity caves (see below) and seek non-breeding caves to spend the winter months </w:t>
      </w:r>
      <w:r w:rsidRPr="00097629">
        <w:rPr>
          <w:rFonts w:eastAsiaTheme="minorEastAsia"/>
        </w:rPr>
        <w:fldChar w:fldCharType="begin"/>
      </w:r>
      <w:r w:rsidR="009F541F">
        <w:rPr>
          <w:rFonts w:eastAsiaTheme="minorEastAsia"/>
        </w:rPr>
        <w:instrText xml:space="preserve"> ADDIN ZOTERO_ITEM CSL_CITATION {"citationID":"aJ0nI9Xl","properties":{"formattedCitation":"(van Harten 2020; van Harten {\\i{}et al.} 2022a)","plainCitation":"(van Harten 2020; van Harten et al. 2022a)","noteIndex":0},"citationItems":[{"id":9567,"uris":["http://zotero.org/users/634364/items/Q3RLUQKR"],"itemData":{"id":9567,"type":"thesis","genre":"PhD Thesis","number-of-pages":"198","publisher":"La Trobe University","title":"Population dynamics of the critically endangered, southern bent-winged bat Miniopterus orianae bassanii","author":[{"family":"Harten","given":"Emmi","non-dropping-particle":"van"}],"issued":{"date-parts":[["2020"]]}}},{"id":9501,"uris":["http://zotero.org/users/634364/items/PW5N47RZ"],"itemData":{"id":9501,"type":"article-journal","abstract":"Context. Seasonal migration and movements of bats have important implications for their conservation. The southern bent-winged bat (Miniopterus orianae bassanii), a critically endangered cave-dwelling taxon in Australia, has been described as undertaking regional-scale migration between maternity and non-breeding caves. Aims. To describe the seasonal cycle of movements by the southern bent-winged bat, including migration and congregation events of different sexand age-classes in the population. Methods. We tagged a total of 2966 southern bent-winged bats with passive integrated transponder (PIT) tags. Antennas were used to detect bats in flight at a major maternity cave and a key non-breeding cave in south-east South Australia, from January 2016 to August 2019. We used capture–resight histories to visualise population patterns and model the daily encounter probability for each sex- and age-class at the respective roost sites. Key results. Bats congregated at the maternity cave for most of the year, with different seasonal patterns among sex- and age-classes. Seasonal movements were associated with behaviour over winter months: most of the population dispersed from the maternity cave from May and a staged return occurred among population classes from July through September. A previously unde­ scribed movement occurred in adult females and juveniles each year: these classes left the maternity cave in late summer, when juveniles became independent, and returned in early mid-autumn, later undertaking winter dispersal. Complex underlying movements of individuals occurred throughout the year, with individuals able to fly 72 km between roosting caves in just a few hours. Conclusions. Seasonal movements are a key aspect of the life history of this taxon. The newly reported movement of adult females and juveniles conforms to the maternal guidance hypothesis, whereby mothers guide their young to suitable non-breeding caves and hibernation sites. In addition to seasonal movements, some individuals moved 72 km between caves multiple times over short time periods, including on successive nights. This 72-km overnight flight distance more than doubles the previous distance used to inform management buffer zones. Extended congregation of bats at the maternity cave highlights resource limitation in the surrounding area as a potential threat to this population. Implications. The dynamic nature of the population has implications for the management of emerging risks, including mortality at windfarms and potential rapid spread of the exotic white-nose syndrome.","container-title":"Wildlife Research","DOI":"10.1071/WR21088","ISSN":"1035-3712, 1448-5494","issue":"7","journalAbbreviation":"Wildlife Res.","language":"en","page":"646-658","source":"DOI.org (Crossref)","title":"Seasonal population dynamics and movement patterns of a critically endangered, cave-dwelling bat,","volume":"49","author":[{"family":"Harten","given":"Emmi","non-dropping-particle":"van"},{"family":"Lawrence","given":"Ruth"},{"family":"Lumsden","given":"Lindy F."},{"family":"Reardon","given":"Terry"},{"family":"Bennett","given":"Andrew F."},{"family":"Prowse","given":"Thomas A. A."}],"editor":[{"family":"Parsons","given":"Stuart"}],"issued":{"date-parts":[["2022",5,2]]}}}],"schema":"https://github.com/citation-style-language/schema/raw/master/csl-citation.json"} </w:instrText>
      </w:r>
      <w:r w:rsidRPr="00097629">
        <w:rPr>
          <w:rFonts w:eastAsiaTheme="minorEastAsia"/>
        </w:rPr>
        <w:fldChar w:fldCharType="separate"/>
      </w:r>
      <w:r w:rsidR="009F541F" w:rsidRPr="009F541F">
        <w:t xml:space="preserve">(van Harten 2020; van Harten </w:t>
      </w:r>
      <w:r w:rsidR="009F541F" w:rsidRPr="00DA5824">
        <w:t>et al</w:t>
      </w:r>
      <w:r w:rsidR="009F541F" w:rsidRPr="009F541F">
        <w:rPr>
          <w:i/>
          <w:iCs/>
        </w:rPr>
        <w:t>.</w:t>
      </w:r>
      <w:r w:rsidR="009F541F" w:rsidRPr="009F541F">
        <w:t xml:space="preserve"> 2022a)</w:t>
      </w:r>
      <w:r w:rsidRPr="00097629">
        <w:rPr>
          <w:rFonts w:eastAsiaTheme="minorEastAsia"/>
        </w:rPr>
        <w:fldChar w:fldCharType="end"/>
      </w:r>
      <w:r w:rsidRPr="00097629">
        <w:rPr>
          <w:rFonts w:eastAsiaTheme="minorEastAsia"/>
        </w:rPr>
        <w:t>.</w:t>
      </w:r>
      <w:r w:rsidR="00BE3EC4">
        <w:rPr>
          <w:rFonts w:eastAsiaTheme="minorEastAsia"/>
        </w:rPr>
        <w:t xml:space="preserve"> </w:t>
      </w:r>
      <w:r w:rsidRPr="00097629">
        <w:rPr>
          <w:rFonts w:eastAsiaTheme="minorEastAsia"/>
        </w:rPr>
        <w:t xml:space="preserve">Although almost nothing is known about use of torpor by </w:t>
      </w:r>
      <w:r w:rsidR="009A0036">
        <w:rPr>
          <w:rFonts w:eastAsiaTheme="minorEastAsia"/>
        </w:rPr>
        <w:t xml:space="preserve">the </w:t>
      </w:r>
      <w:r w:rsidRPr="00097629">
        <w:rPr>
          <w:rFonts w:eastAsiaTheme="minorEastAsia"/>
        </w:rPr>
        <w:t>SBWB, we can investigate the likely impacts of variation in the length of torpor periods on the epidemiology of WNS, assuming that, while in torpor, bat metabolic rates and body temperatures are conducive for the growth of the pathogen.</w:t>
      </w:r>
      <w:r w:rsidR="00BE3EC4">
        <w:rPr>
          <w:rFonts w:eastAsiaTheme="minorEastAsia"/>
        </w:rPr>
        <w:t xml:space="preserve"> </w:t>
      </w:r>
      <w:r w:rsidR="009A0036">
        <w:rPr>
          <w:rFonts w:eastAsiaTheme="minorEastAsia"/>
        </w:rPr>
        <w:t>Consequently</w:t>
      </w:r>
      <w:r w:rsidRPr="00097629">
        <w:rPr>
          <w:rFonts w:eastAsiaTheme="minorEastAsia"/>
        </w:rPr>
        <w:t xml:space="preserve">, for an arbitrary period of torpor, the dynamics of </w:t>
      </w:r>
      <w:r w:rsidR="009A0036">
        <w:rPr>
          <w:rFonts w:eastAsiaTheme="minorEastAsia"/>
        </w:rPr>
        <w:t xml:space="preserve">the </w:t>
      </w:r>
      <w:r w:rsidRPr="00097629">
        <w:rPr>
          <w:rFonts w:eastAsiaTheme="minorEastAsia"/>
        </w:rPr>
        <w:t xml:space="preserve">SBWB and epidemiology of WNS can be described </w:t>
      </w:r>
      <w:r w:rsidR="00AD4702">
        <w:rPr>
          <w:rFonts w:eastAsiaTheme="minorEastAsia"/>
        </w:rPr>
        <w:t>by the following flow diagram</w:t>
      </w:r>
      <w:r w:rsidR="00574195">
        <w:rPr>
          <w:rFonts w:eastAsiaTheme="minorEastAsia"/>
        </w:rPr>
        <w:t xml:space="preserve"> (Figure </w:t>
      </w:r>
      <w:r w:rsidR="00FB0D4C">
        <w:rPr>
          <w:rFonts w:eastAsiaTheme="minorEastAsia"/>
        </w:rPr>
        <w:t>14</w:t>
      </w:r>
      <w:r w:rsidR="00574195">
        <w:rPr>
          <w:rFonts w:eastAsiaTheme="minorEastAsia"/>
        </w:rPr>
        <w:t>)</w:t>
      </w:r>
      <w:r w:rsidRPr="00097629">
        <w:rPr>
          <w:rFonts w:eastAsiaTheme="minorEastAsia"/>
        </w:rPr>
        <w:t xml:space="preserve">. </w:t>
      </w:r>
    </w:p>
    <w:p w14:paraId="78B76D99" w14:textId="77777777" w:rsidR="00EB3882" w:rsidRDefault="00EB3882" w:rsidP="0035407E">
      <w:pPr>
        <w:rPr>
          <w:rFonts w:eastAsiaTheme="minorEastAsia"/>
        </w:rPr>
      </w:pPr>
    </w:p>
    <w:p w14:paraId="0D9E3A23" w14:textId="2FB66D9C" w:rsidR="00C35279" w:rsidRDefault="008260DF" w:rsidP="00C35279">
      <w:pPr>
        <w:jc w:val="center"/>
        <w:rPr>
          <w:rFonts w:eastAsiaTheme="minorEastAsia"/>
          <w:b/>
          <w:bCs/>
        </w:rPr>
      </w:pPr>
      <w:r>
        <w:rPr>
          <w:rFonts w:eastAsiaTheme="minorEastAsia"/>
          <w:b/>
          <w:bCs/>
          <w:noProof/>
        </w:rPr>
        <w:drawing>
          <wp:inline distT="0" distB="0" distL="0" distR="0" wp14:anchorId="08A7F425" wp14:editId="4560F855">
            <wp:extent cx="6120265" cy="2735249"/>
            <wp:effectExtent l="0" t="0" r="0" b="8255"/>
            <wp:docPr id="1993198407" name="Picture 1"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98407" name="Picture 1" descr="A diagram of a flowchart&#10;&#10;AI-generated content may be incorrect."/>
                    <pic:cNvPicPr/>
                  </pic:nvPicPr>
                  <pic:blipFill rotWithShape="1">
                    <a:blip r:embed="rId55" cstate="screen">
                      <a:extLst>
                        <a:ext uri="{28A0092B-C50C-407E-A947-70E740481C1C}">
                          <a14:useLocalDpi xmlns:a14="http://schemas.microsoft.com/office/drawing/2010/main" val="0"/>
                        </a:ext>
                      </a:extLst>
                    </a:blip>
                    <a:srcRect t="11777" b="8771"/>
                    <a:stretch/>
                  </pic:blipFill>
                  <pic:spPr bwMode="auto">
                    <a:xfrm>
                      <a:off x="0" y="0"/>
                      <a:ext cx="6120765" cy="2735472"/>
                    </a:xfrm>
                    <a:prstGeom prst="rect">
                      <a:avLst/>
                    </a:prstGeom>
                    <a:ln>
                      <a:noFill/>
                    </a:ln>
                    <a:extLst>
                      <a:ext uri="{53640926-AAD7-44D8-BBD7-CCE9431645EC}">
                        <a14:shadowObscured xmlns:a14="http://schemas.microsoft.com/office/drawing/2010/main"/>
                      </a:ext>
                    </a:extLst>
                  </pic:spPr>
                </pic:pic>
              </a:graphicData>
            </a:graphic>
          </wp:inline>
        </w:drawing>
      </w:r>
    </w:p>
    <w:p w14:paraId="0FAD7CED" w14:textId="34598DD5" w:rsidR="00C35279" w:rsidRPr="00097629" w:rsidRDefault="00C35279" w:rsidP="00270D41">
      <w:pPr>
        <w:pStyle w:val="Caption-Figure"/>
      </w:pPr>
      <w:bookmarkStart w:id="97" w:name="_Toc198634165"/>
      <w:r w:rsidRPr="00A83313">
        <w:t>Figure</w:t>
      </w:r>
      <w:r>
        <w:t xml:space="preserve"> </w:t>
      </w:r>
      <w:r w:rsidR="001B440E">
        <w:t>14</w:t>
      </w:r>
      <w:r>
        <w:t>. Flow chart of the transmission of WNS in SB</w:t>
      </w:r>
      <w:r w:rsidR="00744C6A">
        <w:t>W</w:t>
      </w:r>
      <w:r>
        <w:t>B</w:t>
      </w:r>
      <w:r w:rsidR="009A0036">
        <w:t>s</w:t>
      </w:r>
      <w:r>
        <w:t xml:space="preserve"> during the hibernation phase (torpor period) used for the individual-based model</w:t>
      </w:r>
      <w:r w:rsidR="009A0036">
        <w:t xml:space="preserve">, </w:t>
      </w:r>
      <w:r>
        <w:t>showing the progression of individuals through each of the model compartments.</w:t>
      </w:r>
      <w:r w:rsidR="00BE3EC4">
        <w:t xml:space="preserve"> </w:t>
      </w:r>
      <m:oMath>
        <m:r>
          <m:rPr>
            <m:sty m:val="bi"/>
          </m:rPr>
          <w:rPr>
            <w:rFonts w:ascii="Cambria Math" w:hAnsi="Cambria Math"/>
          </w:rPr>
          <m:t>S</m:t>
        </m:r>
      </m:oMath>
      <w:r>
        <w:t xml:space="preserve"> – susceptible, </w:t>
      </w:r>
      <m:oMath>
        <m:r>
          <m:rPr>
            <m:sty m:val="bi"/>
          </m:rPr>
          <w:rPr>
            <w:rFonts w:ascii="Cambria Math" w:hAnsi="Cambria Math"/>
          </w:rPr>
          <m:t>E</m:t>
        </m:r>
      </m:oMath>
      <w:r>
        <w:t xml:space="preserve"> – exposed, </w:t>
      </w:r>
      <m:oMath>
        <m:r>
          <m:rPr>
            <m:sty m:val="bi"/>
          </m:rPr>
          <w:rPr>
            <w:rFonts w:ascii="Cambria Math" w:hAnsi="Cambria Math"/>
          </w:rPr>
          <m:t>I</m:t>
        </m:r>
      </m:oMath>
      <w:r>
        <w:t xml:space="preserve"> – infectious, </w:t>
      </w:r>
      <m:oMath>
        <m:r>
          <m:rPr>
            <m:sty m:val="bi"/>
          </m:rPr>
          <w:rPr>
            <w:rFonts w:ascii="Cambria Math" w:hAnsi="Cambria Math"/>
          </w:rPr>
          <m:t>P</m:t>
        </m:r>
      </m:oMath>
      <w:r>
        <w:t xml:space="preserve"> – </w:t>
      </w:r>
      <w:r w:rsidR="009A0036">
        <w:t>p</w:t>
      </w:r>
      <w:r>
        <w:t>athogen in the cave environment.</w:t>
      </w:r>
      <w:bookmarkEnd w:id="97"/>
      <w:r w:rsidR="00BE3EC4">
        <w:t xml:space="preserve"> </w:t>
      </w:r>
    </w:p>
    <w:p w14:paraId="1FFE49F9" w14:textId="77777777" w:rsidR="00221035" w:rsidRDefault="00221035" w:rsidP="0035407E">
      <w:pPr>
        <w:rPr>
          <w:rFonts w:eastAsiaTheme="minorEastAsia"/>
        </w:rPr>
      </w:pPr>
    </w:p>
    <w:p w14:paraId="488935CB" w14:textId="549665C9" w:rsidR="0035407E" w:rsidRPr="00C10921" w:rsidRDefault="0035407E" w:rsidP="0035407E">
      <w:pPr>
        <w:rPr>
          <w:rFonts w:eastAsiaTheme="minorEastAsia"/>
        </w:rPr>
      </w:pPr>
      <w:r w:rsidRPr="00C10921">
        <w:rPr>
          <w:rFonts w:eastAsiaTheme="minorEastAsia"/>
        </w:rPr>
        <w:t xml:space="preserve">Where </w:t>
      </w:r>
      <m:oMath>
        <m:r>
          <w:rPr>
            <w:rFonts w:ascii="Cambria Math" w:eastAsiaTheme="minorEastAsia" w:hAnsi="Cambria Math"/>
          </w:rPr>
          <m:t>S</m:t>
        </m:r>
      </m:oMath>
      <w:r w:rsidRPr="00C10921">
        <w:rPr>
          <w:rFonts w:eastAsiaTheme="minorEastAsia"/>
        </w:rPr>
        <w:t xml:space="preserve">, </w:t>
      </w:r>
      <m:oMath>
        <m:r>
          <w:rPr>
            <w:rFonts w:ascii="Cambria Math" w:eastAsiaTheme="minorEastAsia" w:hAnsi="Cambria Math"/>
          </w:rPr>
          <m:t>E</m:t>
        </m:r>
      </m:oMath>
      <w:r w:rsidRPr="00C10921">
        <w:rPr>
          <w:rFonts w:eastAsiaTheme="minorEastAsia"/>
        </w:rPr>
        <w:t xml:space="preserve">, </w:t>
      </w:r>
      <m:oMath>
        <m:r>
          <w:rPr>
            <w:rFonts w:ascii="Cambria Math" w:eastAsiaTheme="minorEastAsia" w:hAnsi="Cambria Math"/>
          </w:rPr>
          <m:t>I</m:t>
        </m:r>
      </m:oMath>
      <w:r w:rsidRPr="00C10921">
        <w:rPr>
          <w:rFonts w:eastAsiaTheme="minorEastAsia"/>
        </w:rPr>
        <w:t xml:space="preserve"> are abundance of susceptible, exposed and infected bats, respectively</w:t>
      </w:r>
      <w:r w:rsidR="009A0036">
        <w:rPr>
          <w:rFonts w:eastAsiaTheme="minorEastAsia"/>
        </w:rPr>
        <w:t>,</w:t>
      </w:r>
      <w:r w:rsidRPr="00C10921">
        <w:rPr>
          <w:rFonts w:eastAsiaTheme="minorEastAsia"/>
        </w:rPr>
        <w:t xml:space="preserve"> with the total population </w:t>
      </w:r>
      <m:oMath>
        <m:r>
          <w:rPr>
            <w:rFonts w:ascii="Cambria Math" w:eastAsiaTheme="minorEastAsia" w:hAnsi="Cambria Math"/>
          </w:rPr>
          <m:t>N=S+E+I</m:t>
        </m:r>
      </m:oMath>
      <w:r w:rsidRPr="00C10921">
        <w:rPr>
          <w:rFonts w:eastAsiaTheme="minorEastAsia"/>
        </w:rPr>
        <w:t>.</w:t>
      </w:r>
      <w:r w:rsidR="00BE3EC4">
        <w:rPr>
          <w:rFonts w:eastAsiaTheme="minorEastAsia"/>
        </w:rPr>
        <w:t xml:space="preserve"> </w:t>
      </w:r>
      <w:r w:rsidRPr="00C10921">
        <w:rPr>
          <w:rFonts w:eastAsiaTheme="minorEastAsia"/>
        </w:rPr>
        <w:t xml:space="preserve">The parameters </w:t>
      </w:r>
      <m:oMath>
        <m:r>
          <w:rPr>
            <w:rFonts w:ascii="Cambria Math" w:eastAsiaTheme="minorEastAsia" w:hAnsi="Cambria Math"/>
          </w:rPr>
          <m:t>β</m:t>
        </m:r>
      </m:oMath>
      <w:r w:rsidRPr="00C10921">
        <w:rPr>
          <w:rFonts w:eastAsiaTheme="minorEastAsia"/>
        </w:rPr>
        <w:t xml:space="preserve"> and </w:t>
      </w:r>
      <m:oMath>
        <m:r>
          <w:rPr>
            <w:rFonts w:ascii="Cambria Math" w:eastAsiaTheme="minorEastAsia" w:hAnsi="Cambria Math"/>
          </w:rPr>
          <m:t>ψ</m:t>
        </m:r>
      </m:oMath>
      <w:r w:rsidRPr="00C10921">
        <w:rPr>
          <w:rFonts w:eastAsiaTheme="minorEastAsia"/>
        </w:rPr>
        <w:t xml:space="preserve"> are the bat-to-bat and environment-to-bat transmission rates of WNS, respectively, where </w:t>
      </w:r>
      <m:oMath>
        <m:r>
          <w:rPr>
            <w:rFonts w:ascii="Cambria Math" w:eastAsiaTheme="minorEastAsia" w:hAnsi="Cambria Math"/>
          </w:rPr>
          <m:t>P</m:t>
        </m:r>
      </m:oMath>
      <w:r w:rsidRPr="00C10921">
        <w:rPr>
          <w:rFonts w:eastAsiaTheme="minorEastAsia"/>
        </w:rPr>
        <w:t xml:space="preserve"> represents the abundance of the pathogen in the cave environment </w:t>
      </w:r>
      <w:r w:rsidRPr="00C10921">
        <w:rPr>
          <w:rFonts w:eastAsiaTheme="minorEastAsia"/>
        </w:rPr>
        <w:fldChar w:fldCharType="begin"/>
      </w:r>
      <w:r w:rsidR="009F541F">
        <w:rPr>
          <w:rFonts w:eastAsiaTheme="minorEastAsia"/>
        </w:rPr>
        <w:instrText xml:space="preserve"> ADDIN ZOTERO_ITEM CSL_CITATION {"citationID":"XYxDh8X2","properties":{"formattedCitation":"(Meyer {\\i{}et al.} 2016)","plainCitation":"(Meyer et al. 2016)","noteIndex":0},"citationItems":[{"id":9493,"uris":["http://zotero.org/users/634364/items/H23I7GUY"],"itemData":{"id":9493,"type":"article-journal","abstract":"White-nose syndrome (WNS) is a lethal infection of bats caused by the psychrophilic fungus Pseudogymnoascus destructans (Pd). Since the ﬁrst cases of WNS were documented in 2006, it is estimated that as many as 5.5 million bats have succumbed in the United States—one of the fastest mammalian die-offs due to disease ever observed, and the ﬁrst known sustained epizootic of bats. WNS is contagious between bats, and mounting evidence suggests that a persistent environmental reservoir of Pd plays a signiﬁcant role in transmission as well. It is unclear, however, the relative contributions of bat-to-bat and environment-to-bat transmission to disease propagation within a colony. We analyze a mathematical model to investigate the consequences of both avenues of transmission on colony survival in addition to the efﬁcacy of disease control strategies. Our model shows that selection of the most effective control strategies is highly dependent on the primary route of WNS transmission. Under all scenarios, however, generalized culling is ineffective and while targeted culling of infected bats may be effective under idealized conditions, it primarily has negative consequences. Thus, understanding the signiﬁcance of environment-to-bat transmission is paramount to designing effective management plans.","container-title":"Journal of Theoretical Biology","DOI":"10.1016/j.jtbi.2016.08.033","ISSN":"00225193","journalAbbreviation":"Journal of Theoretical Biology","language":"en","page":"60-69","source":"DOI.org (Crossref)","title":"Predicting bat colony survival under controls targeting multiple transmission routes of white-nose syndrome","volume":"409","author":[{"family":"Meyer","given":"A.D."},{"family":"Stevens","given":"D.F."},{"family":"Blackwood","given":"J.C."}],"issued":{"date-parts":[["2016",11]]}}}],"schema":"https://github.com/citation-style-language/schema/raw/master/csl-citation.json"} </w:instrText>
      </w:r>
      <w:r w:rsidRPr="00C10921">
        <w:rPr>
          <w:rFonts w:eastAsiaTheme="minorEastAsia"/>
        </w:rPr>
        <w:fldChar w:fldCharType="separate"/>
      </w:r>
      <w:r w:rsidR="009F541F" w:rsidRPr="009F541F">
        <w:t xml:space="preserve">(Meyer </w:t>
      </w:r>
      <w:r w:rsidR="009F541F" w:rsidRPr="00DA5824">
        <w:t>et al</w:t>
      </w:r>
      <w:r w:rsidR="009F541F" w:rsidRPr="009F541F">
        <w:rPr>
          <w:i/>
          <w:iCs/>
        </w:rPr>
        <w:t>.</w:t>
      </w:r>
      <w:r w:rsidR="009F541F" w:rsidRPr="009F541F">
        <w:t xml:space="preserve"> 2016)</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 xml:space="preserve">Bats exposed to the fungus become infected at a rate </w:t>
      </w:r>
      <m:oMath>
        <m:r>
          <w:rPr>
            <w:rFonts w:ascii="Cambria Math" w:eastAsiaTheme="minorEastAsia" w:hAnsi="Cambria Math"/>
          </w:rPr>
          <m:t>τ</m:t>
        </m:r>
      </m:oMath>
      <w:r w:rsidRPr="00C10921">
        <w:rPr>
          <w:rFonts w:eastAsiaTheme="minorEastAsia"/>
        </w:rPr>
        <w:t xml:space="preserve"> and </w:t>
      </w:r>
      <m:oMath>
        <m:r>
          <w:rPr>
            <w:rFonts w:ascii="Cambria Math" w:eastAsiaTheme="minorEastAsia" w:hAnsi="Cambria Math"/>
          </w:rPr>
          <m:t>ω</m:t>
        </m:r>
      </m:oMath>
      <w:r w:rsidRPr="00C10921">
        <w:rPr>
          <w:rFonts w:eastAsiaTheme="minorEastAsia"/>
        </w:rPr>
        <w:t xml:space="preserve"> is the rate of shedding of fungal spores from infected bats to the cave environment.</w:t>
      </w:r>
      <w:r w:rsidR="00BE3EC4">
        <w:rPr>
          <w:rFonts w:eastAsiaTheme="minorEastAsia"/>
        </w:rPr>
        <w:t xml:space="preserve"> </w:t>
      </w:r>
      <w:r w:rsidRPr="00C10921">
        <w:rPr>
          <w:rFonts w:eastAsiaTheme="minorEastAsia"/>
        </w:rPr>
        <w:t xml:space="preserve">Bats are also subject to natural mortality at a rate </w:t>
      </w:r>
      <m:oMath>
        <m:r>
          <w:rPr>
            <w:rFonts w:ascii="Cambria Math" w:eastAsiaTheme="minorEastAsia" w:hAnsi="Cambria Math"/>
          </w:rPr>
          <m:t>d</m:t>
        </m:r>
      </m:oMath>
      <w:r w:rsidRPr="00C10921">
        <w:rPr>
          <w:rFonts w:eastAsiaTheme="minorEastAsia"/>
        </w:rPr>
        <w:t xml:space="preserve"> with </w:t>
      </w:r>
      <m:oMath>
        <m:r>
          <w:rPr>
            <w:rFonts w:ascii="Cambria Math" w:eastAsiaTheme="minorEastAsia" w:hAnsi="Cambria Math"/>
          </w:rPr>
          <m:t>α</m:t>
        </m:r>
      </m:oMath>
      <w:r w:rsidRPr="00C10921">
        <w:rPr>
          <w:rFonts w:eastAsiaTheme="minorEastAsia"/>
        </w:rPr>
        <w:t xml:space="preserve"> representing the extra mortality rate of bats infected with WNS during the period of torpor.</w:t>
      </w:r>
      <w:r w:rsidR="00BE3EC4">
        <w:rPr>
          <w:rFonts w:eastAsiaTheme="minorEastAsia"/>
        </w:rPr>
        <w:t xml:space="preserve"> </w:t>
      </w:r>
      <w:r w:rsidRPr="00C10921">
        <w:rPr>
          <w:rFonts w:eastAsiaTheme="minorEastAsia"/>
        </w:rPr>
        <w:t>In the cave environment</w:t>
      </w:r>
      <w:r w:rsidR="009A0036">
        <w:rPr>
          <w:rFonts w:eastAsiaTheme="minorEastAsia"/>
        </w:rPr>
        <w:t>,</w:t>
      </w:r>
      <w:r w:rsidRPr="00C10921">
        <w:rPr>
          <w:rFonts w:eastAsiaTheme="minorEastAsia"/>
        </w:rPr>
        <w:t xml:space="preserve"> the pathogen </w:t>
      </w:r>
      <m:oMath>
        <m:r>
          <w:rPr>
            <w:rFonts w:ascii="Cambria Math" w:eastAsiaTheme="minorEastAsia" w:hAnsi="Cambria Math"/>
          </w:rPr>
          <m:t>P</m:t>
        </m:r>
      </m:oMath>
      <w:r w:rsidRPr="00C10921">
        <w:rPr>
          <w:rFonts w:eastAsiaTheme="minorEastAsia"/>
        </w:rPr>
        <w:t xml:space="preserve"> grows logistically at a rate </w:t>
      </w:r>
      <m:oMath>
        <m:r>
          <w:rPr>
            <w:rFonts w:ascii="Cambria Math" w:eastAsiaTheme="minorEastAsia" w:hAnsi="Cambria Math"/>
          </w:rPr>
          <m:t>η</m:t>
        </m:r>
      </m:oMath>
      <w:r w:rsidRPr="00C10921">
        <w:rPr>
          <w:rFonts w:eastAsiaTheme="minorEastAsia"/>
        </w:rPr>
        <w:t xml:space="preserve"> eventually reaching the carrying capacity of the cave environment </w:t>
      </w:r>
      <m:oMath>
        <m:sSub>
          <m:sSubPr>
            <m:ctrlPr>
              <w:rPr>
                <w:rFonts w:ascii="Cambria Math" w:hAnsi="Cambria Math"/>
              </w:rPr>
            </m:ctrlPr>
          </m:sSubPr>
          <m:e>
            <m:r>
              <w:rPr>
                <w:rFonts w:ascii="Cambria Math" w:eastAsiaTheme="minorEastAsia" w:hAnsi="Cambria Math"/>
              </w:rPr>
              <m:t>K</m:t>
            </m:r>
          </m:e>
          <m:sub>
            <m:r>
              <w:rPr>
                <w:rFonts w:ascii="Cambria Math" w:eastAsiaTheme="minorEastAsia" w:hAnsi="Cambria Math"/>
              </w:rPr>
              <m:t>p</m:t>
            </m:r>
          </m:sub>
        </m:sSub>
      </m:oMath>
      <w:r w:rsidRPr="00C10921">
        <w:rPr>
          <w:rFonts w:eastAsiaTheme="minorEastAsia"/>
        </w:rPr>
        <w:t>.</w:t>
      </w:r>
      <w:r w:rsidR="00BE3EC4">
        <w:rPr>
          <w:rFonts w:eastAsiaTheme="minorEastAsia"/>
        </w:rPr>
        <w:t xml:space="preserve"> </w:t>
      </w:r>
    </w:p>
    <w:p w14:paraId="3ED80E30" w14:textId="4D5517FD" w:rsidR="0035407E" w:rsidRPr="00520EE6" w:rsidRDefault="004D1F70" w:rsidP="0035407E">
      <w:pPr>
        <w:rPr>
          <w:rFonts w:eastAsiaTheme="minorEastAsia"/>
          <w:b/>
          <w:bCs/>
        </w:rPr>
      </w:pPr>
      <w:r>
        <w:rPr>
          <w:rFonts w:eastAsiaTheme="minorEastAsia"/>
          <w:b/>
          <w:bCs/>
        </w:rPr>
        <w:t>Active</w:t>
      </w:r>
      <w:r w:rsidR="0035407E" w:rsidRPr="00520EE6">
        <w:rPr>
          <w:rFonts w:eastAsiaTheme="minorEastAsia"/>
          <w:b/>
          <w:bCs/>
        </w:rPr>
        <w:t xml:space="preserve"> phase</w:t>
      </w:r>
    </w:p>
    <w:p w14:paraId="393F1857" w14:textId="095BA364" w:rsidR="0035407E" w:rsidRPr="00C10921" w:rsidRDefault="0035407E" w:rsidP="00C40512">
      <w:pPr>
        <w:rPr>
          <w:rFonts w:eastAsiaTheme="minorEastAsia"/>
        </w:rPr>
      </w:pPr>
      <w:r w:rsidRPr="00C10921">
        <w:rPr>
          <w:rFonts w:eastAsiaTheme="minorEastAsia"/>
        </w:rPr>
        <w:t>SBWB</w:t>
      </w:r>
      <w:r w:rsidR="009A0036">
        <w:rPr>
          <w:rFonts w:eastAsiaTheme="minorEastAsia"/>
        </w:rPr>
        <w:t>s</w:t>
      </w:r>
      <w:r w:rsidRPr="00C10921">
        <w:rPr>
          <w:rFonts w:eastAsiaTheme="minorEastAsia"/>
        </w:rPr>
        <w:t xml:space="preserve"> congregate around three main maternity caves located at Naracoorte, South Australia, and Warrnambool and Portland in Victoria during the warmer months starting from around early September and finishing around late May </w:t>
      </w:r>
      <w:r w:rsidRPr="00C10921">
        <w:rPr>
          <w:rFonts w:eastAsiaTheme="minorEastAsia"/>
        </w:rPr>
        <w:fldChar w:fldCharType="begin"/>
      </w:r>
      <w:r w:rsidRPr="00C10921">
        <w:rPr>
          <w:rFonts w:eastAsiaTheme="minorEastAsia"/>
        </w:rPr>
        <w:instrText xml:space="preserve"> ADDIN ZOTERO_ITEM CSL_CITATION {"citationID":"K0SPQHzG","properties":{"formattedCitation":"(van Harten 2020)","plainCitation":"(van Harten 2020)","noteIndex":0},"citationItems":[{"id":9567,"uris":["http://zotero.org/users/634364/items/Q3RLUQKR"],"itemData":{"id":9567,"type":"thesis","genre":"PhD Thesis","number-of-pages":"198","publisher":"La Trobe University","title":"Population dynamics of the critically endangered, southern bent-winged bat Miniopterus orianae bassanii","author":[{"family":"Harten","given":"Emmi","non-dropping-particle":"van"}],"issued":{"date-parts":[["2020"]]}}}],"schema":"https://github.com/citation-style-language/schema/raw/master/csl-citation.json"} </w:instrText>
      </w:r>
      <w:r w:rsidRPr="00C10921">
        <w:rPr>
          <w:rFonts w:eastAsiaTheme="minorEastAsia"/>
        </w:rPr>
        <w:fldChar w:fldCharType="separate"/>
      </w:r>
      <w:r w:rsidR="009F541F" w:rsidRPr="009F541F">
        <w:t>(van Harten 2020)</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 xml:space="preserve">Numbers peak in the maternity caves during early summer and </w:t>
      </w:r>
      <w:r w:rsidRPr="00C10921">
        <w:rPr>
          <w:rFonts w:eastAsiaTheme="minorEastAsia"/>
        </w:rPr>
        <w:lastRenderedPageBreak/>
        <w:t>during this time, females give birth to a single pup</w:t>
      </w:r>
      <w:r w:rsidR="009A0036">
        <w:rPr>
          <w:rFonts w:eastAsiaTheme="minorEastAsia"/>
        </w:rPr>
        <w:t>,</w:t>
      </w:r>
      <w:r w:rsidRPr="00C10921">
        <w:rPr>
          <w:rFonts w:eastAsiaTheme="minorEastAsia"/>
        </w:rPr>
        <w:t xml:space="preserve"> with juveniles emerging from the cave during January </w:t>
      </w:r>
      <w:r w:rsidRPr="00C10921">
        <w:rPr>
          <w:rFonts w:eastAsiaTheme="minorEastAsia"/>
        </w:rPr>
        <w:fldChar w:fldCharType="begin"/>
      </w:r>
      <w:r w:rsidRPr="00C10921">
        <w:rPr>
          <w:rFonts w:eastAsiaTheme="minorEastAsia"/>
        </w:rPr>
        <w:instrText xml:space="preserve"> ADDIN ZOTERO_ITEM CSL_CITATION {"citationID":"Aqhaxf9I","properties":{"formattedCitation":"(van Harten 2020)","plainCitation":"(van Harten 2020)","noteIndex":0},"citationItems":[{"id":9567,"uris":["http://zotero.org/users/634364/items/Q3RLUQKR"],"itemData":{"id":9567,"type":"thesis","genre":"PhD Thesis","number-of-pages":"198","publisher":"La Trobe University","title":"Population dynamics of the critically endangered, southern bent-winged bat Miniopterus orianae bassanii","author":[{"family":"Harten","given":"Emmi","non-dropping-particle":"van"}],"issued":{"date-parts":[["2020"]]}}}],"schema":"https://github.com/citation-style-language/schema/raw/master/csl-citation.json"} </w:instrText>
      </w:r>
      <w:r w:rsidRPr="00C10921">
        <w:rPr>
          <w:rFonts w:eastAsiaTheme="minorEastAsia"/>
        </w:rPr>
        <w:fldChar w:fldCharType="separate"/>
      </w:r>
      <w:r w:rsidR="009F541F" w:rsidRPr="009F541F">
        <w:t>(van Harten 2020)</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 xml:space="preserve">During the </w:t>
      </w:r>
      <w:r w:rsidR="00C531DC">
        <w:rPr>
          <w:rFonts w:eastAsiaTheme="minorEastAsia"/>
        </w:rPr>
        <w:t>active</w:t>
      </w:r>
      <w:r w:rsidRPr="00C10921">
        <w:rPr>
          <w:rFonts w:eastAsiaTheme="minorEastAsia"/>
        </w:rPr>
        <w:t xml:space="preserve"> phase, bats can reach high densities inside the maternity caves and </w:t>
      </w:r>
      <w:r w:rsidR="009A0036">
        <w:rPr>
          <w:rFonts w:eastAsiaTheme="minorEastAsia"/>
        </w:rPr>
        <w:t>therefore</w:t>
      </w:r>
      <w:r w:rsidRPr="00C10921">
        <w:rPr>
          <w:rFonts w:eastAsiaTheme="minorEastAsia"/>
        </w:rPr>
        <w:t>, the risk of exposure to WNS from the cave environment is likely to be high.</w:t>
      </w:r>
      <w:r w:rsidR="00BE3EC4">
        <w:rPr>
          <w:rFonts w:eastAsiaTheme="minorEastAsia"/>
        </w:rPr>
        <w:t xml:space="preserve"> </w:t>
      </w:r>
      <w:r w:rsidRPr="00C10921">
        <w:rPr>
          <w:rFonts w:eastAsiaTheme="minorEastAsia"/>
        </w:rPr>
        <w:t xml:space="preserve">However, as bats are highly active and maintaining normal body temperatures during this time, it is unlikely that bats become infected with WNS. </w:t>
      </w:r>
      <w:r w:rsidR="009A0036">
        <w:rPr>
          <w:rFonts w:eastAsiaTheme="minorEastAsia"/>
        </w:rPr>
        <w:t>As a result</w:t>
      </w:r>
      <w:r w:rsidRPr="00C10921">
        <w:rPr>
          <w:rFonts w:eastAsiaTheme="minorEastAsia"/>
        </w:rPr>
        <w:t xml:space="preserve">, it is assumed that bat-to-bat transmission and shedding of the pathogen to the cave environment is negligible </w:t>
      </w:r>
      <w:r w:rsidRPr="00C10921">
        <w:rPr>
          <w:rFonts w:eastAsiaTheme="minorEastAsia"/>
        </w:rPr>
        <w:fldChar w:fldCharType="begin"/>
      </w:r>
      <w:r w:rsidR="009F541F">
        <w:rPr>
          <w:rFonts w:eastAsiaTheme="minorEastAsia"/>
        </w:rPr>
        <w:instrText xml:space="preserve"> ADDIN ZOTERO_ITEM CSL_CITATION {"citationID":"cGfH5wKq","properties":{"formattedCitation":"(Cornwell {\\i{}et al.} 2019)","plainCitation":"(Cornwell et al. 2019)","noteIndex":0},"citationItems":[{"id":9475,"uris":["http://zotero.org/users/634364/items/FD2I6XAF"],"itemData":{"id":9475,"type":"article-journal","abstract":"Since 2006, the North American bat population has been in rapid decline due to white-nose syndrome (WNS), which is caused by an invasive fungus (Pseudogymnoascus destructans). The little brown bat (Myotis lucifugus) is the species most affected by this emerging disease. We consider how best to prevent local extinctions of this species using mathematical models. In 2017, development began on a new vaccine for WNS; we analyze the effects of implementing vaccination as a control measure. We create a Susceptible-Exposed-Infectious-Vaccinated hybrid ordinary differential equation and difference equation model informed by the phenology of little brown bats. We compare the effectiveness of annual, biennial, and one-time vaccination programs for multiple durations of immunity length. We also determine the optimal time to vaccinate, if vaccinating only once, as a function of average duration of immunity. Next, we perform a sensitivity analysis to determine the robustness of our results. Finally, we consider other possible control measures together with vaccination to determine the optimal control strategy. We find that if the vaccine offers lifelong immunity, then it will be the most effective control measure considered thus far.","container-title":"Ecological Modelling","DOI":"https://doi.org/10.1016/j.ecolmodel.2019.108724","ISSN":"0304-3800","page":"108724","title":"Modeling vaccination strategies to control white-nose syndrome in little brown bat colonies","volume":"407","author":[{"family":"Cornwell","given":"Eva"},{"family":"Elzinga","given":"David C."},{"family":"Stowe","given":"Shelby"},{"family":"Capaldi","given":"Alex"}],"issued":{"date-parts":[["2019"]]}}}],"schema":"https://github.com/citation-style-language/schema/raw/master/csl-citation.json"} </w:instrText>
      </w:r>
      <w:r w:rsidRPr="00C10921">
        <w:rPr>
          <w:rFonts w:eastAsiaTheme="minorEastAsia"/>
        </w:rPr>
        <w:fldChar w:fldCharType="separate"/>
      </w:r>
      <w:r w:rsidR="009F541F" w:rsidRPr="009F541F">
        <w:t xml:space="preserve">(Cornwell </w:t>
      </w:r>
      <w:r w:rsidR="009F541F" w:rsidRPr="00DA5824">
        <w:t>et al</w:t>
      </w:r>
      <w:r w:rsidR="009F541F" w:rsidRPr="009F541F">
        <w:rPr>
          <w:i/>
          <w:iCs/>
        </w:rPr>
        <w:t>.</w:t>
      </w:r>
      <w:r w:rsidR="009F541F" w:rsidRPr="009F541F">
        <w:t xml:space="preserve"> 2019)</w:t>
      </w:r>
      <w:r w:rsidRPr="00C10921">
        <w:rPr>
          <w:rFonts w:eastAsiaTheme="minorEastAsia"/>
        </w:rPr>
        <w:fldChar w:fldCharType="end"/>
      </w:r>
      <w:r w:rsidRPr="00C10921">
        <w:rPr>
          <w:rFonts w:eastAsiaTheme="minorEastAsia"/>
        </w:rPr>
        <w:t>.</w:t>
      </w:r>
      <w:r w:rsidR="00BE3EC4">
        <w:rPr>
          <w:rFonts w:eastAsiaTheme="minorEastAsia"/>
        </w:rPr>
        <w:t xml:space="preserve"> </w:t>
      </w:r>
    </w:p>
    <w:p w14:paraId="1989C76A" w14:textId="006EA4ED" w:rsidR="0035407E" w:rsidRPr="00C10921" w:rsidRDefault="0035407E" w:rsidP="0035407E">
      <w:pPr>
        <w:rPr>
          <w:rFonts w:eastAsiaTheme="minorEastAsia"/>
        </w:rPr>
      </w:pPr>
      <w:r w:rsidRPr="00C10921">
        <w:rPr>
          <w:rFonts w:eastAsiaTheme="minorEastAsia"/>
        </w:rPr>
        <w:t xml:space="preserve">In addition, bats previously exposed or infected during the torpor phase that survive and enter the </w:t>
      </w:r>
      <w:r w:rsidR="00115F6F">
        <w:rPr>
          <w:rFonts w:eastAsiaTheme="minorEastAsia"/>
        </w:rPr>
        <w:t>active</w:t>
      </w:r>
      <w:r w:rsidRPr="00C10921">
        <w:rPr>
          <w:rFonts w:eastAsiaTheme="minorEastAsia"/>
        </w:rPr>
        <w:t xml:space="preserve"> phase </w:t>
      </w:r>
      <w:r w:rsidR="00C942D5">
        <w:rPr>
          <w:rFonts w:eastAsiaTheme="minorEastAsia"/>
        </w:rPr>
        <w:t>can</w:t>
      </w:r>
      <w:r w:rsidRPr="00C10921">
        <w:rPr>
          <w:rFonts w:eastAsiaTheme="minorEastAsia"/>
        </w:rPr>
        <w:t xml:space="preserve"> clear their </w:t>
      </w:r>
      <w:r w:rsidR="00672466">
        <w:rPr>
          <w:rFonts w:eastAsiaTheme="minorEastAsia"/>
        </w:rPr>
        <w:t xml:space="preserve">exposure or </w:t>
      </w:r>
      <w:r w:rsidRPr="00C10921">
        <w:rPr>
          <w:rFonts w:eastAsiaTheme="minorEastAsia"/>
        </w:rPr>
        <w:t xml:space="preserve">infection and </w:t>
      </w:r>
      <w:r w:rsidR="0080108E">
        <w:rPr>
          <w:rFonts w:eastAsiaTheme="minorEastAsia"/>
        </w:rPr>
        <w:t>re-enter the susceptible class</w:t>
      </w:r>
      <w:r w:rsidRPr="00C10921">
        <w:rPr>
          <w:rFonts w:eastAsiaTheme="minorEastAsia"/>
        </w:rPr>
        <w:t xml:space="preserve"> at a rate</w:t>
      </w:r>
      <m:oMath>
        <m:r>
          <w:rPr>
            <w:rFonts w:ascii="Cambria Math" w:eastAsiaTheme="minorEastAsia" w:hAnsi="Cambria Math"/>
          </w:rPr>
          <m:t xml:space="preserve"> γ</m:t>
        </m:r>
      </m:oMath>
      <w:r w:rsidRPr="00C10921">
        <w:rPr>
          <w:rFonts w:eastAsiaTheme="minorEastAsia"/>
        </w:rPr>
        <w:t xml:space="preserve"> and ε, respectively. During the summer breeding period, juveniles are recruited to the volant population at a rate </w:t>
      </w:r>
      <m:oMath>
        <m:r>
          <w:rPr>
            <w:rFonts w:ascii="Cambria Math" w:eastAsiaTheme="minorEastAsia" w:hAnsi="Cambria Math"/>
          </w:rPr>
          <m:t>b</m:t>
        </m:r>
      </m:oMath>
      <w:r w:rsidRPr="00C10921">
        <w:rPr>
          <w:rFonts w:eastAsiaTheme="minorEastAsia"/>
        </w:rPr>
        <w:t>, which is also subject to density-dependence.</w:t>
      </w:r>
      <w:r w:rsidR="00BE3EC4">
        <w:rPr>
          <w:rFonts w:eastAsiaTheme="minorEastAsia"/>
        </w:rPr>
        <w:t xml:space="preserve"> </w:t>
      </w:r>
      <w:r w:rsidRPr="00C10921">
        <w:rPr>
          <w:rFonts w:eastAsiaTheme="minorEastAsia"/>
        </w:rPr>
        <w:t>Since bat-to-bat transmission during this period is assumed to be negligible, recruits initially enter the susceptible population</w:t>
      </w:r>
      <w:r w:rsidR="00B9118A">
        <w:rPr>
          <w:rFonts w:eastAsiaTheme="minorEastAsia"/>
        </w:rPr>
        <w:t xml:space="preserve"> w</w:t>
      </w:r>
      <w:r w:rsidRPr="00C10921">
        <w:rPr>
          <w:rFonts w:eastAsiaTheme="minorEastAsia"/>
        </w:rPr>
        <w:t xml:space="preserve">here </w:t>
      </w:r>
      <m:oMath>
        <m:r>
          <w:rPr>
            <w:rFonts w:ascii="Cambria Math" w:eastAsiaTheme="minorEastAsia" w:hAnsi="Cambria Math"/>
          </w:rPr>
          <m:t>b</m:t>
        </m:r>
      </m:oMath>
      <w:r w:rsidRPr="00C10921">
        <w:rPr>
          <w:rFonts w:eastAsiaTheme="minorEastAsia"/>
        </w:rPr>
        <w:t xml:space="preserve"> is the per-capita recruitment of juveniles to the volant population and </w:t>
      </w:r>
      <m:oMath>
        <m:r>
          <w:rPr>
            <w:rFonts w:ascii="Cambria Math" w:eastAsiaTheme="minorEastAsia" w:hAnsi="Cambria Math"/>
          </w:rPr>
          <m:t>g</m:t>
        </m:r>
      </m:oMath>
      <w:r w:rsidRPr="00C10921">
        <w:rPr>
          <w:rFonts w:eastAsiaTheme="minorEastAsia"/>
        </w:rPr>
        <w:t xml:space="preserve"> represents the strength of density-dependence.</w:t>
      </w:r>
      <w:r w:rsidR="00BE3EC4">
        <w:rPr>
          <w:rFonts w:eastAsiaTheme="minorEastAsia"/>
        </w:rPr>
        <w:t xml:space="preserve"> </w:t>
      </w:r>
      <w:r w:rsidRPr="00C10921">
        <w:rPr>
          <w:rFonts w:eastAsiaTheme="minorEastAsia"/>
        </w:rPr>
        <w:t xml:space="preserve">The flow </w:t>
      </w:r>
      <w:r w:rsidR="00AD4702">
        <w:rPr>
          <w:rFonts w:eastAsiaTheme="minorEastAsia"/>
        </w:rPr>
        <w:t>diagram</w:t>
      </w:r>
      <w:r w:rsidRPr="00C10921">
        <w:rPr>
          <w:rFonts w:eastAsiaTheme="minorEastAsia"/>
        </w:rPr>
        <w:t xml:space="preserve"> for the </w:t>
      </w:r>
      <w:r w:rsidR="00EB3882">
        <w:rPr>
          <w:rFonts w:eastAsiaTheme="minorEastAsia"/>
        </w:rPr>
        <w:t>active</w:t>
      </w:r>
      <w:r w:rsidRPr="00C10921">
        <w:rPr>
          <w:rFonts w:eastAsiaTheme="minorEastAsia"/>
        </w:rPr>
        <w:t xml:space="preserve"> phase is given in Figure </w:t>
      </w:r>
      <w:r w:rsidR="00E934F6">
        <w:rPr>
          <w:rFonts w:eastAsiaTheme="minorEastAsia"/>
        </w:rPr>
        <w:t>15</w:t>
      </w:r>
      <w:r w:rsidRPr="00C10921">
        <w:rPr>
          <w:rFonts w:eastAsiaTheme="minorEastAsia"/>
        </w:rPr>
        <w:t>.</w:t>
      </w:r>
    </w:p>
    <w:p w14:paraId="55B3FC1B" w14:textId="6077E3C0" w:rsidR="0035407E" w:rsidRDefault="008260DF" w:rsidP="0035407E">
      <w:pPr>
        <w:rPr>
          <w:rFonts w:eastAsiaTheme="minorEastAsia"/>
        </w:rPr>
      </w:pPr>
      <w:r>
        <w:rPr>
          <w:rFonts w:eastAsiaTheme="minorEastAsia"/>
          <w:noProof/>
        </w:rPr>
        <w:drawing>
          <wp:inline distT="0" distB="0" distL="0" distR="0" wp14:anchorId="2D213D76" wp14:editId="6BD0D3F9">
            <wp:extent cx="6120765" cy="3442970"/>
            <wp:effectExtent l="0" t="0" r="0" b="5080"/>
            <wp:docPr id="667993302" name="Picture 2"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93302" name="Picture 2" descr="A diagram of a diagram&#10;&#10;AI-generated content may be incorrect."/>
                    <pic:cNvPicPr/>
                  </pic:nvPicPr>
                  <pic:blipFill>
                    <a:blip r:embed="rId56" cstate="screen">
                      <a:extLst>
                        <a:ext uri="{28A0092B-C50C-407E-A947-70E740481C1C}">
                          <a14:useLocalDpi xmlns:a14="http://schemas.microsoft.com/office/drawing/2010/main" val="0"/>
                        </a:ext>
                      </a:extLst>
                    </a:blip>
                    <a:stretch>
                      <a:fillRect/>
                    </a:stretch>
                  </pic:blipFill>
                  <pic:spPr>
                    <a:xfrm>
                      <a:off x="0" y="0"/>
                      <a:ext cx="6120765" cy="3442970"/>
                    </a:xfrm>
                    <a:prstGeom prst="rect">
                      <a:avLst/>
                    </a:prstGeom>
                  </pic:spPr>
                </pic:pic>
              </a:graphicData>
            </a:graphic>
          </wp:inline>
        </w:drawing>
      </w:r>
    </w:p>
    <w:p w14:paraId="74DB8666" w14:textId="6CDE6E62" w:rsidR="0035407E" w:rsidRDefault="0035407E" w:rsidP="00415D1E">
      <w:pPr>
        <w:pStyle w:val="Caption-Figure"/>
      </w:pPr>
      <w:bookmarkStart w:id="98" w:name="_Toc198634166"/>
      <w:r>
        <w:t xml:space="preserve">Figure </w:t>
      </w:r>
      <w:r w:rsidR="001B440E">
        <w:t>15</w:t>
      </w:r>
      <w:r>
        <w:t>. Flow chart of the transmission of WNS in SB</w:t>
      </w:r>
      <w:r w:rsidR="00582CE1">
        <w:t>W</w:t>
      </w:r>
      <w:r>
        <w:t>B</w:t>
      </w:r>
      <w:r w:rsidR="00C46DEC">
        <w:t>s</w:t>
      </w:r>
      <w:r>
        <w:t xml:space="preserve"> during the </w:t>
      </w:r>
      <w:r w:rsidR="00415D1E">
        <w:t>active</w:t>
      </w:r>
      <w:r>
        <w:t xml:space="preserve"> phase used for the individual-based model</w:t>
      </w:r>
      <w:r w:rsidR="00C46DEC">
        <w:t xml:space="preserve">, </w:t>
      </w:r>
      <w:r>
        <w:t>showing the progression of individuals through each of the model compartments.</w:t>
      </w:r>
      <w:r w:rsidR="00BE3EC4">
        <w:t xml:space="preserve"> </w:t>
      </w:r>
      <m:oMath>
        <m:r>
          <m:rPr>
            <m:sty m:val="bi"/>
          </m:rPr>
          <w:rPr>
            <w:rFonts w:ascii="Cambria Math" w:hAnsi="Cambria Math"/>
          </w:rPr>
          <m:t>S</m:t>
        </m:r>
      </m:oMath>
      <w:r>
        <w:t xml:space="preserve"> – susceptible, </w:t>
      </w:r>
      <m:oMath>
        <m:r>
          <m:rPr>
            <m:sty m:val="bi"/>
          </m:rPr>
          <w:rPr>
            <w:rFonts w:ascii="Cambria Math" w:hAnsi="Cambria Math"/>
          </w:rPr>
          <m:t>E</m:t>
        </m:r>
      </m:oMath>
      <w:r>
        <w:t xml:space="preserve"> – exposed, </w:t>
      </w:r>
      <m:oMath>
        <m:r>
          <m:rPr>
            <m:sty m:val="bi"/>
          </m:rPr>
          <w:rPr>
            <w:rFonts w:ascii="Cambria Math" w:hAnsi="Cambria Math"/>
          </w:rPr>
          <m:t>I</m:t>
        </m:r>
      </m:oMath>
      <w:r>
        <w:t xml:space="preserve"> – infectious, </w:t>
      </w:r>
      <m:oMath>
        <m:r>
          <m:rPr>
            <m:sty m:val="bi"/>
          </m:rPr>
          <w:rPr>
            <w:rFonts w:ascii="Cambria Math" w:hAnsi="Cambria Math"/>
          </w:rPr>
          <m:t>P</m:t>
        </m:r>
      </m:oMath>
      <w:r>
        <w:t xml:space="preserve"> – </w:t>
      </w:r>
      <w:r w:rsidR="00C46DEC">
        <w:t>p</w:t>
      </w:r>
      <w:r>
        <w:t>athogen in the cave environment.</w:t>
      </w:r>
      <w:r w:rsidR="00BE3EC4">
        <w:t xml:space="preserve"> </w:t>
      </w:r>
      <w:r>
        <w:t>Parameter descriptions are given in</w:t>
      </w:r>
      <w:r w:rsidR="00E551B9">
        <w:t xml:space="preserve"> </w:t>
      </w:r>
      <w:r w:rsidR="00C46DEC">
        <w:t>S</w:t>
      </w:r>
      <w:r w:rsidR="00E551B9">
        <w:t>ection 6.3.</w:t>
      </w:r>
      <w:bookmarkEnd w:id="98"/>
    </w:p>
    <w:p w14:paraId="24BFFB28" w14:textId="77777777" w:rsidR="0035407E" w:rsidRDefault="0035407E" w:rsidP="0035407E">
      <w:pPr>
        <w:rPr>
          <w:rFonts w:eastAsiaTheme="minorEastAsia"/>
        </w:rPr>
      </w:pPr>
    </w:p>
    <w:p w14:paraId="7412E9FF" w14:textId="757FA7E9" w:rsidR="0035407E" w:rsidRPr="00C10921" w:rsidRDefault="0035407E" w:rsidP="0035407E">
      <w:pPr>
        <w:rPr>
          <w:rFonts w:eastAsiaTheme="minorEastAsia"/>
        </w:rPr>
      </w:pPr>
      <w:r w:rsidRPr="00C10921">
        <w:rPr>
          <w:rFonts w:eastAsiaTheme="minorEastAsia"/>
        </w:rPr>
        <w:t xml:space="preserve">Parameter values for this model were derived from </w:t>
      </w:r>
      <w:r w:rsidR="00C942D5">
        <w:rPr>
          <w:rFonts w:eastAsiaTheme="minorEastAsia"/>
        </w:rPr>
        <w:t>several</w:t>
      </w:r>
      <w:r w:rsidRPr="00C10921">
        <w:rPr>
          <w:rFonts w:eastAsiaTheme="minorEastAsia"/>
        </w:rPr>
        <w:t xml:space="preserve"> sources.</w:t>
      </w:r>
      <w:r w:rsidR="00BE3EC4">
        <w:rPr>
          <w:rFonts w:eastAsiaTheme="minorEastAsia"/>
        </w:rPr>
        <w:t xml:space="preserve"> </w:t>
      </w:r>
      <w:r w:rsidRPr="00C10921">
        <w:rPr>
          <w:rFonts w:eastAsiaTheme="minorEastAsia"/>
        </w:rPr>
        <w:t xml:space="preserve">Values for the recruitment rate </w:t>
      </w:r>
      <m:oMath>
        <m:r>
          <w:rPr>
            <w:rFonts w:ascii="Cambria Math" w:eastAsiaTheme="minorEastAsia" w:hAnsi="Cambria Math"/>
          </w:rPr>
          <m:t>b</m:t>
        </m:r>
      </m:oMath>
      <w:r w:rsidRPr="00C10921">
        <w:rPr>
          <w:rFonts w:eastAsiaTheme="minorEastAsia"/>
        </w:rPr>
        <w:t xml:space="preserve"> were derived from data from </w:t>
      </w:r>
      <w:r w:rsidR="00C564CF">
        <w:rPr>
          <w:rFonts w:eastAsiaTheme="minorEastAsia"/>
        </w:rPr>
        <w:t xml:space="preserve">Dr </w:t>
      </w:r>
      <w:r w:rsidRPr="00C10921">
        <w:rPr>
          <w:rFonts w:eastAsiaTheme="minorEastAsia"/>
        </w:rPr>
        <w:t>Lindy Lumsden and colleagues (unpublished), who undertook meticulous counts of SBWB</w:t>
      </w:r>
      <w:r w:rsidR="00484A45">
        <w:rPr>
          <w:rFonts w:eastAsiaTheme="minorEastAsia"/>
        </w:rPr>
        <w:t>s</w:t>
      </w:r>
      <w:r w:rsidRPr="00C10921">
        <w:rPr>
          <w:rFonts w:eastAsiaTheme="minorEastAsia"/>
        </w:rPr>
        <w:t xml:space="preserve"> emerging from the Warrnambool maternity cave, as well as a few nearby caves known to be used by SBWB</w:t>
      </w:r>
      <w:r w:rsidR="00484A45">
        <w:rPr>
          <w:rFonts w:eastAsiaTheme="minorEastAsia"/>
        </w:rPr>
        <w:t>s</w:t>
      </w:r>
      <w:r w:rsidRPr="00C10921">
        <w:rPr>
          <w:rFonts w:eastAsiaTheme="minorEastAsia"/>
        </w:rPr>
        <w:t>.</w:t>
      </w:r>
      <w:r w:rsidR="00BE3EC4">
        <w:rPr>
          <w:rFonts w:eastAsiaTheme="minorEastAsia"/>
        </w:rPr>
        <w:t xml:space="preserve"> </w:t>
      </w:r>
      <w:r w:rsidRPr="00C10921">
        <w:rPr>
          <w:rFonts w:eastAsiaTheme="minorEastAsia"/>
        </w:rPr>
        <w:t>Counts were conducted during the summer birth pulse around mid-December</w:t>
      </w:r>
      <w:r w:rsidR="00484A45">
        <w:rPr>
          <w:rFonts w:eastAsiaTheme="minorEastAsia"/>
        </w:rPr>
        <w:t>,</w:t>
      </w:r>
      <w:r w:rsidRPr="00C10921">
        <w:rPr>
          <w:rFonts w:eastAsiaTheme="minorEastAsia"/>
        </w:rPr>
        <w:t xml:space="preserve"> but when pups were still confined to the cave (pre-volant population) and then repeated around mid-February, as pups became volant and became part of the countable population (volant population).</w:t>
      </w:r>
      <w:r w:rsidR="00BE3EC4">
        <w:rPr>
          <w:rFonts w:eastAsiaTheme="minorEastAsia"/>
        </w:rPr>
        <w:t xml:space="preserve"> </w:t>
      </w:r>
      <w:r w:rsidRPr="00C10921">
        <w:rPr>
          <w:rFonts w:eastAsiaTheme="minorEastAsia"/>
        </w:rPr>
        <w:t>Counts were undertaken from the 2018</w:t>
      </w:r>
      <w:r w:rsidR="00484A45">
        <w:rPr>
          <w:rFonts w:eastAsiaTheme="minorEastAsia"/>
        </w:rPr>
        <w:t>–</w:t>
      </w:r>
      <w:r w:rsidRPr="00C10921">
        <w:rPr>
          <w:rFonts w:eastAsiaTheme="minorEastAsia"/>
        </w:rPr>
        <w:t>19 breeding season to the 2022</w:t>
      </w:r>
      <w:r w:rsidR="00484A45">
        <w:rPr>
          <w:rFonts w:eastAsiaTheme="minorEastAsia"/>
        </w:rPr>
        <w:t>–</w:t>
      </w:r>
      <w:r w:rsidRPr="00C10921">
        <w:rPr>
          <w:rFonts w:eastAsiaTheme="minorEastAsia"/>
        </w:rPr>
        <w:t xml:space="preserve">23 breeding season (Figure </w:t>
      </w:r>
      <w:r w:rsidR="00BA6237">
        <w:rPr>
          <w:rFonts w:eastAsiaTheme="minorEastAsia"/>
        </w:rPr>
        <w:t xml:space="preserve">A7 – </w:t>
      </w:r>
      <w:r w:rsidR="005B6E1A">
        <w:rPr>
          <w:rFonts w:eastAsiaTheme="minorEastAsia"/>
        </w:rPr>
        <w:t>s</w:t>
      </w:r>
      <w:r w:rsidR="00BA6237">
        <w:rPr>
          <w:rFonts w:eastAsiaTheme="minorEastAsia"/>
        </w:rPr>
        <w:t>ection 6.3</w:t>
      </w:r>
      <w:r w:rsidRPr="00C10921">
        <w:rPr>
          <w:rFonts w:eastAsiaTheme="minorEastAsia"/>
        </w:rPr>
        <w:t>).</w:t>
      </w:r>
      <w:r w:rsidR="00BE3EC4">
        <w:rPr>
          <w:rFonts w:eastAsiaTheme="minorEastAsia"/>
        </w:rPr>
        <w:t xml:space="preserve"> </w:t>
      </w:r>
      <w:r w:rsidRPr="00C10921">
        <w:rPr>
          <w:rFonts w:eastAsiaTheme="minorEastAsia"/>
        </w:rPr>
        <w:t>Assuming that immigration or emigration from the cave during a breeding season was negligible, the relative difference</w:t>
      </w:r>
      <w:r w:rsidR="00484A45">
        <w:rPr>
          <w:rFonts w:eastAsiaTheme="minorEastAsia"/>
        </w:rPr>
        <w:t>s</w:t>
      </w:r>
      <w:r w:rsidRPr="00C10921">
        <w:rPr>
          <w:rFonts w:eastAsiaTheme="minorEastAsia"/>
        </w:rPr>
        <w:t xml:space="preserve"> in the pre- and post-volant counts during a breeding season reflect recruitment to the bat population.</w:t>
      </w:r>
      <w:r w:rsidR="00BE3EC4">
        <w:rPr>
          <w:rFonts w:eastAsiaTheme="minorEastAsia"/>
        </w:rPr>
        <w:t xml:space="preserve"> </w:t>
      </w:r>
      <w:r w:rsidRPr="00C10921">
        <w:rPr>
          <w:rFonts w:eastAsiaTheme="minorEastAsia"/>
        </w:rPr>
        <w:t>Estimates of the recruitment rate for the years surveyed indicated that the volant population increased by an average of 28% over the 5 years monitored (range 16</w:t>
      </w:r>
      <w:r w:rsidR="00484A45">
        <w:rPr>
          <w:rFonts w:eastAsiaTheme="minorEastAsia"/>
        </w:rPr>
        <w:t>–</w:t>
      </w:r>
      <w:r w:rsidRPr="00C10921">
        <w:rPr>
          <w:rFonts w:eastAsiaTheme="minorEastAsia"/>
        </w:rPr>
        <w:t xml:space="preserve">43%) (Figure </w:t>
      </w:r>
      <w:r w:rsidR="001E3BCF">
        <w:rPr>
          <w:rFonts w:eastAsiaTheme="minorEastAsia"/>
        </w:rPr>
        <w:t xml:space="preserve">A7 – </w:t>
      </w:r>
      <w:r w:rsidR="005B6E1A">
        <w:rPr>
          <w:rFonts w:eastAsiaTheme="minorEastAsia"/>
        </w:rPr>
        <w:t>s</w:t>
      </w:r>
      <w:r w:rsidR="001E3BCF">
        <w:rPr>
          <w:rFonts w:eastAsiaTheme="minorEastAsia"/>
        </w:rPr>
        <w:t>ection 6.3</w:t>
      </w:r>
      <w:r w:rsidRPr="00C10921">
        <w:rPr>
          <w:rFonts w:eastAsiaTheme="minorEastAsia"/>
        </w:rPr>
        <w:t xml:space="preserve">). </w:t>
      </w:r>
      <w:r w:rsidR="00484A45">
        <w:rPr>
          <w:rFonts w:eastAsiaTheme="minorEastAsia"/>
        </w:rPr>
        <w:t>Consequently</w:t>
      </w:r>
      <w:r w:rsidRPr="00C10921">
        <w:rPr>
          <w:rFonts w:eastAsiaTheme="minorEastAsia"/>
        </w:rPr>
        <w:t>, we used the value of 0.28 as the estimate of the average annual recruitment rate.</w:t>
      </w:r>
      <w:r w:rsidR="00BE3EC4">
        <w:rPr>
          <w:rFonts w:eastAsiaTheme="minorEastAsia"/>
        </w:rPr>
        <w:t xml:space="preserve"> </w:t>
      </w:r>
    </w:p>
    <w:p w14:paraId="15854296" w14:textId="01AAECB4" w:rsidR="0035407E" w:rsidRDefault="0035407E" w:rsidP="0035407E">
      <w:pPr>
        <w:rPr>
          <w:rFonts w:eastAsiaTheme="minorEastAsia"/>
        </w:rPr>
      </w:pPr>
      <w:r w:rsidRPr="00C10921">
        <w:rPr>
          <w:rFonts w:eastAsiaTheme="minorEastAsia"/>
        </w:rPr>
        <w:t xml:space="preserve">Bat mortality rates were derived from data from </w:t>
      </w:r>
      <w:r w:rsidR="00484A45">
        <w:rPr>
          <w:rFonts w:eastAsiaTheme="minorEastAsia"/>
        </w:rPr>
        <w:t>PIT</w:t>
      </w:r>
      <w:r w:rsidRPr="00C10921">
        <w:rPr>
          <w:rFonts w:eastAsiaTheme="minorEastAsia"/>
        </w:rPr>
        <w:t xml:space="preserve">-tagged bats from the study by van Harten </w:t>
      </w:r>
      <w:r w:rsidR="00197A81" w:rsidRPr="00197A81">
        <w:rPr>
          <w:rFonts w:eastAsiaTheme="minorEastAsia"/>
        </w:rPr>
        <w:t xml:space="preserve">et al. </w:t>
      </w:r>
      <w:r w:rsidRPr="00C10921">
        <w:rPr>
          <w:rFonts w:eastAsiaTheme="minorEastAsia"/>
        </w:rPr>
        <w:fldChar w:fldCharType="begin"/>
      </w:r>
      <w:r w:rsidR="009F541F">
        <w:rPr>
          <w:rFonts w:eastAsiaTheme="minorEastAsia"/>
        </w:rPr>
        <w:instrText xml:space="preserve"> ADDIN ZOTERO_ITEM CSL_CITATION {"citationID":"ggXB9FWz","properties":{"formattedCitation":"(2022b)","plainCitation":"(2022b)","noteIndex":0},"citationItems":[{"id":9498,"uris":["http://zotero.org/users/634364/items/HRJ57ZWT"],"itemData":{"id":9498,"type":"article-journal","abstract":"Abstract\n            \n              Capture-mark-recapture/resight (CMR) methods are used for survival-rate studies, yet are often limited by small sample sizes. Advances in passive integrated transponder (PIT) technology have enabled passive detection or ‘resight’ of marked individuals using large antennas with greater read-ranges than previously possible. We used passively-detected resight data and CMR models to study survival rates of the southern bent-winged bat\n              Miniopterus orianae bassanii\n              , a critically endangered, cave-dwelling bat. Over three years, we used PIT-tagging to monitor 2966 individuals at the species’ largest breeding aggregation, using daily detection data (&gt; 1.6 million detections) to estimate seasonal survival probabilities, structured by age, sex and reproductive status, and parameterise population projection matrices. This has hitherto been impossible using traditional CMR methods due to disturbance risk and low recapture rates. Bats exhibited lowest apparent seasonal survival over summer and autumn, particularly for reproductive females in summer (when lactating) and juveniles in autumn (after weaning), and high survival in winter. Lowest survival rates coincided with severe drought in summer–autumn 2016, suggesting that dry conditions affect population viability. Under all likely demographic assumptions, population projection matrices suggested the population is in deterministic decline, requiring urgent action to reduce extinction risk. Passively-collected resight data can now be used in combination with CMR models to provide extensive, robust information for targeted wildlife population management.","container-title":"Scientific Reports","DOI":"10.1038/s41598-022-11404-4","ISSN":"2045-2322","issue":"1","journalAbbreviation":"Sci Rep","language":"en","page":"7390","source":"DOI.org (Crossref)","title":"Novel passive detection approach reveals low breeding season survival and apparent lactation cost in a critically endangered cave bat","volume":"12","author":[{"family":"Harten","given":"Emmi","non-dropping-particle":"van"},{"family":"Lawrence","given":"Ruth"},{"family":"Lumsden","given":"Lindy F."},{"family":"Reardon","given":"Terry"},{"family":"Prowse","given":"Thomas A. A."}],"issued":{"date-parts":[["2022",5,5]]}},"label":"page","suppress-author":true}],"schema":"https://github.com/citation-style-language/schema/raw/master/csl-citation.json"} </w:instrText>
      </w:r>
      <w:r w:rsidRPr="00C10921">
        <w:rPr>
          <w:rFonts w:eastAsiaTheme="minorEastAsia"/>
        </w:rPr>
        <w:fldChar w:fldCharType="separate"/>
      </w:r>
      <w:r w:rsidR="009F541F" w:rsidRPr="009F541F">
        <w:t>(2022b)</w:t>
      </w:r>
      <w:r w:rsidRPr="00C10921">
        <w:rPr>
          <w:rFonts w:eastAsiaTheme="minorEastAsia"/>
        </w:rPr>
        <w:fldChar w:fldCharType="end"/>
      </w:r>
      <w:r w:rsidR="005F7D4D">
        <w:rPr>
          <w:rFonts w:eastAsiaTheme="minorEastAsia"/>
        </w:rPr>
        <w:t xml:space="preserve"> in South Australia</w:t>
      </w:r>
      <w:r w:rsidRPr="00C10921">
        <w:rPr>
          <w:rFonts w:eastAsiaTheme="minorEastAsia"/>
        </w:rPr>
        <w:t>. Discounting the low survival rates observed during 2016, the average annual survival rates of SBWB</w:t>
      </w:r>
      <w:r w:rsidR="00484A45">
        <w:rPr>
          <w:rFonts w:eastAsiaTheme="minorEastAsia"/>
        </w:rPr>
        <w:t>s</w:t>
      </w:r>
      <w:r w:rsidRPr="00C10921">
        <w:rPr>
          <w:rFonts w:eastAsiaTheme="minorEastAsia"/>
        </w:rPr>
        <w:t xml:space="preserve"> was 0.73.</w:t>
      </w:r>
      <w:r w:rsidR="00BE3EC4">
        <w:rPr>
          <w:rFonts w:eastAsiaTheme="minorEastAsia"/>
        </w:rPr>
        <w:t xml:space="preserve"> </w:t>
      </w:r>
      <w:r w:rsidRPr="00C10921">
        <w:rPr>
          <w:rFonts w:eastAsiaTheme="minorEastAsia"/>
        </w:rPr>
        <w:t>However, we used a value of 0.8 for the annual survival rate to ensure that the population trajectory was consistent with the counts obtained between 2018</w:t>
      </w:r>
      <w:r w:rsidR="00484A45">
        <w:rPr>
          <w:rFonts w:eastAsiaTheme="minorEastAsia"/>
        </w:rPr>
        <w:t>–</w:t>
      </w:r>
      <w:r w:rsidRPr="00C10921">
        <w:rPr>
          <w:rFonts w:eastAsiaTheme="minorEastAsia"/>
        </w:rPr>
        <w:t>19 and 2022</w:t>
      </w:r>
      <w:r w:rsidR="00484A45">
        <w:rPr>
          <w:rFonts w:eastAsiaTheme="minorEastAsia"/>
        </w:rPr>
        <w:t>–</w:t>
      </w:r>
      <w:r w:rsidRPr="00C10921">
        <w:rPr>
          <w:rFonts w:eastAsiaTheme="minorEastAsia"/>
        </w:rPr>
        <w:t>23</w:t>
      </w:r>
      <w:r w:rsidR="005F7D4D">
        <w:rPr>
          <w:rFonts w:eastAsiaTheme="minorEastAsia"/>
        </w:rPr>
        <w:t xml:space="preserve"> in Victoria</w:t>
      </w:r>
      <w:r w:rsidRPr="00C10921">
        <w:rPr>
          <w:rFonts w:eastAsiaTheme="minorEastAsia"/>
        </w:rPr>
        <w:t xml:space="preserve"> (Figure </w:t>
      </w:r>
      <w:r w:rsidR="001E3BCF">
        <w:rPr>
          <w:rFonts w:eastAsiaTheme="minorEastAsia"/>
        </w:rPr>
        <w:t xml:space="preserve">A7 – </w:t>
      </w:r>
      <w:r w:rsidR="005B6E1A">
        <w:rPr>
          <w:rFonts w:eastAsiaTheme="minorEastAsia"/>
        </w:rPr>
        <w:t>s</w:t>
      </w:r>
      <w:r w:rsidR="001E3BCF">
        <w:rPr>
          <w:rFonts w:eastAsiaTheme="minorEastAsia"/>
        </w:rPr>
        <w:t>ection 6.3</w:t>
      </w:r>
      <w:r w:rsidRPr="00C10921">
        <w:rPr>
          <w:rFonts w:eastAsiaTheme="minorEastAsia"/>
        </w:rPr>
        <w:t>).</w:t>
      </w:r>
      <w:r w:rsidR="00BE3EC4">
        <w:rPr>
          <w:rFonts w:eastAsiaTheme="minorEastAsia"/>
        </w:rPr>
        <w:t xml:space="preserve"> </w:t>
      </w:r>
      <w:r w:rsidRPr="00C10921">
        <w:rPr>
          <w:rFonts w:eastAsiaTheme="minorEastAsia"/>
        </w:rPr>
        <w:t xml:space="preserve">Other parameters related to the transmission of WNS indicated in the model were derived from the literature </w:t>
      </w:r>
      <w:r w:rsidRPr="00C10921">
        <w:rPr>
          <w:rFonts w:eastAsiaTheme="minorEastAsia"/>
        </w:rPr>
        <w:fldChar w:fldCharType="begin"/>
      </w:r>
      <w:r w:rsidR="009F541F">
        <w:rPr>
          <w:rFonts w:eastAsiaTheme="minorEastAsia"/>
        </w:rPr>
        <w:instrText xml:space="preserve"> ADDIN ZOTERO_ITEM CSL_CITATION {"citationID":"B9nC1BVz","properties":{"formattedCitation":"(Meyer {\\i{}et al.} 2016; Cornwell {\\i{}et al.} 2019)","plainCitation":"(Meyer et al. 2016; Cornwell et al. 2019)","noteIndex":0},"citationItems":[{"id":9493,"uris":["http://zotero.org/users/634364/items/H23I7GUY"],"itemData":{"id":9493,"type":"article-journal","abstract":"White-nose syndrome (WNS) is a lethal infection of bats caused by the psychrophilic fungus Pseudogymnoascus destructans (Pd). Since the ﬁrst cases of WNS were documented in 2006, it is estimated that as many as 5.5 million bats have succumbed in the United States—one of the fastest mammalian die-offs due to disease ever observed, and the ﬁrst known sustained epizootic of bats. WNS is contagious between bats, and mounting evidence suggests that a persistent environmental reservoir of Pd plays a signiﬁcant role in transmission as well. It is unclear, however, the relative contributions of bat-to-bat and environment-to-bat transmission to disease propagation within a colony. We analyze a mathematical model to investigate the consequences of both avenues of transmission on colony survival in addition to the efﬁcacy of disease control strategies. Our model shows that selection of the most effective control strategies is highly dependent on the primary route of WNS transmission. Under all scenarios, however, generalized culling is ineffective and while targeted culling of infected bats may be effective under idealized conditions, it primarily has negative consequences. Thus, understanding the signiﬁcance of environment-to-bat transmission is paramount to designing effective management plans.","container-title":"Journal of Theoretical Biology","DOI":"10.1016/j.jtbi.2016.08.033","ISSN":"00225193","journalAbbreviation":"Journal of Theoretical Biology","language":"en","page":"60-69","source":"DOI.org (Crossref)","title":"Predicting bat colony survival under controls targeting multiple transmission routes of white-nose syndrome","volume":"409","author":[{"family":"Meyer","given":"A.D."},{"family":"Stevens","given":"D.F."},{"family":"Blackwood","given":"J.C."}],"issued":{"date-parts":[["2016",11]]}}},{"id":9475,"uris":["http://zotero.org/users/634364/items/FD2I6XAF"],"itemData":{"id":9475,"type":"article-journal","abstract":"Since 2006, the North American bat population has been in rapid decline due to white-nose syndrome (WNS), which is caused by an invasive fungus (Pseudogymnoascus destructans). The little brown bat (Myotis lucifugus) is the species most affected by this emerging disease. We consider how best to prevent local extinctions of this species using mathematical models. In 2017, development began on a new vaccine for WNS; we analyze the effects of implementing vaccination as a control measure. We create a Susceptible-Exposed-Infectious-Vaccinated hybrid ordinary differential equation and difference equation model informed by the phenology of little brown bats. We compare the effectiveness of annual, biennial, and one-time vaccination programs for multiple durations of immunity length. We also determine the optimal time to vaccinate, if vaccinating only once, as a function of average duration of immunity. Next, we perform a sensitivity analysis to determine the robustness of our results. Finally, we consider other possible control measures together with vaccination to determine the optimal control strategy. We find that if the vaccine offers lifelong immunity, then it will be the most effective control measure considered thus far.","container-title":"Ecological Modelling","DOI":"https://doi.org/10.1016/j.ecolmodel.2019.108724","ISSN":"0304-3800","page":"108724","title":"Modeling vaccination strategies to control white-nose syndrome in little brown bat colonies","volume":"407","author":[{"family":"Cornwell","given":"Eva"},{"family":"Elzinga","given":"David C."},{"family":"Stowe","given":"Shelby"},{"family":"Capaldi","given":"Alex"}],"issued":{"date-parts":[["2019"]]}}}],"schema":"https://github.com/citation-style-language/schema/raw/master/csl-citation.json"} </w:instrText>
      </w:r>
      <w:r w:rsidRPr="00C10921">
        <w:rPr>
          <w:rFonts w:eastAsiaTheme="minorEastAsia"/>
        </w:rPr>
        <w:fldChar w:fldCharType="separate"/>
      </w:r>
      <w:r w:rsidR="009F541F" w:rsidRPr="009F541F">
        <w:t xml:space="preserve">(Meyer </w:t>
      </w:r>
      <w:r w:rsidR="009F541F" w:rsidRPr="00DA5824">
        <w:t>et al</w:t>
      </w:r>
      <w:r w:rsidR="009F541F" w:rsidRPr="009F541F">
        <w:rPr>
          <w:i/>
          <w:iCs/>
        </w:rPr>
        <w:t>.</w:t>
      </w:r>
      <w:r w:rsidR="009F541F" w:rsidRPr="009F541F">
        <w:t xml:space="preserve"> 2016; Cornwell </w:t>
      </w:r>
      <w:r w:rsidR="009F541F" w:rsidRPr="00DA5824">
        <w:t>et al.</w:t>
      </w:r>
      <w:r w:rsidR="009F541F" w:rsidRPr="009F541F">
        <w:t xml:space="preserve"> 2019)</w:t>
      </w:r>
      <w:r w:rsidRPr="00C10921">
        <w:rPr>
          <w:rFonts w:eastAsiaTheme="minorEastAsia"/>
        </w:rPr>
        <w:fldChar w:fldCharType="end"/>
      </w:r>
      <w:r w:rsidRPr="00C10921">
        <w:rPr>
          <w:rFonts w:eastAsiaTheme="minorEastAsia"/>
        </w:rPr>
        <w:t xml:space="preserve"> (</w:t>
      </w:r>
      <w:r w:rsidR="005B6E1A">
        <w:rPr>
          <w:rFonts w:eastAsiaTheme="minorEastAsia"/>
        </w:rPr>
        <w:t>s</w:t>
      </w:r>
      <w:r w:rsidR="001E3BCF">
        <w:rPr>
          <w:rFonts w:eastAsiaTheme="minorEastAsia"/>
        </w:rPr>
        <w:t>ection 6.3</w:t>
      </w:r>
      <w:r w:rsidRPr="00C10921">
        <w:rPr>
          <w:rFonts w:eastAsiaTheme="minorEastAsia"/>
        </w:rPr>
        <w:t>).</w:t>
      </w:r>
      <w:r w:rsidR="00BE3EC4">
        <w:rPr>
          <w:rFonts w:eastAsiaTheme="minorEastAsia"/>
        </w:rPr>
        <w:t xml:space="preserve"> </w:t>
      </w:r>
      <w:r w:rsidRPr="00C10921">
        <w:rPr>
          <w:rFonts w:eastAsiaTheme="minorEastAsia"/>
        </w:rPr>
        <w:t xml:space="preserve">Although transmission rates </w:t>
      </w:r>
      <w:r w:rsidRPr="00C10921">
        <w:rPr>
          <w:rFonts w:eastAsiaTheme="minorEastAsia"/>
        </w:rPr>
        <w:lastRenderedPageBreak/>
        <w:t>of WNS in SBWB</w:t>
      </w:r>
      <w:r w:rsidR="00484A45">
        <w:rPr>
          <w:rFonts w:eastAsiaTheme="minorEastAsia"/>
        </w:rPr>
        <w:t>s</w:t>
      </w:r>
      <w:r w:rsidRPr="00C10921">
        <w:rPr>
          <w:rFonts w:eastAsiaTheme="minorEastAsia"/>
        </w:rPr>
        <w:t xml:space="preserve"> are unknown, we assumed that transmission would be </w:t>
      </w:r>
      <w:proofErr w:type="gramStart"/>
      <w:r w:rsidRPr="00C10921">
        <w:rPr>
          <w:rFonts w:eastAsiaTheme="minorEastAsia"/>
        </w:rPr>
        <w:t>similar to</w:t>
      </w:r>
      <w:proofErr w:type="gramEnd"/>
      <w:r w:rsidRPr="00C10921">
        <w:rPr>
          <w:rFonts w:eastAsiaTheme="minorEastAsia"/>
        </w:rPr>
        <w:t xml:space="preserve"> that estimated for North American bats that are known to form large roosting congregations </w:t>
      </w:r>
      <w:r w:rsidR="00484A45" w:rsidRPr="00484A45">
        <w:rPr>
          <w:rFonts w:eastAsiaTheme="minorEastAsia"/>
        </w:rPr>
        <w:t>similar</w:t>
      </w:r>
      <w:r w:rsidR="00484A45">
        <w:rPr>
          <w:rFonts w:eastAsiaTheme="minorEastAsia"/>
        </w:rPr>
        <w:t>ly to</w:t>
      </w:r>
      <w:r w:rsidRPr="00C10921">
        <w:rPr>
          <w:rFonts w:eastAsiaTheme="minorEastAsia"/>
        </w:rPr>
        <w:t xml:space="preserve"> SBWB</w:t>
      </w:r>
      <w:r w:rsidR="00484A45">
        <w:rPr>
          <w:rFonts w:eastAsiaTheme="minorEastAsia"/>
        </w:rPr>
        <w:t>s</w:t>
      </w:r>
      <w:r w:rsidRPr="00C10921">
        <w:rPr>
          <w:rFonts w:eastAsiaTheme="minorEastAsia"/>
        </w:rPr>
        <w:t>.</w:t>
      </w:r>
      <w:r w:rsidR="00BE3EC4">
        <w:rPr>
          <w:rFonts w:eastAsiaTheme="minorEastAsia"/>
        </w:rPr>
        <w:t xml:space="preserve"> </w:t>
      </w:r>
      <w:r w:rsidRPr="00C10921">
        <w:rPr>
          <w:rFonts w:eastAsiaTheme="minorEastAsia"/>
        </w:rPr>
        <w:t>The study of Meyer</w:t>
      </w:r>
      <w:r w:rsidRPr="0DDC8131">
        <w:rPr>
          <w:rFonts w:eastAsiaTheme="minorEastAsia"/>
          <w:i/>
        </w:rPr>
        <w:t xml:space="preserve"> </w:t>
      </w:r>
      <w:r w:rsidRPr="00DA5824">
        <w:rPr>
          <w:rFonts w:eastAsiaTheme="minorEastAsia"/>
          <w:iCs/>
        </w:rPr>
        <w:t>et al.</w:t>
      </w:r>
      <w:r w:rsidRPr="00C10921">
        <w:rPr>
          <w:rFonts w:eastAsiaTheme="minorEastAsia"/>
        </w:rPr>
        <w:t xml:space="preserve"> (2016) estimated the basic disease reproductive rate </w:t>
      </w:r>
      <m:oMath>
        <m:sSub>
          <m:sSubPr>
            <m:ctrlPr>
              <w:rPr>
                <w:rFonts w:ascii="Cambria Math" w:hAnsi="Cambria Math"/>
              </w:rPr>
            </m:ctrlPr>
          </m:sSubPr>
          <m:e>
            <m:r>
              <w:rPr>
                <w:rFonts w:ascii="Cambria Math" w:eastAsiaTheme="minorEastAsia" w:hAnsi="Cambria Math"/>
              </w:rPr>
              <m:t>R</m:t>
            </m:r>
          </m:e>
          <m:sub>
            <m:r>
              <w:rPr>
                <w:rFonts w:ascii="Cambria Math" w:eastAsiaTheme="minorEastAsia" w:hAnsi="Cambria Math"/>
              </w:rPr>
              <m:t>o</m:t>
            </m:r>
          </m:sub>
        </m:sSub>
      </m:oMath>
      <w:r w:rsidRPr="00C10921">
        <w:rPr>
          <w:rFonts w:eastAsiaTheme="minorEastAsia"/>
        </w:rPr>
        <w:t xml:space="preserve"> </w:t>
      </w:r>
      <w:r w:rsidR="001E3BCF">
        <w:rPr>
          <w:rFonts w:eastAsiaTheme="minorEastAsia"/>
        </w:rPr>
        <w:t xml:space="preserve">during the hibernation phase </w:t>
      </w:r>
      <w:r w:rsidRPr="00C10921">
        <w:rPr>
          <w:rFonts w:eastAsiaTheme="minorEastAsia"/>
        </w:rPr>
        <w:t>as 4.15.</w:t>
      </w:r>
      <w:r w:rsidR="00BE3EC4">
        <w:rPr>
          <w:rFonts w:eastAsiaTheme="minorEastAsia"/>
        </w:rPr>
        <w:t xml:space="preserve"> </w:t>
      </w:r>
      <w:r w:rsidRPr="00C10921">
        <w:rPr>
          <w:rFonts w:eastAsiaTheme="minorEastAsia"/>
        </w:rPr>
        <w:t xml:space="preserve">Using </w:t>
      </w:r>
      <m:oMath>
        <m:sSub>
          <m:sSubPr>
            <m:ctrlPr>
              <w:rPr>
                <w:rFonts w:ascii="Cambria Math" w:hAnsi="Cambria Math"/>
              </w:rPr>
            </m:ctrlPr>
          </m:sSubPr>
          <m:e>
            <m:r>
              <w:rPr>
                <w:rFonts w:ascii="Cambria Math" w:eastAsiaTheme="minorEastAsia" w:hAnsi="Cambria Math"/>
              </w:rPr>
              <m:t>R</m:t>
            </m:r>
          </m:e>
          <m:sub>
            <m:r>
              <w:rPr>
                <w:rFonts w:ascii="Cambria Math" w:eastAsiaTheme="minorEastAsia" w:hAnsi="Cambria Math"/>
              </w:rPr>
              <m:t>o</m:t>
            </m:r>
          </m:sub>
        </m:sSub>
      </m:oMath>
      <w:r w:rsidRPr="00C10921">
        <w:rPr>
          <w:rFonts w:eastAsiaTheme="minorEastAsia"/>
        </w:rPr>
        <w:t xml:space="preserve"> = 4.15 as a guide</w:t>
      </w:r>
      <w:r w:rsidR="00484A45">
        <w:rPr>
          <w:rFonts w:eastAsiaTheme="minorEastAsia"/>
        </w:rPr>
        <w:t>,</w:t>
      </w:r>
      <w:r w:rsidRPr="00C10921">
        <w:rPr>
          <w:rFonts w:eastAsiaTheme="minorEastAsia"/>
        </w:rPr>
        <w:t xml:space="preserve"> we substituted values for </w:t>
      </w:r>
      <m:oMath>
        <m:r>
          <w:rPr>
            <w:rFonts w:ascii="Cambria Math" w:eastAsiaTheme="minorEastAsia" w:hAnsi="Cambria Math"/>
          </w:rPr>
          <m:t>d</m:t>
        </m:r>
      </m:oMath>
      <w:r w:rsidRPr="00C10921">
        <w:rPr>
          <w:rFonts w:eastAsiaTheme="minorEastAsia"/>
        </w:rPr>
        <w:t xml:space="preserve"> and </w:t>
      </w:r>
      <m:oMath>
        <m:r>
          <w:rPr>
            <w:rFonts w:ascii="Cambria Math" w:eastAsiaTheme="minorEastAsia" w:hAnsi="Cambria Math"/>
          </w:rPr>
          <m:t>N</m:t>
        </m:r>
      </m:oMath>
      <w:r w:rsidRPr="00C10921">
        <w:rPr>
          <w:rFonts w:eastAsiaTheme="minorEastAsia"/>
        </w:rPr>
        <w:t xml:space="preserve"> for SBWB</w:t>
      </w:r>
      <w:r w:rsidR="00484A45">
        <w:rPr>
          <w:rFonts w:eastAsiaTheme="minorEastAsia"/>
        </w:rPr>
        <w:t>s</w:t>
      </w:r>
      <w:r w:rsidRPr="00C10921">
        <w:rPr>
          <w:rFonts w:eastAsiaTheme="minorEastAsia"/>
        </w:rPr>
        <w:t xml:space="preserve"> and then found the corresponding estimate of </w:t>
      </w:r>
      <m:oMath>
        <m:r>
          <w:rPr>
            <w:rFonts w:ascii="Cambria Math" w:eastAsiaTheme="minorEastAsia" w:hAnsi="Cambria Math"/>
          </w:rPr>
          <m:t>β</m:t>
        </m:r>
      </m:oMath>
      <w:r w:rsidRPr="00C10921">
        <w:rPr>
          <w:rFonts w:eastAsiaTheme="minorEastAsia"/>
        </w:rPr>
        <w:t xml:space="preserve"> that gave the target value of </w:t>
      </w:r>
      <m:oMath>
        <m:sSub>
          <m:sSubPr>
            <m:ctrlPr>
              <w:rPr>
                <w:rFonts w:ascii="Cambria Math" w:hAnsi="Cambria Math"/>
              </w:rPr>
            </m:ctrlPr>
          </m:sSubPr>
          <m:e>
            <m:r>
              <w:rPr>
                <w:rFonts w:ascii="Cambria Math" w:eastAsiaTheme="minorEastAsia" w:hAnsi="Cambria Math"/>
              </w:rPr>
              <m:t>R</m:t>
            </m:r>
          </m:e>
          <m:sub>
            <m:r>
              <w:rPr>
                <w:rFonts w:ascii="Cambria Math" w:eastAsiaTheme="minorEastAsia" w:hAnsi="Cambria Math"/>
              </w:rPr>
              <m:t>o</m:t>
            </m:r>
          </m:sub>
        </m:sSub>
        <m:r>
          <w:rPr>
            <w:rFonts w:ascii="Cambria Math" w:hAnsi="Cambria Math"/>
          </w:rPr>
          <m:t xml:space="preserve"> </m:t>
        </m:r>
      </m:oMath>
      <w:r w:rsidR="001E3BCF">
        <w:rPr>
          <w:rFonts w:eastAsiaTheme="minorEastAsia"/>
        </w:rPr>
        <w:t>(</w:t>
      </w:r>
      <w:r w:rsidR="005B6E1A">
        <w:rPr>
          <w:rFonts w:eastAsiaTheme="minorEastAsia"/>
        </w:rPr>
        <w:t>s</w:t>
      </w:r>
      <w:r w:rsidR="001E3BCF">
        <w:rPr>
          <w:rFonts w:eastAsiaTheme="minorEastAsia"/>
        </w:rPr>
        <w:t>ection 6.3)</w:t>
      </w:r>
      <w:r w:rsidRPr="00C10921">
        <w:rPr>
          <w:rFonts w:eastAsiaTheme="minorEastAsia"/>
        </w:rPr>
        <w:t>.</w:t>
      </w:r>
      <w:r w:rsidR="00BE3EC4">
        <w:rPr>
          <w:rFonts w:eastAsiaTheme="minorEastAsia"/>
        </w:rPr>
        <w:t xml:space="preserve"> </w:t>
      </w:r>
      <w:r w:rsidRPr="00C10921">
        <w:rPr>
          <w:rFonts w:eastAsiaTheme="minorEastAsia"/>
        </w:rPr>
        <w:t xml:space="preserve">Following the hibernation period, the probability that bats infected or exposed to WNS would </w:t>
      </w:r>
      <w:r w:rsidR="003B7883">
        <w:rPr>
          <w:rFonts w:eastAsiaTheme="minorEastAsia"/>
        </w:rPr>
        <w:t>re-enter the susceptible class</w:t>
      </w:r>
      <w:r w:rsidRPr="00C10921">
        <w:rPr>
          <w:rFonts w:eastAsiaTheme="minorEastAsia"/>
        </w:rPr>
        <w:t xml:space="preserve"> during the </w:t>
      </w:r>
      <w:r w:rsidR="00D13003">
        <w:rPr>
          <w:rFonts w:eastAsiaTheme="minorEastAsia"/>
        </w:rPr>
        <w:t>active</w:t>
      </w:r>
      <w:r w:rsidRPr="00C10921">
        <w:rPr>
          <w:rFonts w:eastAsiaTheme="minorEastAsia"/>
        </w:rPr>
        <w:t xml:space="preserve"> phase was assumed to be 75% </w:t>
      </w:r>
      <w:r w:rsidRPr="00C10921">
        <w:rPr>
          <w:rFonts w:eastAsiaTheme="minorEastAsia"/>
        </w:rPr>
        <w:fldChar w:fldCharType="begin"/>
      </w:r>
      <w:r w:rsidR="009F541F">
        <w:rPr>
          <w:rFonts w:eastAsiaTheme="minorEastAsia"/>
        </w:rPr>
        <w:instrText xml:space="preserve"> ADDIN ZOTERO_ITEM CSL_CITATION {"citationID":"2xrn0977","properties":{"formattedCitation":"(Cornwell {\\i{}et al.} 2019)","plainCitation":"(Cornwell et al. 2019)","noteIndex":0},"citationItems":[{"id":9475,"uris":["http://zotero.org/users/634364/items/FD2I6XAF"],"itemData":{"id":9475,"type":"article-journal","abstract":"Since 2006, the North American bat population has been in rapid decline due to white-nose syndrome (WNS), which is caused by an invasive fungus (Pseudogymnoascus destructans). The little brown bat (Myotis lucifugus) is the species most affected by this emerging disease. We consider how best to prevent local extinctions of this species using mathematical models. In 2017, development began on a new vaccine for WNS; we analyze the effects of implementing vaccination as a control measure. We create a Susceptible-Exposed-Infectious-Vaccinated hybrid ordinary differential equation and difference equation model informed by the phenology of little brown bats. We compare the effectiveness of annual, biennial, and one-time vaccination programs for multiple durations of immunity length. We also determine the optimal time to vaccinate, if vaccinating only once, as a function of average duration of immunity. Next, we perform a sensitivity analysis to determine the robustness of our results. Finally, we consider other possible control measures together with vaccination to determine the optimal control strategy. We find that if the vaccine offers lifelong immunity, then it will be the most effective control measure considered thus far.","container-title":"Ecological Modelling","DOI":"https://doi.org/10.1016/j.ecolmodel.2019.108724","ISSN":"0304-3800","page":"108724","title":"Modeling vaccination strategies to control white-nose syndrome in little brown bat colonies","volume":"407","author":[{"family":"Cornwell","given":"Eva"},{"family":"Elzinga","given":"David C."},{"family":"Stowe","given":"Shelby"},{"family":"Capaldi","given":"Alex"}],"issued":{"date-parts":[["2019"]]}}}],"schema":"https://github.com/citation-style-language/schema/raw/master/csl-citation.json"} </w:instrText>
      </w:r>
      <w:r w:rsidRPr="00C10921">
        <w:rPr>
          <w:rFonts w:eastAsiaTheme="minorEastAsia"/>
        </w:rPr>
        <w:fldChar w:fldCharType="separate"/>
      </w:r>
      <w:r w:rsidR="009F541F" w:rsidRPr="009F541F">
        <w:t xml:space="preserve">(Cornwell </w:t>
      </w:r>
      <w:r w:rsidR="009F541F" w:rsidRPr="00DA5824">
        <w:t>et al</w:t>
      </w:r>
      <w:r w:rsidR="009F541F" w:rsidRPr="009F541F">
        <w:rPr>
          <w:i/>
          <w:iCs/>
        </w:rPr>
        <w:t>.</w:t>
      </w:r>
      <w:r w:rsidR="009F541F" w:rsidRPr="009F541F">
        <w:t xml:space="preserve"> 2019)</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However, both Meyer</w:t>
      </w:r>
      <w:r w:rsidR="009F4415">
        <w:rPr>
          <w:rFonts w:eastAsiaTheme="minorEastAsia"/>
        </w:rPr>
        <w:t xml:space="preserve"> </w:t>
      </w:r>
      <w:r w:rsidR="009F4415" w:rsidRPr="00DA5824">
        <w:rPr>
          <w:rFonts w:eastAsiaTheme="minorEastAsia"/>
        </w:rPr>
        <w:t>et al</w:t>
      </w:r>
      <w:r w:rsidR="009F4415" w:rsidRPr="00484A45">
        <w:rPr>
          <w:rFonts w:eastAsiaTheme="minorEastAsia"/>
        </w:rPr>
        <w:t>.</w:t>
      </w:r>
      <w:r w:rsidR="009F4415">
        <w:rPr>
          <w:rFonts w:eastAsiaTheme="minorEastAsia"/>
        </w:rPr>
        <w:t xml:space="preserve"> (2016) </w:t>
      </w:r>
      <w:r w:rsidRPr="63767DF7">
        <w:rPr>
          <w:rFonts w:eastAsiaTheme="minorEastAsia"/>
        </w:rPr>
        <w:t xml:space="preserve">and Cornwell </w:t>
      </w:r>
      <w:r w:rsidRPr="00DA5824">
        <w:rPr>
          <w:rFonts w:eastAsiaTheme="minorEastAsia"/>
        </w:rPr>
        <w:t>et al</w:t>
      </w:r>
      <w:r w:rsidRPr="63767DF7">
        <w:rPr>
          <w:rFonts w:eastAsiaTheme="minorEastAsia"/>
          <w:i/>
          <w:iCs/>
        </w:rPr>
        <w:t>.</w:t>
      </w:r>
      <w:r w:rsidRPr="63767DF7">
        <w:rPr>
          <w:rFonts w:eastAsiaTheme="minorEastAsia"/>
        </w:rPr>
        <w:t xml:space="preserve"> </w:t>
      </w:r>
      <w:r w:rsidRPr="00C10921">
        <w:rPr>
          <w:rFonts w:eastAsiaTheme="minorEastAsia"/>
        </w:rPr>
        <w:t>(2019) assumed lower recovery rates for infected bats. Due to the less extensive periods of torpor likely to be experienced by SBWB</w:t>
      </w:r>
      <w:r w:rsidR="00484A45">
        <w:rPr>
          <w:rFonts w:eastAsiaTheme="minorEastAsia"/>
        </w:rPr>
        <w:t>s,</w:t>
      </w:r>
      <w:r w:rsidRPr="00C10921">
        <w:rPr>
          <w:rFonts w:eastAsiaTheme="minorEastAsia"/>
        </w:rPr>
        <w:t xml:space="preserve"> we assumed the recovery rate of infected bats was </w:t>
      </w:r>
      <w:proofErr w:type="gramStart"/>
      <w:r w:rsidRPr="00C10921">
        <w:rPr>
          <w:rFonts w:eastAsiaTheme="minorEastAsia"/>
        </w:rPr>
        <w:t>similar to</w:t>
      </w:r>
      <w:proofErr w:type="gramEnd"/>
      <w:r w:rsidRPr="00C10921">
        <w:rPr>
          <w:rFonts w:eastAsiaTheme="minorEastAsia"/>
        </w:rPr>
        <w:t xml:space="preserve"> exposed bats.</w:t>
      </w:r>
    </w:p>
    <w:p w14:paraId="2629C555" w14:textId="12A20606" w:rsidR="0035407E" w:rsidRDefault="0035407E" w:rsidP="00B72CAA">
      <w:pPr>
        <w:pStyle w:val="Heading4"/>
        <w:rPr>
          <w:rFonts w:eastAsiaTheme="minorEastAsia"/>
        </w:rPr>
      </w:pPr>
      <w:r>
        <w:rPr>
          <w:rFonts w:eastAsiaTheme="minorEastAsia"/>
        </w:rPr>
        <w:t>Scenarios</w:t>
      </w:r>
    </w:p>
    <w:p w14:paraId="17E23FDC" w14:textId="7CA0CF50" w:rsidR="001E3BCF" w:rsidRDefault="0035407E" w:rsidP="0035407E">
      <w:r w:rsidRPr="00C10921">
        <w:t>To investigate the likely impacts of WNS on SBWB</w:t>
      </w:r>
      <w:r w:rsidR="005A062B">
        <w:t>s</w:t>
      </w:r>
      <w:r w:rsidRPr="00C10921">
        <w:t xml:space="preserve">, we investigated the effects of the introduction of </w:t>
      </w:r>
      <w:r w:rsidRPr="00382668">
        <w:rPr>
          <w:i/>
          <w:iCs/>
        </w:rPr>
        <w:t>Pd</w:t>
      </w:r>
      <w:r w:rsidRPr="00C10921">
        <w:t xml:space="preserve"> into the cave sediments of the Warrnambool maternity cave.</w:t>
      </w:r>
      <w:r w:rsidR="00BE3EC4">
        <w:t xml:space="preserve"> </w:t>
      </w:r>
      <w:r w:rsidR="00BD75F2">
        <w:t xml:space="preserve">Since caves in this general region would all be potentially conducive to the growth of </w:t>
      </w:r>
      <w:r w:rsidR="00BD75F2" w:rsidRPr="00270D41">
        <w:rPr>
          <w:i/>
          <w:iCs/>
        </w:rPr>
        <w:t>Pd</w:t>
      </w:r>
      <w:r w:rsidR="00DE0FFE">
        <w:t xml:space="preserve">, and bats move </w:t>
      </w:r>
      <w:r w:rsidR="002C7FDF">
        <w:t>seasonally between caves</w:t>
      </w:r>
      <w:r w:rsidR="00BD75F2">
        <w:t xml:space="preserve">, whether the introduction of </w:t>
      </w:r>
      <w:r w:rsidR="00BD75F2" w:rsidRPr="00270D41">
        <w:rPr>
          <w:i/>
          <w:iCs/>
        </w:rPr>
        <w:t>Pd</w:t>
      </w:r>
      <w:r w:rsidR="00BD75F2">
        <w:t xml:space="preserve"> occurs in the maternity cave or non-breeding caves does not affect </w:t>
      </w:r>
      <w:r w:rsidR="00DE0FFE">
        <w:t>the outcomes from the model.</w:t>
      </w:r>
      <w:r w:rsidR="00BE3EC4">
        <w:t xml:space="preserve"> </w:t>
      </w:r>
      <w:r w:rsidRPr="00C10921">
        <w:t>We then investigated how varying the length of the torpor period by SBWB</w:t>
      </w:r>
      <w:r w:rsidR="00EF7335">
        <w:t>s</w:t>
      </w:r>
      <w:r w:rsidRPr="00C10921">
        <w:t xml:space="preserve"> would affect the epidemiology of WNS and the subsequent impacts on the bat population.</w:t>
      </w:r>
      <w:r w:rsidR="00BE3EC4">
        <w:t xml:space="preserve"> </w:t>
      </w:r>
      <w:r w:rsidRPr="00C10921">
        <w:t xml:space="preserve">For this purpose, the torpor period was varied between 5 and 60 days with the dynamics of </w:t>
      </w:r>
      <w:r w:rsidR="005A062B">
        <w:t xml:space="preserve">the </w:t>
      </w:r>
      <w:r w:rsidRPr="00C10921">
        <w:t>SBWB</w:t>
      </w:r>
      <w:r w:rsidR="005A062B">
        <w:t xml:space="preserve">, </w:t>
      </w:r>
      <w:r w:rsidRPr="00C10921">
        <w:t>and the epidemiology of WNS simulated over 10 years.</w:t>
      </w:r>
    </w:p>
    <w:p w14:paraId="2FB0DB19" w14:textId="7E68C54F" w:rsidR="00EE7C25" w:rsidRDefault="00EE7C25" w:rsidP="00EE7C25">
      <w:pPr>
        <w:pStyle w:val="Heading4"/>
      </w:pPr>
      <w:r>
        <w:t>WNS impacts</w:t>
      </w:r>
    </w:p>
    <w:p w14:paraId="3876119D" w14:textId="45CAB041" w:rsidR="00EE7C25" w:rsidRDefault="00EE7C25" w:rsidP="0035407E">
      <w:r>
        <w:t xml:space="preserve">The study of Meyer </w:t>
      </w:r>
      <w:r w:rsidRPr="00DA5824">
        <w:t>et al</w:t>
      </w:r>
      <w:r w:rsidRPr="005A062B">
        <w:t>.</w:t>
      </w:r>
      <w:r>
        <w:t xml:space="preserve"> (2016) modelled the impact of WNS on Little Brown Bats assuming a 7</w:t>
      </w:r>
      <w:r w:rsidR="005A062B">
        <w:t>-</w:t>
      </w:r>
      <w:r>
        <w:t>month hibernation phase</w:t>
      </w:r>
      <w:r w:rsidR="00EB3882">
        <w:t xml:space="preserve"> (i.e. 212 days)</w:t>
      </w:r>
      <w:r>
        <w:t xml:space="preserve">, which indicated an approximate 75% decline in the population after two years, with eventual extinction of the population within 10 years </w:t>
      </w:r>
      <w:r>
        <w:fldChar w:fldCharType="begin"/>
      </w:r>
      <w:r>
        <w:instrText xml:space="preserve"> ADDIN ZOTERO_ITEM CSL_CITATION {"citationID":"wXn4DUDY","properties":{"formattedCitation":"(Meyer {\\i{}et al.} 2016)","plainCitation":"(Meyer et al. 2016)","noteIndex":0},"citationItems":[{"id":9493,"uris":["http://zotero.org/users/634364/items/H23I7GUY"],"itemData":{"id":9493,"type":"article-journal","abstract":"White-nose syndrome (WNS) is a lethal infection of bats caused by the psychrophilic fungus Pseudogymnoascus destructans (Pd). Since the ﬁrst cases of WNS were documented in 2006, it is estimated that as many as 5.5 million bats have succumbed in the United States—one of the fastest mammalian die-offs due to disease ever observed, and the ﬁrst known sustained epizootic of bats. WNS is contagious between bats, and mounting evidence suggests that a persistent environmental reservoir of Pd plays a signiﬁcant role in transmission as well. It is unclear, however, the relative contributions of bat-to-bat and environment-to-bat transmission to disease propagation within a colony. We analyze a mathematical model to investigate the consequences of both avenues of transmission on colony survival in addition to the efﬁcacy of disease control strategies. Our model shows that selection of the most effective control strategies is highly dependent on the primary route of WNS transmission. Under all scenarios, however, generalized culling is ineffective and while targeted culling of infected bats may be effective under idealized conditions, it primarily has negative consequences. Thus, understanding the signiﬁcance of environment-to-bat transmission is paramount to designing effective management plans.","container-title":"Journal of Theoretical Biology","DOI":"10.1016/j.jtbi.2016.08.033","ISSN":"00225193","journalAbbreviation":"Journal of Theoretical Biology","language":"en","page":"60-69","source":"DOI.org (Crossref)","title":"Predicting bat colony survival under controls targeting multiple transmission routes of white-nose syndrome","volume":"409","author":[{"family":"Meyer","given":"A.D."},{"family":"Stevens","given":"D.F."},{"family":"Blackwood","given":"J.C."}],"issued":{"date-parts":[["2016",11]]}}}],"schema":"https://github.com/citation-style-language/schema/raw/master/csl-citation.json"} </w:instrText>
      </w:r>
      <w:r>
        <w:fldChar w:fldCharType="separate"/>
      </w:r>
      <w:r w:rsidRPr="00EE7C25">
        <w:t xml:space="preserve">(Meyer </w:t>
      </w:r>
      <w:r w:rsidRPr="00DA5824">
        <w:t>et al</w:t>
      </w:r>
      <w:r w:rsidRPr="00EE7C25">
        <w:rPr>
          <w:i/>
          <w:iCs/>
        </w:rPr>
        <w:t>.</w:t>
      </w:r>
      <w:r w:rsidRPr="00EE7C25">
        <w:t xml:space="preserve"> 2016)</w:t>
      </w:r>
      <w:r>
        <w:fldChar w:fldCharType="end"/>
      </w:r>
      <w:r w:rsidR="00431AF7">
        <w:t xml:space="preserve">. </w:t>
      </w:r>
      <w:r>
        <w:t>Our model for SBWB</w:t>
      </w:r>
      <w:r w:rsidR="005A062B">
        <w:t>s</w:t>
      </w:r>
      <w:r>
        <w:t>, assuming much of the same parameter values</w:t>
      </w:r>
      <w:r w:rsidR="005B6E1A">
        <w:t xml:space="preserve"> with a similar 7-month torpor period</w:t>
      </w:r>
      <w:r>
        <w:t>, g</w:t>
      </w:r>
      <w:r w:rsidR="00763C0E">
        <w:t>ave</w:t>
      </w:r>
      <w:r>
        <w:t xml:space="preserve"> qualitatively similar results (Figure </w:t>
      </w:r>
      <w:r w:rsidR="005E052B">
        <w:t>16a,</w:t>
      </w:r>
      <w:r w:rsidR="009778B6">
        <w:t xml:space="preserve"> </w:t>
      </w:r>
      <w:r w:rsidR="005E052B">
        <w:t>b</w:t>
      </w:r>
      <w:r>
        <w:t>)</w:t>
      </w:r>
      <w:r w:rsidR="00431AF7">
        <w:t xml:space="preserve">. </w:t>
      </w:r>
      <w:r w:rsidR="00F549AD">
        <w:t xml:space="preserve">Prevalence of exposed and infected bats reached </w:t>
      </w:r>
      <w:r w:rsidR="00902066">
        <w:t>37% and 22%, respectively in the first year of the outbreak (Figure 16a,</w:t>
      </w:r>
      <w:r w:rsidR="009778B6">
        <w:t xml:space="preserve"> </w:t>
      </w:r>
      <w:r w:rsidR="00902066">
        <w:t>b).</w:t>
      </w:r>
    </w:p>
    <w:p w14:paraId="7F441735" w14:textId="77777777" w:rsidR="00763C0E" w:rsidRDefault="00763C0E" w:rsidP="0035407E"/>
    <w:p w14:paraId="3EC3479C" w14:textId="1F5D3818" w:rsidR="00763C0E" w:rsidRPr="00C10921" w:rsidRDefault="005A760C" w:rsidP="0035407E">
      <w:r>
        <w:rPr>
          <w:noProof/>
        </w:rPr>
        <w:drawing>
          <wp:inline distT="0" distB="0" distL="0" distR="0" wp14:anchorId="563DAB9D" wp14:editId="6196A8A6">
            <wp:extent cx="6120765" cy="4066540"/>
            <wp:effectExtent l="0" t="0" r="0" b="0"/>
            <wp:docPr id="9357028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02844" name="Picture 935702844"/>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6120765" cy="4066540"/>
                    </a:xfrm>
                    <a:prstGeom prst="rect">
                      <a:avLst/>
                    </a:prstGeom>
                  </pic:spPr>
                </pic:pic>
              </a:graphicData>
            </a:graphic>
          </wp:inline>
        </w:drawing>
      </w:r>
    </w:p>
    <w:p w14:paraId="078FF40C" w14:textId="55D82B35" w:rsidR="0035407E" w:rsidRDefault="005E052B" w:rsidP="005E052B">
      <w:pPr>
        <w:pStyle w:val="Caption-Figure"/>
      </w:pPr>
      <w:bookmarkStart w:id="99" w:name="_Toc198634167"/>
      <w:r>
        <w:t>Figure 16</w:t>
      </w:r>
      <w:r w:rsidR="001B0606">
        <w:t>a</w:t>
      </w:r>
      <w:r>
        <w:t xml:space="preserve">. Predicted mean trajectories for each of the disease states following an outbreak of </w:t>
      </w:r>
      <w:r w:rsidR="00E07B96">
        <w:t>White Nose Syndrome</w:t>
      </w:r>
      <w:r>
        <w:t xml:space="preserve"> in a population of </w:t>
      </w:r>
      <w:r w:rsidR="00A67F12">
        <w:t>Southern Bent-wing Bats</w:t>
      </w:r>
      <w:r>
        <w:t xml:space="preserve"> assuming bats undergo a 7-month period of torpor. N – total </w:t>
      </w:r>
      <w:r w:rsidR="005A760C">
        <w:t xml:space="preserve">relative </w:t>
      </w:r>
      <w:r>
        <w:t>population</w:t>
      </w:r>
      <w:r w:rsidR="005A760C">
        <w:t xml:space="preserve"> size</w:t>
      </w:r>
      <w:r>
        <w:t xml:space="preserve">, S – </w:t>
      </w:r>
      <w:r w:rsidR="005A062B">
        <w:t>s</w:t>
      </w:r>
      <w:r>
        <w:t>usceptible, E – exposed, I – infected (</w:t>
      </w:r>
      <w:r w:rsidR="005A760C">
        <w:t>prevalence</w:t>
      </w:r>
      <w:r>
        <w:t>).</w:t>
      </w:r>
      <w:bookmarkEnd w:id="99"/>
    </w:p>
    <w:p w14:paraId="767BC473" w14:textId="77777777" w:rsidR="005E052B" w:rsidRDefault="005E052B" w:rsidP="0035407E"/>
    <w:p w14:paraId="0B3069B6" w14:textId="2504FEC0" w:rsidR="00763C0E" w:rsidRDefault="00851FEE" w:rsidP="0035407E">
      <w:r>
        <w:rPr>
          <w:noProof/>
        </w:rPr>
        <w:lastRenderedPageBreak/>
        <w:drawing>
          <wp:inline distT="0" distB="0" distL="0" distR="0" wp14:anchorId="4BADD208" wp14:editId="0434330A">
            <wp:extent cx="6120765" cy="4066540"/>
            <wp:effectExtent l="0" t="0" r="0" b="0"/>
            <wp:docPr id="1336848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4888" name="Picture 133684888"/>
                    <pic:cNvPicPr/>
                  </pic:nvPicPr>
                  <pic:blipFill>
                    <a:blip r:embed="rId58" cstate="screen">
                      <a:extLst>
                        <a:ext uri="{28A0092B-C50C-407E-A947-70E740481C1C}">
                          <a14:useLocalDpi xmlns:a14="http://schemas.microsoft.com/office/drawing/2010/main" val="0"/>
                        </a:ext>
                      </a:extLst>
                    </a:blip>
                    <a:stretch>
                      <a:fillRect/>
                    </a:stretch>
                  </pic:blipFill>
                  <pic:spPr>
                    <a:xfrm>
                      <a:off x="0" y="0"/>
                      <a:ext cx="6120765" cy="4066540"/>
                    </a:xfrm>
                    <a:prstGeom prst="rect">
                      <a:avLst/>
                    </a:prstGeom>
                  </pic:spPr>
                </pic:pic>
              </a:graphicData>
            </a:graphic>
          </wp:inline>
        </w:drawing>
      </w:r>
    </w:p>
    <w:p w14:paraId="01381AA4" w14:textId="4C1A2A1D" w:rsidR="00F549AD" w:rsidRDefault="00F549AD" w:rsidP="00F549AD">
      <w:pPr>
        <w:pStyle w:val="Caption-Figure"/>
      </w:pPr>
      <w:bookmarkStart w:id="100" w:name="_Toc198634168"/>
      <w:r>
        <w:t>Figure 1</w:t>
      </w:r>
      <w:r w:rsidR="001B0606">
        <w:t>6b</w:t>
      </w:r>
      <w:r w:rsidR="00431AF7">
        <w:t xml:space="preserve">. </w:t>
      </w:r>
      <w:r>
        <w:t>Predicted uncertainty in total relative population size (N)</w:t>
      </w:r>
      <w:r w:rsidR="00851FEE">
        <w:t>, Susceptible (S)</w:t>
      </w:r>
      <w:r>
        <w:t xml:space="preserve"> and infection prevalence (I) </w:t>
      </w:r>
      <w:r w:rsidR="00902066">
        <w:t xml:space="preserve">following an outbreak of </w:t>
      </w:r>
      <w:r w:rsidR="00E07B96">
        <w:t>White Nose Syndrome</w:t>
      </w:r>
      <w:r w:rsidR="00902066">
        <w:t xml:space="preserve"> in a population of </w:t>
      </w:r>
      <w:r w:rsidR="00A67F12">
        <w:t>Southern Bent-wing Bats</w:t>
      </w:r>
      <w:r w:rsidR="006F40B5">
        <w:t>,</w:t>
      </w:r>
      <w:r w:rsidR="00902066">
        <w:t xml:space="preserve"> assuming bats undergo a 7-month period of torpor. Trajectories were generated by varying k</w:t>
      </w:r>
      <w:r>
        <w:t xml:space="preserve">ey parameters by </w:t>
      </w:r>
      <m:oMath>
        <m:r>
          <m:rPr>
            <m:sty m:val="bi"/>
          </m:rPr>
          <w:rPr>
            <w:rFonts w:ascii="Cambria Math" w:hAnsi="Cambria Math"/>
          </w:rPr>
          <m:t>±</m:t>
        </m:r>
      </m:oMath>
      <w:r>
        <w:t xml:space="preserve"> 30% and simulating 250 sets of random parameter values using Latin hypercube sampling. Solid black line – mean, dashed black lines – 90% confidence intervals. Exposed states have been removed for clarity.</w:t>
      </w:r>
      <w:bookmarkEnd w:id="100"/>
    </w:p>
    <w:p w14:paraId="45295EC3" w14:textId="15D90AC6" w:rsidR="00763C0E" w:rsidRPr="00C10921" w:rsidRDefault="00763C0E" w:rsidP="0035407E"/>
    <w:p w14:paraId="38921A2C" w14:textId="4DFE3CC7" w:rsidR="0035407E" w:rsidRPr="00C10921" w:rsidRDefault="007614D0" w:rsidP="007614D0">
      <w:pPr>
        <w:pStyle w:val="Heading4"/>
        <w:rPr>
          <w:rFonts w:eastAsiaTheme="minorEastAsia"/>
        </w:rPr>
      </w:pPr>
      <w:r>
        <w:rPr>
          <w:rFonts w:eastAsiaTheme="minorEastAsia"/>
        </w:rPr>
        <w:t>Length of torpor and impacts of WNS</w:t>
      </w:r>
    </w:p>
    <w:p w14:paraId="44E77310" w14:textId="3B6DE129" w:rsidR="0035407E" w:rsidRDefault="0035407E" w:rsidP="0035407E">
      <w:r>
        <w:t>The impact of the introduction of WNS into the cave environment</w:t>
      </w:r>
      <w:r w:rsidR="00F8322E">
        <w:t>s</w:t>
      </w:r>
      <w:r>
        <w:t xml:space="preserve"> at Warrnambool was highly dependent on the period bats spent in torpor (Figure</w:t>
      </w:r>
      <w:r w:rsidR="006F40B5">
        <w:t>’</w:t>
      </w:r>
      <w:r>
        <w:t xml:space="preserve">s </w:t>
      </w:r>
      <w:r w:rsidR="00D5403E">
        <w:t>17</w:t>
      </w:r>
      <w:r>
        <w:t xml:space="preserve"> </w:t>
      </w:r>
      <w:r w:rsidR="006F40B5">
        <w:t>and</w:t>
      </w:r>
      <w:r>
        <w:t xml:space="preserve"> </w:t>
      </w:r>
      <w:r w:rsidR="00D5403E">
        <w:t>18</w:t>
      </w:r>
      <w:r>
        <w:t>).</w:t>
      </w:r>
      <w:r w:rsidR="00BE3EC4">
        <w:t xml:space="preserve"> </w:t>
      </w:r>
      <w:r>
        <w:t xml:space="preserve">Only minor impacts on population abundance were observed for periods of torpor lasting up to 10 days, with predicted reductions of around </w:t>
      </w:r>
      <w:r w:rsidR="005B1B02">
        <w:t>7</w:t>
      </w:r>
      <w:r>
        <w:t>% after 10 years and peak prevalence of WNS reaching 5%.</w:t>
      </w:r>
      <w:r w:rsidR="00BE3EC4">
        <w:t xml:space="preserve"> </w:t>
      </w:r>
      <w:r>
        <w:t xml:space="preserve">However, longer periods of torpor lasting </w:t>
      </w:r>
      <w:r w:rsidR="005B1B02">
        <w:t>30</w:t>
      </w:r>
      <w:r>
        <w:t xml:space="preserve"> or </w:t>
      </w:r>
      <w:r w:rsidR="005B1B02">
        <w:t>6</w:t>
      </w:r>
      <w:r>
        <w:t>0 days resulted in corresponding decreases over 10 years of 2</w:t>
      </w:r>
      <w:r w:rsidR="005B1B02">
        <w:t>7</w:t>
      </w:r>
      <w:r>
        <w:t xml:space="preserve">% and </w:t>
      </w:r>
      <w:r w:rsidR="005B1B02">
        <w:t>63</w:t>
      </w:r>
      <w:r>
        <w:t xml:space="preserve">%, respectively with peak prevalence of WNS reaching </w:t>
      </w:r>
      <w:r w:rsidR="005B1B02">
        <w:t>12</w:t>
      </w:r>
      <w:r w:rsidR="006F40B5">
        <w:t>–</w:t>
      </w:r>
      <w:r w:rsidR="005B1B02">
        <w:t>21</w:t>
      </w:r>
      <w:r>
        <w:t>% (Figure</w:t>
      </w:r>
      <w:r w:rsidR="006F40B5">
        <w:t>’s</w:t>
      </w:r>
      <w:r>
        <w:t xml:space="preserve"> </w:t>
      </w:r>
      <w:r w:rsidR="002058FE">
        <w:t>17</w:t>
      </w:r>
      <w:r>
        <w:t xml:space="preserve"> </w:t>
      </w:r>
      <w:r w:rsidR="006F40B5">
        <w:t>and</w:t>
      </w:r>
      <w:r>
        <w:t xml:space="preserve"> </w:t>
      </w:r>
      <w:r w:rsidR="002058FE">
        <w:t>18</w:t>
      </w:r>
      <w:r>
        <w:t>).</w:t>
      </w:r>
      <w:r w:rsidR="00BE3EC4">
        <w:t xml:space="preserve"> </w:t>
      </w:r>
    </w:p>
    <w:p w14:paraId="7E35FE1B" w14:textId="0163BD76" w:rsidR="0035407E" w:rsidRDefault="00A85CB5" w:rsidP="0035407E">
      <w:r>
        <w:rPr>
          <w:noProof/>
        </w:rPr>
        <w:lastRenderedPageBreak/>
        <w:drawing>
          <wp:inline distT="0" distB="0" distL="0" distR="0" wp14:anchorId="73F3146B" wp14:editId="2D49D319">
            <wp:extent cx="6120765" cy="4886325"/>
            <wp:effectExtent l="0" t="0" r="0" b="9525"/>
            <wp:docPr id="571437820" name="Picture 3" descr="A graph of days in torp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37820" name="Picture 3" descr="A graph of days in torpor&#10;&#10;AI-generated content may be incorrect."/>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6120765" cy="4886325"/>
                    </a:xfrm>
                    <a:prstGeom prst="rect">
                      <a:avLst/>
                    </a:prstGeom>
                  </pic:spPr>
                </pic:pic>
              </a:graphicData>
            </a:graphic>
          </wp:inline>
        </w:drawing>
      </w:r>
    </w:p>
    <w:p w14:paraId="78625514" w14:textId="26691C4C" w:rsidR="0035407E" w:rsidRDefault="0035407E" w:rsidP="003D4DA6">
      <w:pPr>
        <w:pStyle w:val="Caption-Figure"/>
      </w:pPr>
      <w:bookmarkStart w:id="101" w:name="_Toc198634169"/>
      <w:r w:rsidRPr="003929B5">
        <w:t xml:space="preserve">Figure </w:t>
      </w:r>
      <w:r w:rsidR="001B440E">
        <w:t>17</w:t>
      </w:r>
      <w:r>
        <w:t>.</w:t>
      </w:r>
      <w:r w:rsidR="00BE3EC4">
        <w:t xml:space="preserve"> </w:t>
      </w:r>
      <w:r>
        <w:t xml:space="preserve">Population trajectories of </w:t>
      </w:r>
      <w:r w:rsidR="00852BEB">
        <w:t xml:space="preserve">the </w:t>
      </w:r>
      <w:r>
        <w:t>SBWB following an incursion of WNS for varying number</w:t>
      </w:r>
      <w:r w:rsidR="00852BEB">
        <w:t>s</w:t>
      </w:r>
      <w:r>
        <w:t xml:space="preserve"> of days spent in torpor by bats during winter (see text for details). N – total population (relative to </w:t>
      </w:r>
      <w:r w:rsidR="000A621C">
        <w:t>starting population</w:t>
      </w:r>
      <w:r>
        <w:t>); I – prevalence of infected bats</w:t>
      </w:r>
      <w:r w:rsidR="000A621C">
        <w:t xml:space="preserve"> (proportion of current population infected)</w:t>
      </w:r>
      <w:r>
        <w:t>. Light blue and red lines indicate trajectories from each simulation while black solid and dashed lines indicate the mean and 90% confidence intervals</w:t>
      </w:r>
      <w:r w:rsidR="00852BEB">
        <w:t>, respectively</w:t>
      </w:r>
      <w:r>
        <w:t>.</w:t>
      </w:r>
      <w:bookmarkEnd w:id="101"/>
    </w:p>
    <w:p w14:paraId="6F66E975" w14:textId="77777777" w:rsidR="0035407E" w:rsidRDefault="0035407E" w:rsidP="0035407E"/>
    <w:p w14:paraId="5A171DD2" w14:textId="77777777" w:rsidR="0035407E" w:rsidRDefault="0035407E" w:rsidP="0035407E">
      <w:r>
        <w:t xml:space="preserve"> </w:t>
      </w:r>
    </w:p>
    <w:p w14:paraId="43DFE5EB" w14:textId="6A6809FE" w:rsidR="0035407E" w:rsidRDefault="00A85CB5" w:rsidP="0035407E">
      <w:pPr>
        <w:jc w:val="center"/>
      </w:pPr>
      <w:r>
        <w:rPr>
          <w:noProof/>
        </w:rPr>
        <w:lastRenderedPageBreak/>
        <w:drawing>
          <wp:inline distT="0" distB="0" distL="0" distR="0" wp14:anchorId="61F07FBC" wp14:editId="69383B5A">
            <wp:extent cx="5400000" cy="3351600"/>
            <wp:effectExtent l="0" t="0" r="0" b="1270"/>
            <wp:docPr id="330065444" name="Picture 2" descr="A graph with red and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65444" name="Picture 2" descr="A graph with red and black squares&#10;&#10;AI-generated content may be incorrect."/>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5400000" cy="3351600"/>
                    </a:xfrm>
                    <a:prstGeom prst="rect">
                      <a:avLst/>
                    </a:prstGeom>
                  </pic:spPr>
                </pic:pic>
              </a:graphicData>
            </a:graphic>
          </wp:inline>
        </w:drawing>
      </w:r>
    </w:p>
    <w:p w14:paraId="7F844009" w14:textId="2A7E30E4" w:rsidR="0035407E" w:rsidRDefault="0035407E" w:rsidP="003D4DA6">
      <w:pPr>
        <w:pStyle w:val="Caption-Figure"/>
      </w:pPr>
      <w:bookmarkStart w:id="102" w:name="_Toc198634170"/>
      <w:r w:rsidRPr="006C7E5D">
        <w:t xml:space="preserve">Figure </w:t>
      </w:r>
      <w:r w:rsidR="001B440E">
        <w:t>18</w:t>
      </w:r>
      <w:r>
        <w:t>.</w:t>
      </w:r>
      <w:r w:rsidR="00BE3EC4">
        <w:t xml:space="preserve"> </w:t>
      </w:r>
      <w:r w:rsidR="009147AF">
        <w:t>Relative population size</w:t>
      </w:r>
      <w:r>
        <w:t xml:space="preserve"> after 10 years following an introduction of WNS into the SBWB population in Warrnambool cave</w:t>
      </w:r>
      <w:r w:rsidR="006C0954">
        <w:t>,</w:t>
      </w:r>
      <w:r>
        <w:t xml:space="preserve"> for various periods </w:t>
      </w:r>
      <w:r w:rsidR="0067293E">
        <w:t xml:space="preserve">(days) </w:t>
      </w:r>
      <w:r>
        <w:t xml:space="preserve">spent in </w:t>
      </w:r>
      <w:r w:rsidR="005B1B02">
        <w:t xml:space="preserve">winter </w:t>
      </w:r>
      <w:r>
        <w:t>torpor</w:t>
      </w:r>
      <w:r w:rsidR="005B1B02">
        <w:t xml:space="preserve"> each year</w:t>
      </w:r>
      <w:r>
        <w:t>.</w:t>
      </w:r>
      <w:bookmarkEnd w:id="102"/>
    </w:p>
    <w:p w14:paraId="0F99870B" w14:textId="77777777" w:rsidR="0035407E" w:rsidRDefault="0035407E" w:rsidP="0035407E"/>
    <w:p w14:paraId="0FDE6885" w14:textId="0C47DB80" w:rsidR="0035407E" w:rsidRDefault="00164255" w:rsidP="007614D0">
      <w:pPr>
        <w:pStyle w:val="Heading4"/>
      </w:pPr>
      <w:r>
        <w:t>Conclusions</w:t>
      </w:r>
    </w:p>
    <w:p w14:paraId="625C80A5" w14:textId="345442F8" w:rsidR="0035407E" w:rsidRDefault="0035407E" w:rsidP="0035407E">
      <w:r w:rsidRPr="00810290">
        <w:t xml:space="preserve">Predictions of the potential impacts of WNS on </w:t>
      </w:r>
      <w:r w:rsidR="006C0954">
        <w:t xml:space="preserve">the </w:t>
      </w:r>
      <w:r w:rsidRPr="00810290">
        <w:t>SBWB in southern Victoria are dependent on the modelling assumptions used here.</w:t>
      </w:r>
      <w:r w:rsidR="00BE3EC4">
        <w:t xml:space="preserve"> </w:t>
      </w:r>
      <w:r w:rsidRPr="00810290">
        <w:t>The main assumption was that the susceptibility of</w:t>
      </w:r>
      <w:r w:rsidR="006C0954">
        <w:t xml:space="preserve"> the</w:t>
      </w:r>
      <w:r w:rsidRPr="00810290">
        <w:t xml:space="preserve"> SBWB to WNS </w:t>
      </w:r>
      <w:r w:rsidR="00ED276C">
        <w:t>was</w:t>
      </w:r>
      <w:r w:rsidRPr="00810290">
        <w:t xml:space="preserve"> </w:t>
      </w:r>
      <w:proofErr w:type="gramStart"/>
      <w:r w:rsidRPr="00810290">
        <w:t>similar to</w:t>
      </w:r>
      <w:proofErr w:type="gramEnd"/>
      <w:r w:rsidRPr="00810290">
        <w:t xml:space="preserve"> that experienced by many North American bat species, especially the </w:t>
      </w:r>
      <w:r w:rsidR="00A85CB5">
        <w:t>L</w:t>
      </w:r>
      <w:r w:rsidRPr="00810290">
        <w:t>ittle Brown Bat, which has been the basis for many of the parameter values used for the current model.</w:t>
      </w:r>
      <w:r w:rsidR="00BE3EC4">
        <w:t xml:space="preserve"> </w:t>
      </w:r>
      <w:r w:rsidRPr="00810290">
        <w:t>Susceptibility to WNS appears to vary widely among cave-dwelling bats inhabiting temperate regions</w:t>
      </w:r>
      <w:r w:rsidR="006C0954">
        <w:t>,</w:t>
      </w:r>
      <w:r w:rsidRPr="00810290">
        <w:t xml:space="preserve"> with the pathogen showing low levels of host specificity </w:t>
      </w:r>
      <w:r w:rsidR="009F7C8A">
        <w:fldChar w:fldCharType="begin"/>
      </w:r>
      <w:r w:rsidR="009F7C8A">
        <w:instrText xml:space="preserve"> ADDIN ZOTERO_ITEM CSL_CITATION {"citationID":"Bj9FJdh4","properties":{"formattedCitation":"(Wu {\\i{}et al.} 2025)","plainCitation":"(Wu et al. 2025)","noteIndex":0},"citationItems":[{"id":9719,"uris":["http://zotero.org/users/634364/items/LX5A6I45"],"itemData":{"id":9719,"type":"article-journal","container-title":"Conservation Biology","issue":"2","note":"publisher: Wiley Online Library","page":"e14390","title":"Vulnerability of Southern Hemisphere bats to white-nose syndrome based on global analysis of fungal host specificity and cave temperatures","volume":"39","author":[{"family":"Wu","given":"Nicholas C"},{"family":"Welbergen","given":"Justin A"},{"family":"Villada-Cadavid","given":"Tomás"},{"family":"Lumsden","given":"Lindy F"},{"family":"Turbill","given":"Christopher"}],"issued":{"date-parts":[["2025"]]}}}],"schema":"https://github.com/citation-style-language/schema/raw/master/csl-citation.json"} </w:instrText>
      </w:r>
      <w:r w:rsidR="009F7C8A">
        <w:fldChar w:fldCharType="separate"/>
      </w:r>
      <w:r w:rsidR="009F7C8A" w:rsidRPr="009F7C8A">
        <w:t xml:space="preserve">(Wu </w:t>
      </w:r>
      <w:r w:rsidR="009F7C8A" w:rsidRPr="00DA5824">
        <w:t>et al.</w:t>
      </w:r>
      <w:r w:rsidR="009F7C8A" w:rsidRPr="006C0954">
        <w:t xml:space="preserve"> </w:t>
      </w:r>
      <w:r w:rsidR="009F7C8A" w:rsidRPr="009F7C8A">
        <w:t>2025)</w:t>
      </w:r>
      <w:r w:rsidR="009F7C8A">
        <w:fldChar w:fldCharType="end"/>
      </w:r>
      <w:r w:rsidRPr="00810290">
        <w:t>.</w:t>
      </w:r>
      <w:r w:rsidR="00BE3EC4">
        <w:t xml:space="preserve"> </w:t>
      </w:r>
    </w:p>
    <w:p w14:paraId="672CC2C2" w14:textId="1F9A0667" w:rsidR="00B4477F" w:rsidRPr="00810290" w:rsidRDefault="00C83DE1" w:rsidP="0035407E">
      <w:r w:rsidRPr="00810290">
        <w:t>The current model assumes a fairly simple process for linking torpor periods to additional mortality due to WNS.</w:t>
      </w:r>
      <w:r w:rsidR="00BE3EC4">
        <w:t xml:space="preserve"> </w:t>
      </w:r>
      <w:r w:rsidRPr="00810290">
        <w:t>Additional structure encompassing more complex winter behaviour incorporating the frequency of periods of foraging and torpor</w:t>
      </w:r>
      <w:r w:rsidR="00FC0A3C">
        <w:t>,</w:t>
      </w:r>
      <w:r w:rsidRPr="00810290">
        <w:t xml:space="preserve"> would more realistically capture winter behaviour.</w:t>
      </w:r>
      <w:r w:rsidR="00BE3EC4">
        <w:t xml:space="preserve"> </w:t>
      </w:r>
      <w:r w:rsidR="000832F8">
        <w:t xml:space="preserve">However, </w:t>
      </w:r>
      <w:r w:rsidR="00953ABC">
        <w:t xml:space="preserve">this would require </w:t>
      </w:r>
      <w:r w:rsidR="0060732B">
        <w:t>i</w:t>
      </w:r>
      <w:r w:rsidR="000925AF">
        <w:t>nformation</w:t>
      </w:r>
      <w:r w:rsidR="00953ABC">
        <w:t xml:space="preserve"> </w:t>
      </w:r>
      <w:r w:rsidR="000925AF">
        <w:t>about how</w:t>
      </w:r>
      <w:r w:rsidR="000832F8">
        <w:t xml:space="preserve"> </w:t>
      </w:r>
      <w:r w:rsidR="000832F8" w:rsidRPr="00810290">
        <w:t>the frequency of different behaviours affects impacts from WNS</w:t>
      </w:r>
      <w:r w:rsidR="000925AF">
        <w:t>.</w:t>
      </w:r>
      <w:r w:rsidR="00BE3EC4">
        <w:t xml:space="preserve"> </w:t>
      </w:r>
      <w:r w:rsidR="00054C31">
        <w:t>For ex</w:t>
      </w:r>
      <w:r w:rsidR="004F02AB">
        <w:t>a</w:t>
      </w:r>
      <w:r w:rsidR="00054C31">
        <w:t>mple,</w:t>
      </w:r>
      <w:r w:rsidR="004F02AB">
        <w:t xml:space="preserve"> microclimate choice </w:t>
      </w:r>
      <w:r w:rsidR="000F1257">
        <w:t>by hibernating bats may</w:t>
      </w:r>
      <w:r w:rsidR="00C158E3">
        <w:t xml:space="preserve"> materially affect </w:t>
      </w:r>
      <w:r w:rsidR="00753E01">
        <w:t xml:space="preserve">growth of </w:t>
      </w:r>
      <w:r w:rsidR="00753E01" w:rsidRPr="00270D41">
        <w:rPr>
          <w:i/>
          <w:iCs/>
        </w:rPr>
        <w:t>Pd</w:t>
      </w:r>
      <w:r w:rsidR="00C158E3">
        <w:t>.</w:t>
      </w:r>
      <w:r w:rsidR="00BE3EC4">
        <w:t xml:space="preserve"> </w:t>
      </w:r>
      <w:r w:rsidR="00AA7E7E">
        <w:t xml:space="preserve">In addition, </w:t>
      </w:r>
      <w:r w:rsidR="00AB2DF2">
        <w:t xml:space="preserve">due to </w:t>
      </w:r>
      <w:r w:rsidR="00FC0A3C">
        <w:t xml:space="preserve">the </w:t>
      </w:r>
      <w:r w:rsidR="00AB2DF2">
        <w:t xml:space="preserve">low frequency and duration of torpor, </w:t>
      </w:r>
      <w:r w:rsidR="00C4213B">
        <w:t xml:space="preserve">infection with </w:t>
      </w:r>
      <w:r w:rsidR="00DC1BEC" w:rsidRPr="00270D41">
        <w:rPr>
          <w:i/>
          <w:iCs/>
        </w:rPr>
        <w:t>Pd</w:t>
      </w:r>
      <w:r w:rsidR="00C4213B">
        <w:t xml:space="preserve"> may only </w:t>
      </w:r>
      <w:r w:rsidR="0031492D">
        <w:t>result in sub-clinical disease</w:t>
      </w:r>
      <w:r w:rsidR="00253112">
        <w:t>.</w:t>
      </w:r>
      <w:r w:rsidR="00BE3EC4">
        <w:t xml:space="preserve"> </w:t>
      </w:r>
      <w:r w:rsidR="00253112">
        <w:t>However</w:t>
      </w:r>
      <w:r w:rsidR="0031492D">
        <w:t>,</w:t>
      </w:r>
      <w:r w:rsidR="00253112">
        <w:t xml:space="preserve"> this may still impact the </w:t>
      </w:r>
      <w:r w:rsidR="005D7E8A">
        <w:t xml:space="preserve">fitness of individuals </w:t>
      </w:r>
      <w:r w:rsidR="009462DC">
        <w:t>by</w:t>
      </w:r>
      <w:r w:rsidR="0031492D">
        <w:t xml:space="preserve"> </w:t>
      </w:r>
      <w:r w:rsidR="005D7E8A">
        <w:t>depleti</w:t>
      </w:r>
      <w:r w:rsidR="009462DC">
        <w:t>ng</w:t>
      </w:r>
      <w:r w:rsidR="005D7E8A">
        <w:t xml:space="preserve"> energy reserves</w:t>
      </w:r>
      <w:r w:rsidR="00D855C0">
        <w:t>.</w:t>
      </w:r>
      <w:r w:rsidR="005D7E8A">
        <w:t xml:space="preserve"> </w:t>
      </w:r>
      <w:r w:rsidR="00D855C0">
        <w:t>R</w:t>
      </w:r>
      <w:r w:rsidRPr="00810290">
        <w:t>esearch into winter torpor</w:t>
      </w:r>
      <w:r w:rsidR="00125B52">
        <w:t xml:space="preserve">, </w:t>
      </w:r>
      <w:r w:rsidR="00D40E80">
        <w:t xml:space="preserve">bat </w:t>
      </w:r>
      <w:r w:rsidR="00125B52">
        <w:t>immune responses</w:t>
      </w:r>
      <w:r w:rsidRPr="00810290">
        <w:t xml:space="preserve"> and activity in SBWB</w:t>
      </w:r>
      <w:r w:rsidR="00FC0A3C">
        <w:t>s</w:t>
      </w:r>
      <w:r w:rsidRPr="00810290">
        <w:t xml:space="preserve"> and other cave-dwelling bats is currently underway (Lindy Lumsden pers. comm.), which will be invaluable for determining the likely impacts of WNS on </w:t>
      </w:r>
      <w:r w:rsidR="00FC0A3C">
        <w:t xml:space="preserve">the </w:t>
      </w:r>
      <w:r w:rsidRPr="00810290">
        <w:t>SBWB.</w:t>
      </w:r>
    </w:p>
    <w:p w14:paraId="7769CDFE" w14:textId="47E94116" w:rsidR="00CC06ED" w:rsidRDefault="00CC06ED" w:rsidP="00C5029C">
      <w:pPr>
        <w:pStyle w:val="Heading3-Numbered"/>
      </w:pPr>
      <w:bookmarkStart w:id="103" w:name="_Toc198634115"/>
      <w:r>
        <w:t xml:space="preserve">Amphibian chytrid fungus in </w:t>
      </w:r>
      <w:r w:rsidR="00B84722">
        <w:t>Bell Frogs</w:t>
      </w:r>
      <w:bookmarkEnd w:id="103"/>
    </w:p>
    <w:p w14:paraId="51EB5882" w14:textId="0A7879D8" w:rsidR="00E74A63" w:rsidRPr="00EB16CF" w:rsidRDefault="00E74A63" w:rsidP="00E74A63">
      <w:pPr>
        <w:rPr>
          <w:rFonts w:eastAsiaTheme="minorEastAsia"/>
        </w:rPr>
      </w:pPr>
      <w:r w:rsidRPr="00EB16CF">
        <w:rPr>
          <w:rFonts w:eastAsiaTheme="minorEastAsia"/>
        </w:rPr>
        <w:t>Since its discovery during the 1990s, the amphibian fungal pathogen</w:t>
      </w:r>
      <w:r w:rsidR="00FC0A3C">
        <w:rPr>
          <w:rFonts w:eastAsiaTheme="minorEastAsia"/>
        </w:rPr>
        <w:t>,</w:t>
      </w:r>
      <w:r w:rsidRPr="00EB16CF">
        <w:rPr>
          <w:rFonts w:eastAsiaTheme="minorEastAsia"/>
        </w:rPr>
        <w:t xml:space="preserve"> </w:t>
      </w:r>
      <w:r w:rsidRPr="00C342A3">
        <w:rPr>
          <w:rFonts w:eastAsiaTheme="minorEastAsia"/>
          <w:i/>
          <w:iCs/>
        </w:rPr>
        <w:t>Batrachochytrium dendrobatidis</w:t>
      </w:r>
      <w:r w:rsidRPr="00EB16CF">
        <w:rPr>
          <w:rFonts w:eastAsiaTheme="minorEastAsia"/>
        </w:rPr>
        <w:t xml:space="preserve"> (</w:t>
      </w:r>
      <w:r w:rsidRPr="004725F4">
        <w:rPr>
          <w:rFonts w:eastAsiaTheme="minorEastAsia"/>
          <w:i/>
          <w:iCs/>
        </w:rPr>
        <w:t>Bd</w:t>
      </w:r>
      <w:r w:rsidRPr="00EB16CF">
        <w:rPr>
          <w:rFonts w:eastAsiaTheme="minorEastAsia"/>
        </w:rPr>
        <w:t>)</w:t>
      </w:r>
      <w:r w:rsidR="00FC0A3C">
        <w:rPr>
          <w:rFonts w:eastAsiaTheme="minorEastAsia"/>
        </w:rPr>
        <w:t xml:space="preserve"> –</w:t>
      </w:r>
      <w:r w:rsidRPr="00EB16CF">
        <w:rPr>
          <w:rFonts w:eastAsiaTheme="minorEastAsia"/>
        </w:rPr>
        <w:t xml:space="preserve"> the causative agent for </w:t>
      </w:r>
      <w:r w:rsidR="005B6E1A">
        <w:rPr>
          <w:rFonts w:eastAsiaTheme="minorEastAsia"/>
        </w:rPr>
        <w:t>c</w:t>
      </w:r>
      <w:r w:rsidR="000E0BE1">
        <w:rPr>
          <w:rFonts w:eastAsiaTheme="minorEastAsia"/>
        </w:rPr>
        <w:t>hytridiomycosis</w:t>
      </w:r>
      <w:r w:rsidRPr="00EB16CF">
        <w:rPr>
          <w:rFonts w:eastAsiaTheme="minorEastAsia"/>
        </w:rPr>
        <w:t xml:space="preserve"> (</w:t>
      </w:r>
      <w:r>
        <w:rPr>
          <w:rFonts w:eastAsiaTheme="minorEastAsia"/>
        </w:rPr>
        <w:t>c</w:t>
      </w:r>
      <w:r w:rsidRPr="00EB16CF">
        <w:rPr>
          <w:rFonts w:eastAsiaTheme="minorEastAsia"/>
        </w:rPr>
        <w:t>hytrid)</w:t>
      </w:r>
      <w:r w:rsidR="00FC0A3C">
        <w:rPr>
          <w:rFonts w:eastAsiaTheme="minorEastAsia"/>
        </w:rPr>
        <w:t>,</w:t>
      </w:r>
      <w:r w:rsidRPr="00EB16CF">
        <w:rPr>
          <w:rFonts w:eastAsiaTheme="minorEastAsia"/>
        </w:rPr>
        <w:t xml:space="preserve"> has been implicated in the global decline and extinction of frog species world-wide </w:t>
      </w:r>
      <w:r w:rsidRPr="00EB16CF">
        <w:rPr>
          <w:rFonts w:eastAsiaTheme="minorEastAsia"/>
        </w:rPr>
        <w:fldChar w:fldCharType="begin"/>
      </w:r>
      <w:r w:rsidR="009F541F">
        <w:rPr>
          <w:rFonts w:eastAsiaTheme="minorEastAsia"/>
        </w:rPr>
        <w:instrText xml:space="preserve"> ADDIN ZOTERO_ITEM CSL_CITATION {"citationID":"3eobFScU","properties":{"formattedCitation":"(Berger {\\i{}et al.} 1998; Briggs {\\i{}et al.} 2005; Skerratt {\\i{}et al.} 2007)","plainCitation":"(Berger et al. 1998; Briggs et al. 2005; Skerratt et al. 2007)","noteIndex":0},"citationItems":[{"id":3505,"uris":["http://zotero.org/users/634364/items/PUEYY3I2"],"itemData":{"id":3505,"type":"article-journal","container-title":"Proceedings of the National Academy of Sciences of the United States of America","issue":"15","note":"Citation Key: RN1020","page":"9031","title":"Chytridiomycosis causes amphibian mortality associated with population declines in the rain forests of Australia and Central America","volume":"95","author":[{"family":"Berger","given":"L"},{"family":"Speare","given":"R"},{"family":"Daszak","given":"P"},{"family":"Green","given":"D E"},{"family":"Cunningham","given":"A A"},{"family":"Goggin","given":"C L"},{"family":"Slocombe","given":"R"},{"family":"Ragan","given":"M A"},{"family":"Hyatt","given":"A D"},{"family":"McDonald","given":"K R"}],"issued":{"date-parts":[["1998"]]}}},{"id":9510,"uris":["http://zotero.org/users/634364/items/XGLHMAU2"],"itemData":{"id":9510,"type":"article-journal","abstract":"Chytridiomycosis is an emerging infectious disease that has recently been reported in amphibian populations throughout the world. It has been associated with many cases of population declines and extinctions. In some areas of the Sierra Nevada of California the disease appears to be the causal factor in the rapid extinction of local populations of the mountain yellow-legged frog, Rana muscosa, within a few years of the ﬁrst detection of the disease. In other areas, however, R. muscosa populations appear to persist for many years, despite high levels of infection in tadpoles. Here we present simple models of the dynamics of the disease within an individual lake and ask whether our current understanding of the disease is consistent with the ﬁeld survey observations of: (a) extinction due to the disease over a wide range of host population sizes, and (b) persistence of frog populations with the disease at some sites. Despite our laboratory observation of chytridiomycosis being invariably lethal to postmetamorphic frogs, the observed long-term persistence of infected frog populations can only be explained if at least some infected adult frogs survive and reproduce.","container-title":"Ecology","DOI":"10.1890/04-1428","ISSN":"0012-9658","issue":"12","journalAbbreviation":"Ecology","language":"en","license":"http://doi.wiley.com/10.1002/tdm_license_1.1","page":"3149-3159","source":"DOI.org (Crossref)","title":"INVESTIGATING THE POPULATION-LEVEL EFFECTS OF CHYTRIDIOMYCOSIS: AN EMERGING INFECTIOUS DISEASE OF AMPHIBIANS","title-short":"INVESTIGATING THE POPULATION-LEVEL EFFECTS OF CHYTRIDIOMYCOSIS","volume":"86","author":[{"family":"Briggs","given":"Cheryl J."},{"family":"Vredenburg","given":"Vance T."},{"family":"Knapp","given":"Roland A."},{"family":"Rachowicz","given":"Lara J."}],"issued":{"date-parts":[["2005",12]]}}},{"id":461,"uris":["http://zotero.org/users/634364/items/J56CIWXK"],"itemData":{"id":461,"type":"article-journal","container-title":"EcoHealth","ISSN":"1612-9202","issue":"2","note":"Citation Key: RN1419","page":"125-134","title":"Spread of chytridiomycosis has caused the rapid global decline and extinction of frogs","volume":"4","author":[{"family":"Skerratt","given":"Lee Francis"},{"family":"Berger","given":"Lee"},{"family":"Speare","given":"Richard"},{"family":"Cashins","given":"Scott"},{"family":"McDonald","given":"Keith Raymond"},{"family":"Phillott","given":"Andrea Dawn"},{"family":"Hines","given":"Harry Bryan"},{"family":"Kenyon","given":"Nicole"}],"issued":{"date-parts":[["2007"]]}}}],"schema":"https://github.com/citation-style-language/schema/raw/master/csl-citation.json"} </w:instrText>
      </w:r>
      <w:r w:rsidRPr="00EB16CF">
        <w:rPr>
          <w:rFonts w:eastAsiaTheme="minorEastAsia"/>
        </w:rPr>
        <w:fldChar w:fldCharType="separate"/>
      </w:r>
      <w:r w:rsidR="009F541F" w:rsidRPr="009F541F">
        <w:t>(Berger</w:t>
      </w:r>
      <w:r w:rsidR="009F541F" w:rsidRPr="00FC0A3C">
        <w:t xml:space="preserve"> </w:t>
      </w:r>
      <w:r w:rsidR="009F541F" w:rsidRPr="00DA5824">
        <w:t>et al.</w:t>
      </w:r>
      <w:r w:rsidR="009F541F" w:rsidRPr="00FC0A3C">
        <w:t xml:space="preserve"> 1998; Briggs </w:t>
      </w:r>
      <w:r w:rsidR="009F541F" w:rsidRPr="00DA5824">
        <w:t>et al.</w:t>
      </w:r>
      <w:r w:rsidR="009F541F" w:rsidRPr="00FC0A3C">
        <w:t xml:space="preserve"> 2005; Skerratt </w:t>
      </w:r>
      <w:r w:rsidR="009F541F" w:rsidRPr="00DA5824">
        <w:t>et al.</w:t>
      </w:r>
      <w:r w:rsidR="009F541F" w:rsidRPr="00FC0A3C">
        <w:t xml:space="preserve"> 2007)</w:t>
      </w:r>
      <w:r w:rsidRPr="00EB16CF">
        <w:rPr>
          <w:rFonts w:eastAsiaTheme="minorEastAsia"/>
        </w:rPr>
        <w:fldChar w:fldCharType="end"/>
      </w:r>
      <w:r w:rsidRPr="00EB16CF">
        <w:rPr>
          <w:rFonts w:eastAsiaTheme="minorEastAsia"/>
        </w:rPr>
        <w:t>.</w:t>
      </w:r>
      <w:r w:rsidR="00BE3EC4">
        <w:rPr>
          <w:rFonts w:eastAsiaTheme="minorEastAsia"/>
        </w:rPr>
        <w:t xml:space="preserve"> </w:t>
      </w:r>
      <w:r w:rsidRPr="00EB16CF">
        <w:rPr>
          <w:rFonts w:eastAsiaTheme="minorEastAsia"/>
        </w:rPr>
        <w:t xml:space="preserve">In Australia, </w:t>
      </w:r>
      <w:r w:rsidR="00C22886" w:rsidRPr="00C22886">
        <w:rPr>
          <w:rFonts w:eastAsiaTheme="minorEastAsia"/>
          <w:i/>
          <w:iCs/>
        </w:rPr>
        <w:t>Bd</w:t>
      </w:r>
      <w:r w:rsidRPr="00EB16CF">
        <w:rPr>
          <w:rFonts w:eastAsiaTheme="minorEastAsia"/>
        </w:rPr>
        <w:t xml:space="preserve"> most likely emerged in south-east Queensland in the 1970s before spreading rapidly north and south at a rate of about 100 km/year </w:t>
      </w:r>
      <w:r w:rsidRPr="00EB16CF">
        <w:rPr>
          <w:rFonts w:eastAsiaTheme="minorEastAsia"/>
        </w:rPr>
        <w:fldChar w:fldCharType="begin"/>
      </w:r>
      <w:r w:rsidR="009F541F">
        <w:rPr>
          <w:rFonts w:eastAsiaTheme="minorEastAsia"/>
        </w:rPr>
        <w:instrText xml:space="preserve"> ADDIN ZOTERO_ITEM CSL_CITATION {"citationID":"3CvPTRjB","properties":{"formattedCitation":"(Berger {\\i{}et al.} 2016)","plainCitation":"(Berger et al. 2016)","noteIndex":0},"citationItems":[{"id":9601,"uris":["http://zotero.org/users/634364/items/IZLFCPUE"],"itemData":{"id":9601,"type":"article-journal","abstract":"Batrachochytrium dendrobatidis (Bd) emerged in the 1970s in Australia and the Americas, causing rapid and catastrophic declines and extinctions of na€ıve amphibian populations as it spread through remote rainforest and alpine regions. The description of chytridiomycosis in 1998 stimulated a large and diverse global research effort, including studies on phylogeny, distribution, ecology, and virulence e but mitigating its effect remains a major challenge. In 2010 a second Batrachochytrium species, B. salamandrivorans (Bsal), emerged after spreading to Europe from Asia and has decimated ﬁre salamanders in the Netherlands and Belgium. Bsal appears to be restricted to salamanders and newts whereas Bd can infect all amphibian orders. These cases show that despite the current advanced state of globalisation, severe pathogens are still spreading and some may currently be excluded by geographic barriers, hence biosecurity still has potential to mitigate spread of undiscovered and unpredictable pathogens of wildlife.","container-title":"Fungal Ecology","DOI":"10.1016/j.funeco.2015.09.007","ISSN":"17545048","journalAbbreviation":"Fungal Ecology","language":"en","page":"89-99","source":"DOI.org (Crossref)","title":"History and recent progress on chytridiomycosis in amphibians","volume":"19","author":[{"family":"Berger","given":"Lee"},{"family":"Roberts","given":"Alexandra A."},{"family":"Voyles","given":"Jamie"},{"family":"Longcore","given":"Joyce E."},{"family":"Murray","given":"Kris A."},{"family":"Skerratt","given":"Lee F."}],"issued":{"date-parts":[["2016",2]]}}}],"schema":"https://github.com/citation-style-language/schema/raw/master/csl-citation.json"} </w:instrText>
      </w:r>
      <w:r w:rsidRPr="00EB16CF">
        <w:rPr>
          <w:rFonts w:eastAsiaTheme="minorEastAsia"/>
        </w:rPr>
        <w:fldChar w:fldCharType="separate"/>
      </w:r>
      <w:r w:rsidR="009F541F" w:rsidRPr="009F541F">
        <w:t>(Berge</w:t>
      </w:r>
      <w:r w:rsidR="009F541F" w:rsidRPr="00FC0A3C">
        <w:t xml:space="preserve">r </w:t>
      </w:r>
      <w:r w:rsidR="009F541F" w:rsidRPr="00DA5824">
        <w:t>et al.</w:t>
      </w:r>
      <w:r w:rsidR="009F541F" w:rsidRPr="00FC0A3C">
        <w:t xml:space="preserve"> </w:t>
      </w:r>
      <w:r w:rsidR="009F541F" w:rsidRPr="009F541F">
        <w:t>2016)</w:t>
      </w:r>
      <w:r w:rsidRPr="00EB16CF">
        <w:rPr>
          <w:rFonts w:eastAsiaTheme="minorEastAsia"/>
        </w:rPr>
        <w:fldChar w:fldCharType="end"/>
      </w:r>
      <w:r w:rsidRPr="00EB16CF">
        <w:rPr>
          <w:rFonts w:eastAsiaTheme="minorEastAsia"/>
        </w:rPr>
        <w:t xml:space="preserve">, reaching Western Australia during the 1980s </w:t>
      </w:r>
      <w:r w:rsidRPr="00EB16CF">
        <w:rPr>
          <w:rFonts w:eastAsiaTheme="minorEastAsia"/>
        </w:rPr>
        <w:fldChar w:fldCharType="begin"/>
      </w:r>
      <w:r w:rsidR="009F541F">
        <w:rPr>
          <w:rFonts w:eastAsiaTheme="minorEastAsia"/>
        </w:rPr>
        <w:instrText xml:space="preserve"> ADDIN ZOTERO_ITEM CSL_CITATION {"citationID":"oJ8WMv2B","properties":{"formattedCitation":"(Skerratt {\\i{}et al.} 2007)","plainCitation":"(Skerratt et al. 2007)","noteIndex":0},"citationItems":[{"id":461,"uris":["http://zotero.org/users/634364/items/J56CIWXK"],"itemData":{"id":461,"type":"article-journal","container-title":"EcoHealth","ISSN":"1612-9202","issue":"2","note":"Citation Key: RN1419","page":"125-134","title":"Spread of chytridiomycosis has caused the rapid global decline and extinction of frogs","volume":"4","author":[{"family":"Skerratt","given":"Lee Francis"},{"family":"Berger","given":"Lee"},{"family":"Speare","given":"Richard"},{"family":"Cashins","given":"Scott"},{"family":"McDonald","given":"Keith Raymond"},{"family":"Phillott","given":"Andrea Dawn"},{"family":"Hines","given":"Harry Bryan"},{"family":"Kenyon","given":"Nicole"}],"issued":{"date-parts":[["2007"]]}}}],"schema":"https://github.com/citation-style-language/schema/raw/master/csl-citation.json"} </w:instrText>
      </w:r>
      <w:r w:rsidRPr="00EB16CF">
        <w:rPr>
          <w:rFonts w:eastAsiaTheme="minorEastAsia"/>
        </w:rPr>
        <w:fldChar w:fldCharType="separate"/>
      </w:r>
      <w:r w:rsidR="009F541F" w:rsidRPr="009F541F">
        <w:t xml:space="preserve">(Skerratt </w:t>
      </w:r>
      <w:r w:rsidR="009F541F" w:rsidRPr="00DA5824">
        <w:t>et al.</w:t>
      </w:r>
      <w:r w:rsidR="009F541F" w:rsidRPr="009F541F">
        <w:t xml:space="preserve"> 2007)</w:t>
      </w:r>
      <w:r w:rsidRPr="00EB16CF">
        <w:rPr>
          <w:rFonts w:eastAsiaTheme="minorEastAsia"/>
        </w:rPr>
        <w:fldChar w:fldCharType="end"/>
      </w:r>
      <w:r w:rsidRPr="00EB16CF">
        <w:rPr>
          <w:rFonts w:eastAsiaTheme="minorEastAsia"/>
        </w:rPr>
        <w:t>.</w:t>
      </w:r>
      <w:r w:rsidR="00BE3EC4">
        <w:rPr>
          <w:rFonts w:eastAsiaTheme="minorEastAsia"/>
        </w:rPr>
        <w:t xml:space="preserve"> </w:t>
      </w:r>
      <w:r w:rsidR="00B64771" w:rsidRPr="00270D41">
        <w:rPr>
          <w:rFonts w:eastAsiaTheme="minorEastAsia"/>
          <w:i/>
          <w:iCs/>
        </w:rPr>
        <w:t>Bd</w:t>
      </w:r>
      <w:r w:rsidRPr="00EB16CF">
        <w:rPr>
          <w:rFonts w:eastAsiaTheme="minorEastAsia"/>
        </w:rPr>
        <w:t xml:space="preserve"> is now considered endemic in many regions of Australia</w:t>
      </w:r>
      <w:r w:rsidR="00FC0A3C">
        <w:rPr>
          <w:rFonts w:eastAsiaTheme="minorEastAsia"/>
        </w:rPr>
        <w:t xml:space="preserve">, </w:t>
      </w:r>
      <w:r w:rsidRPr="00EB16CF">
        <w:rPr>
          <w:rFonts w:eastAsiaTheme="minorEastAsia"/>
        </w:rPr>
        <w:t xml:space="preserve">resulting in seasonal outbreaks of disease in many frog species </w:t>
      </w:r>
      <w:r w:rsidRPr="00EB16CF">
        <w:rPr>
          <w:rFonts w:eastAsiaTheme="minorEastAsia"/>
        </w:rPr>
        <w:fldChar w:fldCharType="begin"/>
      </w:r>
      <w:r w:rsidR="009F541F">
        <w:rPr>
          <w:rFonts w:eastAsiaTheme="minorEastAsia"/>
        </w:rPr>
        <w:instrText xml:space="preserve"> ADDIN ZOTERO_ITEM CSL_CITATION {"citationID":"0nMrdIqN","properties":{"formattedCitation":"(Berger {\\i{}et al.} 2016)","plainCitation":"(Berger et al. 2016)","noteIndex":0},"citationItems":[{"id":9601,"uris":["http://zotero.org/users/634364/items/IZLFCPUE"],"itemData":{"id":9601,"type":"article-journal","abstract":"Batrachochytrium dendrobatidis (Bd) emerged in the 1970s in Australia and the Americas, causing rapid and catastrophic declines and extinctions of na€ıve amphibian populations as it spread through remote rainforest and alpine regions. The description of chytridiomycosis in 1998 stimulated a large and diverse global research effort, including studies on phylogeny, distribution, ecology, and virulence e but mitigating its effect remains a major challenge. In 2010 a second Batrachochytrium species, B. salamandrivorans (Bsal), emerged after spreading to Europe from Asia and has decimated ﬁre salamanders in the Netherlands and Belgium. Bsal appears to be restricted to salamanders and newts whereas Bd can infect all amphibian orders. These cases show that despite the current advanced state of globalisation, severe pathogens are still spreading and some may currently be excluded by geographic barriers, hence biosecurity still has potential to mitigate spread of undiscovered and unpredictable pathogens of wildlife.","container-title":"Fungal Ecology","DOI":"10.1016/j.funeco.2015.09.007","ISSN":"17545048","journalAbbreviation":"Fungal Ecology","language":"en","page":"89-99","source":"DOI.org (Crossref)","title":"History and recent progress on chytridiomycosis in amphibians","volume":"19","author":[{"family":"Berger","given":"Lee"},{"family":"Roberts","given":"Alexandra A."},{"family":"Voyles","given":"Jamie"},{"family":"Longcore","given":"Joyce E."},{"family":"Murray","given":"Kris A."},{"family":"Skerratt","given":"Lee F."}],"issued":{"date-parts":[["2016",2]]}}}],"schema":"https://github.com/citation-style-language/schema/raw/master/csl-citation.json"} </w:instrText>
      </w:r>
      <w:r w:rsidRPr="00EB16CF">
        <w:rPr>
          <w:rFonts w:eastAsiaTheme="minorEastAsia"/>
        </w:rPr>
        <w:fldChar w:fldCharType="separate"/>
      </w:r>
      <w:r w:rsidR="009F541F" w:rsidRPr="009F541F">
        <w:t xml:space="preserve">(Berger </w:t>
      </w:r>
      <w:r w:rsidR="009F541F" w:rsidRPr="00DA5824">
        <w:t>et al.</w:t>
      </w:r>
      <w:r w:rsidR="009F541F" w:rsidRPr="009F541F">
        <w:t xml:space="preserve"> 2016)</w:t>
      </w:r>
      <w:r w:rsidRPr="00EB16CF">
        <w:rPr>
          <w:rFonts w:eastAsiaTheme="minorEastAsia"/>
        </w:rPr>
        <w:fldChar w:fldCharType="end"/>
      </w:r>
      <w:r w:rsidRPr="00EB16CF">
        <w:rPr>
          <w:rFonts w:eastAsiaTheme="minorEastAsia"/>
        </w:rPr>
        <w:t xml:space="preserve">. </w:t>
      </w:r>
    </w:p>
    <w:p w14:paraId="34212693" w14:textId="7A976A5A" w:rsidR="005C09C6" w:rsidRPr="00EB16CF" w:rsidRDefault="005C09C6" w:rsidP="005C09C6">
      <w:pPr>
        <w:rPr>
          <w:rFonts w:eastAsiaTheme="minorEastAsia"/>
        </w:rPr>
      </w:pPr>
      <w:r w:rsidRPr="00EB16CF">
        <w:rPr>
          <w:rFonts w:eastAsiaTheme="minorEastAsia"/>
        </w:rPr>
        <w:t xml:space="preserve">The infective stage of </w:t>
      </w:r>
      <w:r w:rsidRPr="007B14A9">
        <w:rPr>
          <w:rFonts w:eastAsiaTheme="minorEastAsia"/>
          <w:i/>
          <w:iCs/>
        </w:rPr>
        <w:t>Bd</w:t>
      </w:r>
      <w:r w:rsidRPr="00EB16CF">
        <w:rPr>
          <w:rFonts w:eastAsiaTheme="minorEastAsia"/>
        </w:rPr>
        <w:t xml:space="preserve"> consists of flagellated zoospore</w:t>
      </w:r>
      <w:r w:rsidR="00FF392D">
        <w:rPr>
          <w:rFonts w:eastAsiaTheme="minorEastAsia"/>
        </w:rPr>
        <w:t>s</w:t>
      </w:r>
      <w:r w:rsidRPr="00EB16CF">
        <w:rPr>
          <w:rFonts w:eastAsiaTheme="minorEastAsia"/>
        </w:rPr>
        <w:t xml:space="preserve"> that </w:t>
      </w:r>
      <w:r w:rsidR="000D2415">
        <w:rPr>
          <w:rFonts w:eastAsiaTheme="minorEastAsia"/>
        </w:rPr>
        <w:t>infect</w:t>
      </w:r>
      <w:r w:rsidRPr="00EB16CF">
        <w:rPr>
          <w:rFonts w:eastAsiaTheme="minorEastAsia"/>
        </w:rPr>
        <w:t xml:space="preserve"> the epidermis of frogs </w:t>
      </w:r>
      <w:r w:rsidR="000D2415">
        <w:rPr>
          <w:rFonts w:eastAsiaTheme="minorEastAsia"/>
        </w:rPr>
        <w:t xml:space="preserve">and </w:t>
      </w:r>
      <w:r w:rsidRPr="00EB16CF">
        <w:rPr>
          <w:rFonts w:eastAsiaTheme="minorEastAsia"/>
        </w:rPr>
        <w:t>then develop into zoosporangia.</w:t>
      </w:r>
      <w:r w:rsidR="00BE3EC4">
        <w:rPr>
          <w:rFonts w:eastAsiaTheme="minorEastAsia"/>
        </w:rPr>
        <w:t xml:space="preserve"> </w:t>
      </w:r>
      <w:r w:rsidRPr="00EB16CF">
        <w:rPr>
          <w:rFonts w:eastAsiaTheme="minorEastAsia"/>
        </w:rPr>
        <w:t xml:space="preserve">Zoosporangia produce new zoospores through asexual reproduction, which are then released into the environment </w:t>
      </w:r>
      <w:r w:rsidRPr="00EB16CF">
        <w:rPr>
          <w:rFonts w:eastAsiaTheme="minorEastAsia"/>
        </w:rPr>
        <w:fldChar w:fldCharType="begin"/>
      </w:r>
      <w:r w:rsidR="009F541F">
        <w:rPr>
          <w:rFonts w:eastAsiaTheme="minorEastAsia"/>
        </w:rPr>
        <w:instrText xml:space="preserve"> ADDIN ZOTERO_ITEM CSL_CITATION {"citationID":"p6OtcCua","properties":{"formattedCitation":"(Vredenburg {\\i{}et al.} 2010; Kinney {\\i{}et al.} 2011)","plainCitation":"(Vredenburg et al. 2010; Kinney et al. 2011)","noteIndex":0},"citationItems":[{"id":2807,"uris":["http://zotero.org/users/634364/items/M9E3T58H","http://zotero.org/users/634364/items/ARVEEZWS"],"itemData":{"id":2807,"type":"article-journal","container-title":"Proceedings of the National Academy of Sciences","ISSN":"0027-8424","issue":"21","note":"Citation Key: RN1418","page":"9689-9694","title":"Dynamics of an emerging disease drive large-scale amphibian population extinctions","volume":"107","author":[{"family":"Vredenburg","given":"Vance T"},{"family":"Knapp","given":"Roland A"},{"family":"Tunstall","given":"Tate S"},{"family":"Briggs","given":"Cheryl J"}],"issued":{"date-parts":[["2010"]]}}},{"id":9591,"uris":["http://zotero.org/users/634364/items/E2SUQXYQ"],"itemData":{"id":9591,"type":"article-journal","abstract":"To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J."}],"editor":[{"family":"Nielsen","given":"Kirsten"}],"issued":{"date-parts":[["2011",3,10]]}}}],"schema":"https://github.com/citation-style-language/schema/raw/master/csl-citation.json"} </w:instrText>
      </w:r>
      <w:r w:rsidRPr="00EB16CF">
        <w:rPr>
          <w:rFonts w:eastAsiaTheme="minorEastAsia"/>
        </w:rPr>
        <w:fldChar w:fldCharType="separate"/>
      </w:r>
      <w:r w:rsidR="009F541F" w:rsidRPr="009F541F">
        <w:t xml:space="preserve">(Vredenburg </w:t>
      </w:r>
      <w:r w:rsidR="009F541F" w:rsidRPr="00DA5824">
        <w:t>et al.</w:t>
      </w:r>
      <w:r w:rsidR="009F541F" w:rsidRPr="0060388C">
        <w:t xml:space="preserve"> 2010; Kinney </w:t>
      </w:r>
      <w:r w:rsidR="009F541F" w:rsidRPr="00DA5824">
        <w:t>et al.</w:t>
      </w:r>
      <w:r w:rsidR="009F541F" w:rsidRPr="009F541F">
        <w:t xml:space="preserve"> 2011)</w:t>
      </w:r>
      <w:r w:rsidRPr="00EB16CF">
        <w:rPr>
          <w:rFonts w:eastAsiaTheme="minorEastAsia"/>
        </w:rPr>
        <w:fldChar w:fldCharType="end"/>
      </w:r>
      <w:r w:rsidRPr="00EB16CF">
        <w:rPr>
          <w:rFonts w:eastAsiaTheme="minorEastAsia"/>
        </w:rPr>
        <w:t>.</w:t>
      </w:r>
      <w:r w:rsidR="00BE3EC4">
        <w:rPr>
          <w:rFonts w:eastAsiaTheme="minorEastAsia"/>
        </w:rPr>
        <w:t xml:space="preserve"> </w:t>
      </w:r>
      <w:r w:rsidRPr="00EB16CF">
        <w:rPr>
          <w:rFonts w:eastAsiaTheme="minorEastAsia"/>
        </w:rPr>
        <w:t>Chytrid</w:t>
      </w:r>
      <w:r w:rsidR="00C22886">
        <w:rPr>
          <w:rFonts w:eastAsiaTheme="minorEastAsia"/>
        </w:rPr>
        <w:t>iomycosis</w:t>
      </w:r>
      <w:r w:rsidRPr="00EB16CF">
        <w:rPr>
          <w:rFonts w:eastAsiaTheme="minorEastAsia"/>
        </w:rPr>
        <w:t xml:space="preserve"> causes frog mortality by severely disrupting epidermal functions and causing osmotic imbalance.</w:t>
      </w:r>
      <w:r w:rsidR="00BE3EC4">
        <w:rPr>
          <w:rFonts w:eastAsiaTheme="minorEastAsia"/>
        </w:rPr>
        <w:t xml:space="preserve"> </w:t>
      </w:r>
      <w:r w:rsidRPr="00EB16CF">
        <w:rPr>
          <w:rFonts w:eastAsiaTheme="minorEastAsia"/>
        </w:rPr>
        <w:t xml:space="preserve">However, tadpoles appear to be little affected by the disease </w:t>
      </w:r>
      <w:r w:rsidRPr="00EB16CF">
        <w:rPr>
          <w:rFonts w:eastAsiaTheme="minorEastAsia"/>
        </w:rPr>
        <w:fldChar w:fldCharType="begin"/>
      </w:r>
      <w:r w:rsidR="009F541F">
        <w:rPr>
          <w:rFonts w:eastAsiaTheme="minorEastAsia"/>
        </w:rPr>
        <w:instrText xml:space="preserve"> ADDIN ZOTERO_ITEM CSL_CITATION {"citationID":"22vonVrW","properties":{"formattedCitation":"(Vredenburg {\\i{}et al.} 2010)","plainCitation":"(Vredenburg et al. 2010)","noteIndex":0},"citationItems":[{"id":2807,"uris":["http://zotero.org/users/634364/items/M9E3T58H","http://zotero.org/users/634364/items/ARVEEZWS"],"itemData":{"id":2807,"type":"article-journal","container-title":"Proceedings of the National Academy of Sciences","ISSN":"0027-8424","issue":"21","note":"Citation Key: RN1418","page":"9689-9694","title":"Dynamics of an emerging disease drive large-scale amphibian population extinctions","volume":"107","author":[{"family":"Vredenburg","given":"Vance T"},{"family":"Knapp","given":"Roland A"},{"family":"Tunstall","given":"Tate S"},{"family":"Briggs","given":"Cheryl J"}],"issued":{"date-parts":[["2010"]]}}}],"schema":"https://github.com/citation-style-language/schema/raw/master/csl-citation.json"} </w:instrText>
      </w:r>
      <w:r w:rsidRPr="00EB16CF">
        <w:rPr>
          <w:rFonts w:eastAsiaTheme="minorEastAsia"/>
        </w:rPr>
        <w:fldChar w:fldCharType="separate"/>
      </w:r>
      <w:r w:rsidR="009F541F" w:rsidRPr="009F541F">
        <w:t xml:space="preserve">(Vredenburg </w:t>
      </w:r>
      <w:r w:rsidR="009F541F" w:rsidRPr="00DA5824">
        <w:t>et al</w:t>
      </w:r>
      <w:r w:rsidR="009F541F" w:rsidRPr="009F541F">
        <w:rPr>
          <w:i/>
          <w:iCs/>
        </w:rPr>
        <w:t>.</w:t>
      </w:r>
      <w:r w:rsidR="009F541F" w:rsidRPr="009F541F">
        <w:t xml:space="preserve"> 2010)</w:t>
      </w:r>
      <w:r w:rsidRPr="00EB16CF">
        <w:rPr>
          <w:rFonts w:eastAsiaTheme="minorEastAsia"/>
        </w:rPr>
        <w:fldChar w:fldCharType="end"/>
      </w:r>
      <w:r w:rsidRPr="00EB16CF">
        <w:rPr>
          <w:rFonts w:eastAsiaTheme="minorEastAsia"/>
        </w:rPr>
        <w:t>.</w:t>
      </w:r>
      <w:r w:rsidR="00BE3EC4">
        <w:rPr>
          <w:rFonts w:eastAsiaTheme="minorEastAsia"/>
        </w:rPr>
        <w:t xml:space="preserve"> </w:t>
      </w:r>
      <w:r w:rsidRPr="00EB16CF">
        <w:rPr>
          <w:rFonts w:eastAsiaTheme="minorEastAsia"/>
        </w:rPr>
        <w:t xml:space="preserve">Favourable environments for the spread and growth of </w:t>
      </w:r>
      <w:r w:rsidR="00C22886" w:rsidRPr="00C22886">
        <w:rPr>
          <w:rFonts w:eastAsiaTheme="minorEastAsia"/>
          <w:i/>
          <w:iCs/>
        </w:rPr>
        <w:t>Bd</w:t>
      </w:r>
      <w:r w:rsidRPr="00EB16CF">
        <w:rPr>
          <w:rFonts w:eastAsiaTheme="minorEastAsia"/>
        </w:rPr>
        <w:t xml:space="preserve"> are cool and wet, with temperatures </w:t>
      </w:r>
      <w:r w:rsidR="0060388C">
        <w:rPr>
          <w:rFonts w:eastAsiaTheme="minorEastAsia"/>
        </w:rPr>
        <w:t>&gt;</w:t>
      </w:r>
      <w:r w:rsidRPr="00EB16CF">
        <w:rPr>
          <w:rFonts w:eastAsiaTheme="minorEastAsia"/>
        </w:rPr>
        <w:t>30</w:t>
      </w:r>
      <w:r w:rsidR="0060388C">
        <w:rPr>
          <w:rFonts w:eastAsiaTheme="minorEastAsia"/>
        </w:rPr>
        <w:t>°</w:t>
      </w:r>
      <w:r w:rsidRPr="00EB16CF">
        <w:rPr>
          <w:rFonts w:eastAsiaTheme="minorEastAsia"/>
        </w:rPr>
        <w:t>C being lethal for the pathogen and temperatures &gt;25</w:t>
      </w:r>
      <w:r w:rsidR="0060388C">
        <w:rPr>
          <w:rFonts w:eastAsiaTheme="minorEastAsia"/>
        </w:rPr>
        <w:t>°</w:t>
      </w:r>
      <w:r w:rsidRPr="00EB16CF">
        <w:rPr>
          <w:rFonts w:eastAsiaTheme="minorEastAsia"/>
        </w:rPr>
        <w:t xml:space="preserve">C </w:t>
      </w:r>
      <w:r w:rsidR="0060388C">
        <w:rPr>
          <w:rFonts w:eastAsiaTheme="minorEastAsia"/>
        </w:rPr>
        <w:t>potentially</w:t>
      </w:r>
      <w:r w:rsidR="0060388C" w:rsidRPr="00EB16CF">
        <w:rPr>
          <w:rFonts w:eastAsiaTheme="minorEastAsia"/>
        </w:rPr>
        <w:t xml:space="preserve"> </w:t>
      </w:r>
      <w:r w:rsidRPr="00EB16CF">
        <w:rPr>
          <w:rFonts w:eastAsiaTheme="minorEastAsia"/>
        </w:rPr>
        <w:t>allow</w:t>
      </w:r>
      <w:r w:rsidR="0060388C">
        <w:rPr>
          <w:rFonts w:eastAsiaTheme="minorEastAsia"/>
        </w:rPr>
        <w:t>ing</w:t>
      </w:r>
      <w:r w:rsidRPr="00EB16CF">
        <w:rPr>
          <w:rFonts w:eastAsiaTheme="minorEastAsia"/>
        </w:rPr>
        <w:t xml:space="preserve"> frogs to clear the disease </w:t>
      </w:r>
      <w:r w:rsidRPr="00EB16CF">
        <w:rPr>
          <w:rFonts w:eastAsiaTheme="minorEastAsia"/>
        </w:rPr>
        <w:fldChar w:fldCharType="begin"/>
      </w:r>
      <w:r w:rsidR="009F541F">
        <w:rPr>
          <w:rFonts w:eastAsiaTheme="minorEastAsia"/>
        </w:rPr>
        <w:instrText xml:space="preserve"> ADDIN ZOTERO_ITEM CSL_CITATION {"citationID":"KTo9fUVH","properties":{"formattedCitation":"(Kinney {\\i{}et al.} 2011; Waddle {\\i{}et al.} 2024)","plainCitation":"(Kinney et al. 2011; Waddle et al. 2024)","noteIndex":0},"citationItems":[{"id":9591,"uris":["http://zotero.org/users/634364/items/E2SUQXYQ"],"itemData":{"id":9591,"type":"article-journal","abstract":"To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EB16CF">
        <w:rPr>
          <w:rFonts w:eastAsiaTheme="minorEastAsia"/>
        </w:rPr>
        <w:fldChar w:fldCharType="separate"/>
      </w:r>
      <w:r w:rsidR="009F541F" w:rsidRPr="009F541F">
        <w:t xml:space="preserve">(Kinney </w:t>
      </w:r>
      <w:r w:rsidR="009F541F" w:rsidRPr="00DA5824">
        <w:t>et al.</w:t>
      </w:r>
      <w:r w:rsidR="009F541F" w:rsidRPr="0060388C">
        <w:t xml:space="preserve"> 2011; Waddle </w:t>
      </w:r>
      <w:r w:rsidR="009F541F" w:rsidRPr="00DA5824">
        <w:t>et al.</w:t>
      </w:r>
      <w:r w:rsidR="009F541F" w:rsidRPr="0060388C">
        <w:t xml:space="preserve"> </w:t>
      </w:r>
      <w:r w:rsidR="009F541F" w:rsidRPr="009F541F">
        <w:t>2024)</w:t>
      </w:r>
      <w:r w:rsidRPr="00EB16CF">
        <w:rPr>
          <w:rFonts w:eastAsiaTheme="minorEastAsia"/>
        </w:rPr>
        <w:fldChar w:fldCharType="end"/>
      </w:r>
      <w:r w:rsidRPr="00EB16CF">
        <w:rPr>
          <w:rFonts w:eastAsiaTheme="minorEastAsia"/>
        </w:rPr>
        <w:t>.</w:t>
      </w:r>
      <w:r w:rsidR="00BE3EC4">
        <w:rPr>
          <w:rFonts w:eastAsiaTheme="minorEastAsia"/>
        </w:rPr>
        <w:t xml:space="preserve"> </w:t>
      </w:r>
    </w:p>
    <w:p w14:paraId="76D1AF17" w14:textId="41A5EBF3" w:rsidR="005C09C6" w:rsidRPr="00EB16CF" w:rsidRDefault="00C156B8" w:rsidP="005C09C6">
      <w:pPr>
        <w:rPr>
          <w:rFonts w:eastAsiaTheme="minorEastAsia"/>
        </w:rPr>
      </w:pPr>
      <w:r>
        <w:rPr>
          <w:rFonts w:eastAsiaTheme="minorEastAsia"/>
        </w:rPr>
        <w:t>Among</w:t>
      </w:r>
      <w:r w:rsidR="005C09C6" w:rsidRPr="00EB16CF">
        <w:rPr>
          <w:rFonts w:eastAsiaTheme="minorEastAsia"/>
        </w:rPr>
        <w:t xml:space="preserve"> the species impacted by </w:t>
      </w:r>
      <w:r w:rsidR="00C22886" w:rsidRPr="00C22886">
        <w:rPr>
          <w:rFonts w:eastAsiaTheme="minorEastAsia"/>
          <w:i/>
          <w:iCs/>
        </w:rPr>
        <w:t>Bd</w:t>
      </w:r>
      <w:r w:rsidR="005C09C6" w:rsidRPr="00EB16CF">
        <w:rPr>
          <w:rFonts w:eastAsiaTheme="minorEastAsia"/>
        </w:rPr>
        <w:t xml:space="preserve"> in Australia are the </w:t>
      </w:r>
      <w:r w:rsidR="00B84722">
        <w:rPr>
          <w:rFonts w:eastAsiaTheme="minorEastAsia"/>
        </w:rPr>
        <w:t>Bell Frogs</w:t>
      </w:r>
      <w:r w:rsidR="005C09C6" w:rsidRPr="00EB16CF">
        <w:rPr>
          <w:rFonts w:eastAsiaTheme="minorEastAsia"/>
        </w:rPr>
        <w:t xml:space="preserve">, including the </w:t>
      </w:r>
      <w:r w:rsidR="00FC176A">
        <w:rPr>
          <w:rFonts w:eastAsiaTheme="minorEastAsia"/>
        </w:rPr>
        <w:t>G</w:t>
      </w:r>
      <w:r w:rsidR="005C09C6" w:rsidRPr="00EB16CF">
        <w:rPr>
          <w:rFonts w:eastAsiaTheme="minorEastAsia"/>
        </w:rPr>
        <w:t xml:space="preserve">reen and </w:t>
      </w:r>
      <w:r w:rsidR="00FC176A">
        <w:rPr>
          <w:rFonts w:eastAsiaTheme="minorEastAsia"/>
        </w:rPr>
        <w:t>G</w:t>
      </w:r>
      <w:r w:rsidR="005C09C6" w:rsidRPr="00EB16CF">
        <w:rPr>
          <w:rFonts w:eastAsiaTheme="minorEastAsia"/>
        </w:rPr>
        <w:t>olden Bell frog (</w:t>
      </w:r>
      <w:proofErr w:type="spellStart"/>
      <w:r w:rsidR="005C09C6" w:rsidRPr="00FC176A">
        <w:rPr>
          <w:rFonts w:eastAsiaTheme="minorEastAsia"/>
          <w:i/>
          <w:iCs/>
        </w:rPr>
        <w:t>Litoria</w:t>
      </w:r>
      <w:proofErr w:type="spellEnd"/>
      <w:r w:rsidR="005C09C6" w:rsidRPr="00FC176A">
        <w:rPr>
          <w:rFonts w:eastAsiaTheme="minorEastAsia"/>
          <w:i/>
          <w:iCs/>
        </w:rPr>
        <w:t xml:space="preserve"> </w:t>
      </w:r>
      <w:proofErr w:type="spellStart"/>
      <w:r w:rsidR="005C09C6" w:rsidRPr="00FC176A">
        <w:rPr>
          <w:rFonts w:eastAsiaTheme="minorEastAsia"/>
          <w:i/>
          <w:iCs/>
        </w:rPr>
        <w:t>aurea</w:t>
      </w:r>
      <w:proofErr w:type="spellEnd"/>
      <w:r w:rsidR="005C09C6" w:rsidRPr="00EB16CF">
        <w:rPr>
          <w:rFonts w:eastAsiaTheme="minorEastAsia"/>
        </w:rPr>
        <w:t xml:space="preserve">), </w:t>
      </w:r>
      <w:r w:rsidR="00FC176A">
        <w:rPr>
          <w:rFonts w:eastAsiaTheme="minorEastAsia"/>
        </w:rPr>
        <w:t>Y</w:t>
      </w:r>
      <w:r w:rsidR="005C09C6" w:rsidRPr="00EB16CF">
        <w:rPr>
          <w:rFonts w:eastAsiaTheme="minorEastAsia"/>
        </w:rPr>
        <w:t xml:space="preserve">ellow </w:t>
      </w:r>
      <w:r w:rsidR="00FC176A">
        <w:rPr>
          <w:rFonts w:eastAsiaTheme="minorEastAsia"/>
        </w:rPr>
        <w:t>Sp</w:t>
      </w:r>
      <w:r w:rsidR="005C09C6" w:rsidRPr="00EB16CF">
        <w:rPr>
          <w:rFonts w:eastAsiaTheme="minorEastAsia"/>
        </w:rPr>
        <w:t xml:space="preserve">otted </w:t>
      </w:r>
      <w:r w:rsidR="00FC176A">
        <w:rPr>
          <w:rFonts w:eastAsiaTheme="minorEastAsia"/>
        </w:rPr>
        <w:t>B</w:t>
      </w:r>
      <w:r w:rsidR="005C09C6" w:rsidRPr="00EB16CF">
        <w:rPr>
          <w:rFonts w:eastAsiaTheme="minorEastAsia"/>
        </w:rPr>
        <w:t xml:space="preserve">ell </w:t>
      </w:r>
      <w:r w:rsidR="00FC176A">
        <w:rPr>
          <w:rFonts w:eastAsiaTheme="minorEastAsia"/>
        </w:rPr>
        <w:t>F</w:t>
      </w:r>
      <w:r w:rsidR="005C09C6" w:rsidRPr="00EB16CF">
        <w:rPr>
          <w:rFonts w:eastAsiaTheme="minorEastAsia"/>
        </w:rPr>
        <w:t>rog (</w:t>
      </w:r>
      <w:r w:rsidR="005C09C6" w:rsidRPr="00FC176A">
        <w:rPr>
          <w:rFonts w:eastAsiaTheme="minorEastAsia"/>
          <w:i/>
          <w:iCs/>
        </w:rPr>
        <w:t>L. castanea</w:t>
      </w:r>
      <w:r w:rsidR="005C09C6" w:rsidRPr="00EB16CF">
        <w:rPr>
          <w:rFonts w:eastAsiaTheme="minorEastAsia"/>
        </w:rPr>
        <w:t xml:space="preserve">) and the </w:t>
      </w:r>
      <w:r w:rsidR="00FC176A">
        <w:rPr>
          <w:rFonts w:eastAsiaTheme="minorEastAsia"/>
        </w:rPr>
        <w:t>S</w:t>
      </w:r>
      <w:r w:rsidR="005C09C6" w:rsidRPr="00EB16CF">
        <w:rPr>
          <w:rFonts w:eastAsiaTheme="minorEastAsia"/>
        </w:rPr>
        <w:t xml:space="preserve">outhern </w:t>
      </w:r>
      <w:r w:rsidR="00FC176A">
        <w:rPr>
          <w:rFonts w:eastAsiaTheme="minorEastAsia"/>
        </w:rPr>
        <w:t>B</w:t>
      </w:r>
      <w:r w:rsidR="005C09C6" w:rsidRPr="00EB16CF">
        <w:rPr>
          <w:rFonts w:eastAsiaTheme="minorEastAsia"/>
        </w:rPr>
        <w:t xml:space="preserve">ell </w:t>
      </w:r>
      <w:r w:rsidR="00FC176A">
        <w:rPr>
          <w:rFonts w:eastAsiaTheme="minorEastAsia"/>
        </w:rPr>
        <w:t>F</w:t>
      </w:r>
      <w:r w:rsidR="005C09C6" w:rsidRPr="00EB16CF">
        <w:rPr>
          <w:rFonts w:eastAsiaTheme="minorEastAsia"/>
        </w:rPr>
        <w:t>rog (</w:t>
      </w:r>
      <w:r w:rsidR="005C09C6" w:rsidRPr="00FC176A">
        <w:rPr>
          <w:rFonts w:eastAsiaTheme="minorEastAsia"/>
          <w:i/>
          <w:iCs/>
        </w:rPr>
        <w:t>L.</w:t>
      </w:r>
      <w:r w:rsidR="0060388C">
        <w:rPr>
          <w:rFonts w:eastAsiaTheme="minorEastAsia"/>
        </w:rPr>
        <w:t> </w:t>
      </w:r>
      <w:proofErr w:type="spellStart"/>
      <w:r w:rsidR="005C09C6" w:rsidRPr="00FC176A">
        <w:rPr>
          <w:rFonts w:eastAsiaTheme="minorEastAsia"/>
          <w:i/>
          <w:iCs/>
        </w:rPr>
        <w:t>raniformis</w:t>
      </w:r>
      <w:proofErr w:type="spellEnd"/>
      <w:r w:rsidR="005C09C6" w:rsidRPr="00EB16CF">
        <w:rPr>
          <w:rFonts w:eastAsiaTheme="minorEastAsia"/>
        </w:rPr>
        <w:t>).</w:t>
      </w:r>
      <w:r w:rsidR="00BE3EC4">
        <w:rPr>
          <w:rFonts w:eastAsiaTheme="minorEastAsia"/>
        </w:rPr>
        <w:t xml:space="preserve"> </w:t>
      </w:r>
      <w:r w:rsidR="005C09C6" w:rsidRPr="00EB16CF">
        <w:rPr>
          <w:rFonts w:eastAsiaTheme="minorEastAsia"/>
        </w:rPr>
        <w:t xml:space="preserve">These </w:t>
      </w:r>
      <w:r w:rsidR="005C09C6" w:rsidRPr="00EB16CF">
        <w:rPr>
          <w:rFonts w:eastAsiaTheme="minorEastAsia"/>
        </w:rPr>
        <w:lastRenderedPageBreak/>
        <w:t xml:space="preserve">species have been largely extirpated from the high altitude tableland regions of the </w:t>
      </w:r>
      <w:r w:rsidR="005B6E1A">
        <w:rPr>
          <w:rFonts w:eastAsiaTheme="minorEastAsia"/>
        </w:rPr>
        <w:t>s</w:t>
      </w:r>
      <w:r w:rsidR="005C09C6" w:rsidRPr="00EB16CF">
        <w:rPr>
          <w:rFonts w:eastAsiaTheme="minorEastAsia"/>
        </w:rPr>
        <w:t xml:space="preserve">outhern </w:t>
      </w:r>
      <w:r w:rsidR="00BD033A">
        <w:rPr>
          <w:rFonts w:eastAsiaTheme="minorEastAsia"/>
        </w:rPr>
        <w:t>G</w:t>
      </w:r>
      <w:r w:rsidR="005C09C6" w:rsidRPr="00EB16CF">
        <w:rPr>
          <w:rFonts w:eastAsiaTheme="minorEastAsia"/>
        </w:rPr>
        <w:t xml:space="preserve">reat </w:t>
      </w:r>
      <w:r w:rsidR="00BD033A">
        <w:rPr>
          <w:rFonts w:eastAsiaTheme="minorEastAsia"/>
        </w:rPr>
        <w:t>D</w:t>
      </w:r>
      <w:r w:rsidR="005C09C6" w:rsidRPr="00EB16CF">
        <w:rPr>
          <w:rFonts w:eastAsiaTheme="minorEastAsia"/>
        </w:rPr>
        <w:t xml:space="preserve">ividing </w:t>
      </w:r>
      <w:r w:rsidR="00BD033A">
        <w:rPr>
          <w:rFonts w:eastAsiaTheme="minorEastAsia"/>
        </w:rPr>
        <w:t>R</w:t>
      </w:r>
      <w:r w:rsidR="005C09C6" w:rsidRPr="00EB16CF">
        <w:rPr>
          <w:rFonts w:eastAsiaTheme="minorEastAsia"/>
        </w:rPr>
        <w:t xml:space="preserve">ange where it is likely that the cool and wet conditions were conducive </w:t>
      </w:r>
      <w:r>
        <w:rPr>
          <w:rFonts w:eastAsiaTheme="minorEastAsia"/>
        </w:rPr>
        <w:t>to</w:t>
      </w:r>
      <w:r w:rsidR="005C09C6" w:rsidRPr="00EB16CF">
        <w:rPr>
          <w:rFonts w:eastAsiaTheme="minorEastAsia"/>
        </w:rPr>
        <w:t xml:space="preserve"> the rapid growth of </w:t>
      </w:r>
      <w:r w:rsidR="005C09C6" w:rsidRPr="0061188B">
        <w:rPr>
          <w:rFonts w:eastAsiaTheme="minorEastAsia"/>
          <w:i/>
          <w:iCs/>
        </w:rPr>
        <w:t>Bd</w:t>
      </w:r>
      <w:r w:rsidR="005C09C6" w:rsidRPr="00EB16CF">
        <w:rPr>
          <w:rFonts w:eastAsiaTheme="minorEastAsia"/>
        </w:rPr>
        <w:t xml:space="preserve"> </w:t>
      </w:r>
      <w:r w:rsidR="005C09C6" w:rsidRPr="00EB16CF">
        <w:rPr>
          <w:rFonts w:eastAsiaTheme="minorEastAsia"/>
        </w:rPr>
        <w:fldChar w:fldCharType="begin"/>
      </w:r>
      <w:r w:rsidR="009F541F">
        <w:rPr>
          <w:rFonts w:eastAsiaTheme="minorEastAsia"/>
        </w:rPr>
        <w:instrText xml:space="preserve"> ADDIN ZOTERO_ITEM CSL_CITATION {"citationID":"yQNL3ptC","properties":{"formattedCitation":"(Hamer {\\i{}et al.} 2010)","plainCitation":"(Hamer et al. 2010)","noteIndex":0},"citationItems":[{"id":9599,"uris":["http://zotero.org/users/634364/items/AW7GE7KB"],"itemData":{"id":9599,"type":"article-journal","abstract":"Amphibian populations have suffered declines and disappearances around the world. It is now recognized that many of the disappearances were the result of infection by the amphibian chytrid fungus Batrachochytrium dendrobatidis (Bd). Most global declines were first observed in the 1980s. Here, we used information from museum collections, natural-history databases and the literature to quantitatively assess the disappearance of the bell frog species complex (Litoria aurea, Litoria castanea and Litoria raniformis) in high-altitude Tableland regions of the Great Dividing Range, south-eastern Australia. Based on the sighting record, we estimated that Li. castanea disappeared on the Northern Tablelands in 1979, then from the Southern and Central Tablelands in 1984. Estimated dates of disappearance of Li. aurea and Li. raniformis from the Southern and Central Tablelands were 1981 and 1982, respectively. The Northern Tablelands populations of Li. castanea may have been one of the first high-altitude populations of frogs to disappear from Australasia and perhaps one of the first globally. We documented targeted searches of suitable habitat within the historic range of the three species in these Tableland regions since 1985, noting that only one bell frog population was discovered (Li. aurea, Southern Tablelands, 2000). Our Solow equation estimate of the probability of extant populations of bell frogs persisting up to the year 2000 was &lt;0.001, so the rediscovery of Li. aurea was mathematically exceptional. Although the cause of these declines remains unknown, the latitudinal (i.e. north to south) and rapid pattern of disappearance of Li. castanea, and the rapid contraction in the range of Li. aurea and Li. raniformis from high-altitude regions, strongly suggests a pathogen such as Bd was responsible. We recommend further surveys for bell frogs on the Tablelands, as the rediscovery of Li. aurea provides faint hope of finding other extant populations.","container-title":"Animal Conservation","issue":"3","note":"publisher: Wiley Online Library","page":"275–285","title":"Using probabilistic models to investigate the disappearance of a widespread frog-species complex in high-altitude regions of south-eastern Australia","volume":"13","author":[{"family":"Hamer","given":"AJ"},{"family":"Lane","given":"SJ"},{"family":"Mahony","given":"MJ"}],"issued":{"date-parts":[["2010"]]}}}],"schema":"https://github.com/citation-style-language/schema/raw/master/csl-citation.json"} </w:instrText>
      </w:r>
      <w:r w:rsidR="005C09C6" w:rsidRPr="00EB16CF">
        <w:rPr>
          <w:rFonts w:eastAsiaTheme="minorEastAsia"/>
        </w:rPr>
        <w:fldChar w:fldCharType="separate"/>
      </w:r>
      <w:r w:rsidR="009F541F" w:rsidRPr="009F541F">
        <w:t xml:space="preserve">(Hamer </w:t>
      </w:r>
      <w:r w:rsidR="009F541F" w:rsidRPr="00DA5824">
        <w:t>et al.</w:t>
      </w:r>
      <w:r w:rsidR="009F541F" w:rsidRPr="009F541F">
        <w:t xml:space="preserve"> 2010)</w:t>
      </w:r>
      <w:r w:rsidR="005C09C6" w:rsidRPr="00EB16CF">
        <w:rPr>
          <w:rFonts w:eastAsiaTheme="minorEastAsia"/>
        </w:rPr>
        <w:fldChar w:fldCharType="end"/>
      </w:r>
      <w:r w:rsidR="005C09C6" w:rsidRPr="00EB16CF">
        <w:rPr>
          <w:rFonts w:eastAsiaTheme="minorEastAsia"/>
        </w:rPr>
        <w:t>.</w:t>
      </w:r>
      <w:r w:rsidR="00BE3EC4">
        <w:rPr>
          <w:rFonts w:eastAsiaTheme="minorEastAsia"/>
        </w:rPr>
        <w:t xml:space="preserve"> </w:t>
      </w:r>
      <w:r w:rsidR="005C09C6" w:rsidRPr="00EB16CF">
        <w:rPr>
          <w:rFonts w:eastAsiaTheme="minorEastAsia"/>
        </w:rPr>
        <w:t xml:space="preserve">These species are now considered </w:t>
      </w:r>
      <w:r>
        <w:rPr>
          <w:rFonts w:eastAsiaTheme="minorEastAsia"/>
        </w:rPr>
        <w:t>threatened</w:t>
      </w:r>
      <w:r w:rsidR="005C09C6" w:rsidRPr="00EB16CF">
        <w:rPr>
          <w:rFonts w:eastAsiaTheme="minorEastAsia"/>
        </w:rPr>
        <w:t xml:space="preserve"> and persist largely in the warmer lowland parts of their former range where the environmental conditions are less suitable for </w:t>
      </w:r>
      <w:r w:rsidR="005C09C6" w:rsidRPr="0061188B">
        <w:rPr>
          <w:rFonts w:eastAsiaTheme="minorEastAsia"/>
          <w:i/>
          <w:iCs/>
        </w:rPr>
        <w:t>Bd</w:t>
      </w:r>
      <w:r w:rsidR="005C09C6" w:rsidRPr="00EB16CF">
        <w:rPr>
          <w:rFonts w:eastAsiaTheme="minorEastAsia"/>
        </w:rPr>
        <w:t xml:space="preserve"> growth </w:t>
      </w:r>
      <w:r w:rsidR="005C09C6" w:rsidRPr="00EB16CF">
        <w:rPr>
          <w:rFonts w:eastAsiaTheme="minorEastAsia"/>
        </w:rPr>
        <w:fldChar w:fldCharType="begin"/>
      </w:r>
      <w:r w:rsidR="009F541F">
        <w:rPr>
          <w:rFonts w:eastAsiaTheme="minorEastAsia"/>
        </w:rPr>
        <w:instrText xml:space="preserve"> ADDIN ZOTERO_ITEM CSL_CITATION {"citationID":"NFqPKNwx","properties":{"formattedCitation":"(Heard {\\i{}et al.} 2014)","plainCitation":"(Heard et al. 2014)","noteIndex":0},"citationItems":[{"id":5122,"uris":["http://zotero.org/users/634364/items/6SYZPYGI"],"itemData":{"id":5122,"type":"article-journal","abstract":"Identifying determinants of the probability and intensity of infections is important for understanding the epidemiology of wildlife diseases, and for managing their impact on threatened species. Chytridiomycosis, caused by the fungal pathogen Batrachochytrium dendrobatidis, has decimated populations of some amphibians. However, recent studies have identified important environmental constraints on the disease, related to the pathogen's physiological tolerances. In this study, we identified several intrinsic and extrinsic determinants of the probability and intensity of chytrid infections for the threatened growling grass frog (Litoria raniformis) in southeastern Australia, and used mark-recapture to estimate the effect of chytrid infections on the probability of survival of these frogs. Water temperature and salinity had negative effects on both the probability and intensity of chytrid infections. We coupled models of the infection process with a model of the effect of chytrid infections on the probability of survival to assess variation in the impact of chytridiomycosis between wetlands with differing temperature and salinity profiles. Our results suggest that warm, saline wetlands may be refuges from chytridiomycosis for L. raniformis, and should be priorities for protection. Our results also suggest that management actions that increase water temperature (e.g., reducing canopy shading) and salinity (e.g., complementing inflows with groundwater) could be trialed to reduce the impacts of chytridiomycosis on this species. This and other recent studies highlight the value of research on environmental risk factors for chytridiomycosis. © 2014 by the Ecological Society of America.","container-title":"Ecological Applications","DOI":"10.1890/13-0389.1","ISSN":"10510761","issue":"4","title":"Wetland characteristics influence disease risk for a threatened amphibian","volume":"24","author":[{"family":"Heard","given":"G.W."},{"family":"Scroggie","given":"M.P."},{"family":"Clemann","given":"N."},{"family":"Ramsey","given":"D.S.L."}],"issued":{"date-parts":[["2014"]]}}}],"schema":"https://github.com/citation-style-language/schema/raw/master/csl-citation.json"} </w:instrText>
      </w:r>
      <w:r w:rsidR="005C09C6" w:rsidRPr="00EB16CF">
        <w:rPr>
          <w:rFonts w:eastAsiaTheme="minorEastAsia"/>
        </w:rPr>
        <w:fldChar w:fldCharType="separate"/>
      </w:r>
      <w:r w:rsidR="009F541F" w:rsidRPr="009F541F">
        <w:t xml:space="preserve">(Heard </w:t>
      </w:r>
      <w:r w:rsidR="009F541F" w:rsidRPr="00DA5824">
        <w:t>et al</w:t>
      </w:r>
      <w:r w:rsidR="009F541F" w:rsidRPr="009F541F">
        <w:rPr>
          <w:i/>
          <w:iCs/>
        </w:rPr>
        <w:t>.</w:t>
      </w:r>
      <w:r w:rsidR="009F541F" w:rsidRPr="009F541F">
        <w:t xml:space="preserve"> 2014)</w:t>
      </w:r>
      <w:r w:rsidR="005C09C6" w:rsidRPr="00EB16CF">
        <w:rPr>
          <w:rFonts w:eastAsiaTheme="minorEastAsia"/>
        </w:rPr>
        <w:fldChar w:fldCharType="end"/>
      </w:r>
      <w:r w:rsidR="005C09C6" w:rsidRPr="00EB16CF">
        <w:rPr>
          <w:rFonts w:eastAsiaTheme="minorEastAsia"/>
        </w:rPr>
        <w:t>.</w:t>
      </w:r>
      <w:r w:rsidR="00BE3EC4">
        <w:rPr>
          <w:rFonts w:eastAsiaTheme="minorEastAsia"/>
        </w:rPr>
        <w:t xml:space="preserve"> </w:t>
      </w:r>
      <w:r w:rsidR="005C09C6" w:rsidRPr="00EB16CF">
        <w:rPr>
          <w:rFonts w:eastAsiaTheme="minorEastAsia"/>
        </w:rPr>
        <w:t xml:space="preserve">Studies have found that warm and saline wetlands provide refuges from </w:t>
      </w:r>
      <w:r w:rsidR="00C22886" w:rsidRPr="00C22886">
        <w:rPr>
          <w:rFonts w:eastAsiaTheme="minorEastAsia"/>
          <w:i/>
          <w:iCs/>
        </w:rPr>
        <w:t>Bd</w:t>
      </w:r>
      <w:r w:rsidR="00C22886">
        <w:rPr>
          <w:rFonts w:eastAsiaTheme="minorEastAsia"/>
        </w:rPr>
        <w:t xml:space="preserve"> </w:t>
      </w:r>
      <w:r w:rsidR="005C09C6" w:rsidRPr="00EB16CF">
        <w:rPr>
          <w:rFonts w:eastAsiaTheme="minorEastAsia"/>
        </w:rPr>
        <w:t xml:space="preserve">for </w:t>
      </w:r>
      <w:r w:rsidR="00057DE1">
        <w:rPr>
          <w:rFonts w:eastAsiaTheme="minorEastAsia"/>
        </w:rPr>
        <w:t>S</w:t>
      </w:r>
      <w:r w:rsidR="005C09C6" w:rsidRPr="00EB16CF">
        <w:rPr>
          <w:rFonts w:eastAsiaTheme="minorEastAsia"/>
        </w:rPr>
        <w:t xml:space="preserve">outhern </w:t>
      </w:r>
      <w:r w:rsidR="00B84722">
        <w:rPr>
          <w:rFonts w:eastAsiaTheme="minorEastAsia"/>
        </w:rPr>
        <w:t>Bell Frogs</w:t>
      </w:r>
      <w:r w:rsidR="00BD033A">
        <w:rPr>
          <w:rFonts w:eastAsiaTheme="minorEastAsia"/>
        </w:rPr>
        <w:t>,</w:t>
      </w:r>
      <w:r w:rsidR="005C09C6" w:rsidRPr="00EB16CF">
        <w:rPr>
          <w:rFonts w:eastAsiaTheme="minorEastAsia"/>
        </w:rPr>
        <w:t xml:space="preserve"> suggesting that these habitats should be priorities for conservation of the species </w:t>
      </w:r>
      <w:r w:rsidR="005C09C6" w:rsidRPr="00EB16CF">
        <w:rPr>
          <w:rFonts w:eastAsiaTheme="minorEastAsia"/>
        </w:rPr>
        <w:fldChar w:fldCharType="begin"/>
      </w:r>
      <w:r w:rsidR="009F541F">
        <w:rPr>
          <w:rFonts w:eastAsiaTheme="minorEastAsia"/>
        </w:rPr>
        <w:instrText xml:space="preserve"> ADDIN ZOTERO_ITEM CSL_CITATION {"citationID":"ssJvy4Qx","properties":{"formattedCitation":"(Heard {\\i{}et al.} 2014)","plainCitation":"(Heard et al. 2014)","noteIndex":0},"citationItems":[{"id":5122,"uris":["http://zotero.org/users/634364/items/6SYZPYGI"],"itemData":{"id":5122,"type":"article-journal","abstract":"Identifying determinants of the probability and intensity of infections is important for understanding the epidemiology of wildlife diseases, and for managing their impact on threatened species. Chytridiomycosis, caused by the fungal pathogen Batrachochytrium dendrobatidis, has decimated populations of some amphibians. However, recent studies have identified important environmental constraints on the disease, related to the pathogen's physiological tolerances. In this study, we identified several intrinsic and extrinsic determinants of the probability and intensity of chytrid infections for the threatened growling grass frog (Litoria raniformis) in southeastern Australia, and used mark-recapture to estimate the effect of chytrid infections on the probability of survival of these frogs. Water temperature and salinity had negative effects on both the probability and intensity of chytrid infections. We coupled models of the infection process with a model of the effect of chytrid infections on the probability of survival to assess variation in the impact of chytridiomycosis between wetlands with differing temperature and salinity profiles. Our results suggest that warm, saline wetlands may be refuges from chytridiomycosis for L. raniformis, and should be priorities for protection. Our results also suggest that management actions that increase water temperature (e.g., reducing canopy shading) and salinity (e.g., complementing inflows with groundwater) could be trialed to reduce the impacts of chytridiomycosis on this species. This and other recent studies highlight the value of research on environmental risk factors for chytridiomycosis. © 2014 by the Ecological Society of America.","container-title":"Ecological Applications","DOI":"10.1890/13-0389.1","ISSN":"10510761","issue":"4","title":"Wetland characteristics influence disease risk for a threatened amphibian","volume":"24","author":[{"family":"Heard","given":"G.W."},{"family":"Scroggie","given":"M.P."},{"family":"Clemann","given":"N."},{"family":"Ramsey","given":"D.S.L."}],"issued":{"date-parts":[["2014"]]}}}],"schema":"https://github.com/citation-style-language/schema/raw/master/csl-citation.json"} </w:instrText>
      </w:r>
      <w:r w:rsidR="005C09C6" w:rsidRPr="00EB16CF">
        <w:rPr>
          <w:rFonts w:eastAsiaTheme="minorEastAsia"/>
        </w:rPr>
        <w:fldChar w:fldCharType="separate"/>
      </w:r>
      <w:r w:rsidR="009F541F" w:rsidRPr="009F541F">
        <w:t xml:space="preserve">(Heard </w:t>
      </w:r>
      <w:r w:rsidR="009F541F" w:rsidRPr="00DA5824">
        <w:t>et al</w:t>
      </w:r>
      <w:r w:rsidR="009F541F" w:rsidRPr="009F541F">
        <w:rPr>
          <w:i/>
          <w:iCs/>
        </w:rPr>
        <w:t>.</w:t>
      </w:r>
      <w:r w:rsidR="009F541F" w:rsidRPr="009F541F">
        <w:t xml:space="preserve"> 2014)</w:t>
      </w:r>
      <w:r w:rsidR="005C09C6" w:rsidRPr="00EB16CF">
        <w:rPr>
          <w:rFonts w:eastAsiaTheme="minorEastAsia"/>
        </w:rPr>
        <w:fldChar w:fldCharType="end"/>
      </w:r>
      <w:r w:rsidR="005C09C6" w:rsidRPr="00EB16CF">
        <w:rPr>
          <w:rFonts w:eastAsiaTheme="minorEastAsia"/>
        </w:rPr>
        <w:t>.</w:t>
      </w:r>
    </w:p>
    <w:p w14:paraId="6536EF74" w14:textId="7DCF68F4" w:rsidR="005C09C6" w:rsidRPr="00EB16CF" w:rsidRDefault="00B52FD1" w:rsidP="005C09C6">
      <w:pPr>
        <w:rPr>
          <w:rFonts w:eastAsiaTheme="minorEastAsia"/>
        </w:rPr>
      </w:pPr>
      <w:r>
        <w:rPr>
          <w:rFonts w:eastAsiaTheme="minorEastAsia"/>
        </w:rPr>
        <w:t>Studies</w:t>
      </w:r>
      <w:r w:rsidR="005C09C6" w:rsidRPr="00EB16CF">
        <w:rPr>
          <w:rFonts w:eastAsiaTheme="minorEastAsia"/>
        </w:rPr>
        <w:t xml:space="preserve"> ha</w:t>
      </w:r>
      <w:r>
        <w:rPr>
          <w:rFonts w:eastAsiaTheme="minorEastAsia"/>
        </w:rPr>
        <w:t>ve</w:t>
      </w:r>
      <w:r w:rsidR="005C09C6" w:rsidRPr="00EB16CF">
        <w:rPr>
          <w:rFonts w:eastAsiaTheme="minorEastAsia"/>
        </w:rPr>
        <w:t xml:space="preserve"> demonstrated the role of temperature in mitigating the lethal effects of </w:t>
      </w:r>
      <w:r w:rsidR="005B6E1A">
        <w:rPr>
          <w:rFonts w:eastAsiaTheme="minorEastAsia"/>
        </w:rPr>
        <w:t>c</w:t>
      </w:r>
      <w:r w:rsidR="005C09C6" w:rsidRPr="00EB16CF">
        <w:rPr>
          <w:rFonts w:eastAsiaTheme="minorEastAsia"/>
        </w:rPr>
        <w:t>hytrid</w:t>
      </w:r>
      <w:r w:rsidR="00C22886">
        <w:rPr>
          <w:rFonts w:eastAsiaTheme="minorEastAsia"/>
        </w:rPr>
        <w:t>iomycosis</w:t>
      </w:r>
      <w:r w:rsidR="005C09C6" w:rsidRPr="00EB16CF">
        <w:rPr>
          <w:rFonts w:eastAsiaTheme="minorEastAsia"/>
        </w:rPr>
        <w:t xml:space="preserve"> in </w:t>
      </w:r>
      <w:r w:rsidR="00B84722">
        <w:rPr>
          <w:rFonts w:eastAsiaTheme="minorEastAsia"/>
        </w:rPr>
        <w:t>Bell Frogs</w:t>
      </w:r>
      <w:r w:rsidR="005C09C6" w:rsidRPr="00EB16CF">
        <w:rPr>
          <w:rFonts w:eastAsiaTheme="minorEastAsia"/>
        </w:rPr>
        <w:t xml:space="preserve"> </w:t>
      </w:r>
      <w:r w:rsidR="005C09C6" w:rsidRPr="00EB16CF">
        <w:rPr>
          <w:rFonts w:eastAsiaTheme="minorEastAsia"/>
        </w:rPr>
        <w:fldChar w:fldCharType="begin"/>
      </w:r>
      <w:r w:rsidR="009F541F">
        <w:rPr>
          <w:rFonts w:eastAsiaTheme="minorEastAsia"/>
        </w:rPr>
        <w:instrText xml:space="preserve"> ADDIN ZOTERO_ITEM CSL_CITATION {"citationID":"etC0aTVU","properties":{"formattedCitation":"(Heard {\\i{}et al.} 2014; Heard {\\i{}et al.} 2015; Waddle {\\i{}et al.} 2024)","plainCitation":"(Heard et al. 2014; Heard et al. 2015; Waddle et al. 2024)","noteIndex":0},"citationItems":[{"id":5122,"uris":["http://zotero.org/users/634364/items/6SYZPYGI"],"itemData":{"id":5122,"type":"article-journal","abstract":"Identifying determinants of the probability and intensity of infections is important for understanding the epidemiology of wildlife diseases, and for managing their impact on threatened species. Chytridiomycosis, caused by the fungal pathogen Batrachochytrium dendrobatidis, has decimated populations of some amphibians. However, recent studies have identified important environmental constraints on the disease, related to the pathogen's physiological tolerances. In this study, we identified several intrinsic and extrinsic determinants of the probability and intensity of chytrid infections for the threatened growling grass frog (Litoria raniformis) in southeastern Australia, and used mark-recapture to estimate the effect of chytrid infections on the probability of survival of these frogs. Water temperature and salinity had negative effects on both the probability and intensity of chytrid infections. We coupled models of the infection process with a model of the effect of chytrid infections on the probability of survival to assess variation in the impact of chytridiomycosis between wetlands with differing temperature and salinity profiles. Our results suggest that warm, saline wetlands may be refuges from chytridiomycosis for L. raniformis, and should be priorities for protection. Our results also suggest that management actions that increase water temperature (e.g., reducing canopy shading) and salinity (e.g., complementing inflows with groundwater) could be trialed to reduce the impacts of chytridiomycosis on this species. This and other recent studies highlight the value of research on environmental risk factors for chytridiomycosis. © 2014 by the Ecological Society of America.","container-title":"Ecological Applications","DOI":"10.1890/13-0389.1","ISSN":"10510761","issue":"4","title":"Wetland characteristics influence disease risk for a threatened amphibian","volume":"24","author":[{"family":"Heard","given":"G.W."},{"family":"Scroggie","given":"M.P."},{"family":"Clemann","given":"N."},{"family":"Ramsey","given":"D.S.L."}],"issued":{"date-parts":[["2014"]]}},"label":"page"},{"id":5123,"uris":["http://zotero.org/users/634364/items/TZQPIN8X"],"itemData":{"id":5123,"type":"article-journal","abstract":"Metapopulation persistence in fragmented landscapes depends on habitat patches that can support resilient local populations and sufficient connectivity between patches. Yet epidemiological theory for metapopulations has largely overlooked the capacity of particular patches to act as refuges from disease, and has suggested that connectivity can undermine persistence. Here, we show that relatively warm and saline wetlands are environmental refuges from chytridiomycosis for an endangered Australian frog, and act jointly with connectivity to sustain frog metapopulations. We coupled models of microclimate and infection probability to map chytrid prevalence, and demonstrate a strong negative relationship between chytrid prevalence and the persistence of frog populations. Simulations confirm that frog metapopulations are likely to go extinct when they lack environmental refuges from disease and lose connectivity between patches. This study demonstrates that environmental heterogeneity can mediate host-pathogen interactions in fragmented landscapes, and provides evidence that connectivity principally supports host metapopulations afflicted by facultative pathogens.","container-title":"Ecology Letters","DOI":"10.1111/ele.12463","ISSN":"14610248","issue":"8","title":"Refugia and connectivity sustain amphibian metapopulations afflicted by disease","volume":"18","author":[{"family":"Heard","given":"G.W."},{"family":"Thomas","given":"C.D."},{"family":"Hodgson","given":"J.A."},{"family":"Scroggie","given":"M.P."},{"family":"Ramsey","given":"D.S.L."},{"family":"Clemann","given":"N."}],"issued":{"date-parts":[["2015"]]}}},{"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005C09C6" w:rsidRPr="00EB16CF">
        <w:rPr>
          <w:rFonts w:eastAsiaTheme="minorEastAsia"/>
        </w:rPr>
        <w:fldChar w:fldCharType="separate"/>
      </w:r>
      <w:r w:rsidR="009F541F" w:rsidRPr="009F541F">
        <w:t>(Heard</w:t>
      </w:r>
      <w:r w:rsidR="009F541F" w:rsidRPr="00BD033A">
        <w:t xml:space="preserve"> </w:t>
      </w:r>
      <w:r w:rsidR="009F541F" w:rsidRPr="00DA5824">
        <w:t>et al.</w:t>
      </w:r>
      <w:r w:rsidR="009F541F" w:rsidRPr="00BD033A">
        <w:t xml:space="preserve"> 2014; Heard </w:t>
      </w:r>
      <w:r w:rsidR="009F541F" w:rsidRPr="00DA5824">
        <w:t>et al.</w:t>
      </w:r>
      <w:r w:rsidR="009F541F" w:rsidRPr="00BD033A">
        <w:t xml:space="preserve"> 2015; Waddle </w:t>
      </w:r>
      <w:r w:rsidR="009F541F" w:rsidRPr="00DA5824">
        <w:t>et al.</w:t>
      </w:r>
      <w:r w:rsidR="009F541F" w:rsidRPr="00BD033A">
        <w:t xml:space="preserve"> </w:t>
      </w:r>
      <w:r w:rsidR="009F541F" w:rsidRPr="009F541F">
        <w:t>2024)</w:t>
      </w:r>
      <w:r w:rsidR="005C09C6" w:rsidRPr="00EB16CF">
        <w:rPr>
          <w:rFonts w:eastAsiaTheme="minorEastAsia"/>
        </w:rPr>
        <w:fldChar w:fldCharType="end"/>
      </w:r>
      <w:r w:rsidR="005C09C6" w:rsidRPr="00EB16CF">
        <w:rPr>
          <w:rFonts w:eastAsiaTheme="minorEastAsia"/>
        </w:rPr>
        <w:t>.</w:t>
      </w:r>
      <w:r w:rsidR="00BE3EC4">
        <w:rPr>
          <w:rFonts w:eastAsiaTheme="minorEastAsia"/>
        </w:rPr>
        <w:t xml:space="preserve"> </w:t>
      </w:r>
      <w:r w:rsidR="007C681F">
        <w:rPr>
          <w:rFonts w:eastAsiaTheme="minorEastAsia"/>
        </w:rPr>
        <w:t xml:space="preserve">A recent </w:t>
      </w:r>
      <w:r w:rsidR="005C09C6" w:rsidRPr="00EB16CF">
        <w:rPr>
          <w:rFonts w:eastAsiaTheme="minorEastAsia"/>
        </w:rPr>
        <w:t xml:space="preserve">study found that the provision of artificial sunlight heated shelters allowed </w:t>
      </w:r>
      <w:r w:rsidR="00FC7CD0">
        <w:rPr>
          <w:rFonts w:eastAsiaTheme="minorEastAsia"/>
        </w:rPr>
        <w:t>G</w:t>
      </w:r>
      <w:r w:rsidR="005C09C6" w:rsidRPr="00EB16CF">
        <w:rPr>
          <w:rFonts w:eastAsiaTheme="minorEastAsia"/>
        </w:rPr>
        <w:t xml:space="preserve">reen and </w:t>
      </w:r>
      <w:r w:rsidR="00FC7CD0">
        <w:rPr>
          <w:rFonts w:eastAsiaTheme="minorEastAsia"/>
        </w:rPr>
        <w:t>G</w:t>
      </w:r>
      <w:r w:rsidR="005C09C6" w:rsidRPr="00EB16CF">
        <w:rPr>
          <w:rFonts w:eastAsiaTheme="minorEastAsia"/>
        </w:rPr>
        <w:t xml:space="preserve">olden </w:t>
      </w:r>
      <w:r w:rsidR="00B84722">
        <w:rPr>
          <w:rFonts w:eastAsiaTheme="minorEastAsia"/>
        </w:rPr>
        <w:t>Bell Frogs</w:t>
      </w:r>
      <w:r w:rsidR="005C09C6" w:rsidRPr="00EB16CF">
        <w:rPr>
          <w:rFonts w:eastAsiaTheme="minorEastAsia"/>
        </w:rPr>
        <w:t xml:space="preserve"> to raise body temperatures to levels that enabled them to clear </w:t>
      </w:r>
      <w:r w:rsidR="00C22886" w:rsidRPr="00C22886">
        <w:rPr>
          <w:rFonts w:eastAsiaTheme="minorEastAsia"/>
          <w:i/>
          <w:iCs/>
        </w:rPr>
        <w:t>Bd</w:t>
      </w:r>
      <w:r w:rsidR="005C09C6" w:rsidRPr="00EB16CF">
        <w:rPr>
          <w:rFonts w:eastAsiaTheme="minorEastAsia"/>
        </w:rPr>
        <w:t xml:space="preserve"> infections.</w:t>
      </w:r>
      <w:r w:rsidR="00BE3EC4">
        <w:rPr>
          <w:rFonts w:eastAsiaTheme="minorEastAsia"/>
        </w:rPr>
        <w:t xml:space="preserve"> </w:t>
      </w:r>
      <w:r w:rsidR="005C09C6" w:rsidRPr="00EB16CF">
        <w:rPr>
          <w:rFonts w:eastAsiaTheme="minorEastAsia"/>
        </w:rPr>
        <w:t xml:space="preserve">Furthermore, once frogs had recovered from their </w:t>
      </w:r>
      <w:r w:rsidR="00A25C67">
        <w:rPr>
          <w:rFonts w:eastAsiaTheme="minorEastAsia"/>
        </w:rPr>
        <w:t xml:space="preserve">initial </w:t>
      </w:r>
      <w:r w:rsidR="005C09C6" w:rsidRPr="00EB16CF">
        <w:rPr>
          <w:rFonts w:eastAsiaTheme="minorEastAsia"/>
        </w:rPr>
        <w:t xml:space="preserve">infection, they </w:t>
      </w:r>
      <w:r w:rsidR="00A25C67">
        <w:rPr>
          <w:rFonts w:eastAsiaTheme="minorEastAsia"/>
        </w:rPr>
        <w:t>had a reduced susceptibility to</w:t>
      </w:r>
      <w:r w:rsidR="005C09C6" w:rsidRPr="00EB16CF">
        <w:rPr>
          <w:rFonts w:eastAsiaTheme="minorEastAsia"/>
        </w:rPr>
        <w:t xml:space="preserve"> re-infection</w:t>
      </w:r>
      <w:r w:rsidR="00A25C67">
        <w:rPr>
          <w:rFonts w:eastAsiaTheme="minorEastAsia"/>
        </w:rPr>
        <w:t xml:space="preserve"> and clinical disease</w:t>
      </w:r>
      <w:r w:rsidR="005C09C6" w:rsidRPr="00EB16CF">
        <w:rPr>
          <w:rFonts w:eastAsiaTheme="minorEastAsia"/>
        </w:rPr>
        <w:t xml:space="preserve">, even in conditions conducive for </w:t>
      </w:r>
      <w:r w:rsidR="005C09C6" w:rsidRPr="00FB06DD">
        <w:rPr>
          <w:rFonts w:eastAsiaTheme="minorEastAsia"/>
          <w:i/>
          <w:iCs/>
        </w:rPr>
        <w:t>Bd</w:t>
      </w:r>
      <w:r w:rsidR="005C09C6" w:rsidRPr="00EB16CF">
        <w:rPr>
          <w:rFonts w:eastAsiaTheme="minorEastAsia"/>
        </w:rPr>
        <w:t xml:space="preserve"> growth </w:t>
      </w:r>
      <w:r w:rsidR="005C09C6" w:rsidRPr="00EB16CF">
        <w:rPr>
          <w:rFonts w:eastAsiaTheme="minorEastAsia"/>
        </w:rPr>
        <w:fldChar w:fldCharType="begin"/>
      </w:r>
      <w:r w:rsidR="009F541F">
        <w:rPr>
          <w:rFonts w:eastAsiaTheme="minorEastAsia"/>
        </w:rPr>
        <w:instrText xml:space="preserve"> ADDIN ZOTERO_ITEM CSL_CITATION {"citationID":"grkYr8LD","properties":{"formattedCitation":"(Waddle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005C09C6" w:rsidRPr="00EB16CF">
        <w:rPr>
          <w:rFonts w:eastAsiaTheme="minorEastAsia"/>
        </w:rPr>
        <w:fldChar w:fldCharType="separate"/>
      </w:r>
      <w:r w:rsidR="009F541F" w:rsidRPr="009F541F">
        <w:t>(Waddle</w:t>
      </w:r>
      <w:r w:rsidR="009F541F" w:rsidRPr="00BD033A">
        <w:t xml:space="preserve"> </w:t>
      </w:r>
      <w:r w:rsidR="009F541F" w:rsidRPr="00DA5824">
        <w:t>et al.</w:t>
      </w:r>
      <w:r w:rsidR="009F541F" w:rsidRPr="00BD033A">
        <w:t xml:space="preserve"> </w:t>
      </w:r>
      <w:r w:rsidR="009F541F" w:rsidRPr="009F541F">
        <w:t>2024)</w:t>
      </w:r>
      <w:r w:rsidR="005C09C6" w:rsidRPr="00EB16CF">
        <w:rPr>
          <w:rFonts w:eastAsiaTheme="minorEastAsia"/>
        </w:rPr>
        <w:fldChar w:fldCharType="end"/>
      </w:r>
      <w:r w:rsidR="005C09C6" w:rsidRPr="00EB16CF">
        <w:rPr>
          <w:rFonts w:eastAsiaTheme="minorEastAsia"/>
        </w:rPr>
        <w:t>.</w:t>
      </w:r>
      <w:r w:rsidR="00BE3EC4">
        <w:rPr>
          <w:rFonts w:eastAsiaTheme="minorEastAsia"/>
        </w:rPr>
        <w:t xml:space="preserve"> </w:t>
      </w:r>
      <w:r w:rsidR="00BD033A">
        <w:rPr>
          <w:rFonts w:eastAsiaTheme="minorEastAsia"/>
        </w:rPr>
        <w:t>Therefore</w:t>
      </w:r>
      <w:r w:rsidR="005C09C6" w:rsidRPr="00EB16CF">
        <w:rPr>
          <w:rFonts w:eastAsiaTheme="minorEastAsia"/>
        </w:rPr>
        <w:t>, th</w:t>
      </w:r>
      <w:r w:rsidR="008638BB">
        <w:rPr>
          <w:rFonts w:eastAsiaTheme="minorEastAsia"/>
        </w:rPr>
        <w:t>at</w:t>
      </w:r>
      <w:r w:rsidR="005C09C6" w:rsidRPr="00EB16CF">
        <w:rPr>
          <w:rFonts w:eastAsiaTheme="minorEastAsia"/>
        </w:rPr>
        <w:t xml:space="preserve"> study suggest</w:t>
      </w:r>
      <w:r w:rsidR="008638BB">
        <w:rPr>
          <w:rFonts w:eastAsiaTheme="minorEastAsia"/>
        </w:rPr>
        <w:t>ed</w:t>
      </w:r>
      <w:r w:rsidR="005C09C6" w:rsidRPr="00EB16CF">
        <w:rPr>
          <w:rFonts w:eastAsiaTheme="minorEastAsia"/>
        </w:rPr>
        <w:t xml:space="preserve"> that the provision of thermal refugia could be a valuable management tool to aid the recovery of this species from the impacts of </w:t>
      </w:r>
      <w:r w:rsidR="005B6E1A">
        <w:rPr>
          <w:rFonts w:eastAsiaTheme="minorEastAsia"/>
        </w:rPr>
        <w:t>c</w:t>
      </w:r>
      <w:r w:rsidR="005C09C6" w:rsidRPr="00EB16CF">
        <w:rPr>
          <w:rFonts w:eastAsiaTheme="minorEastAsia"/>
        </w:rPr>
        <w:t>hytrid</w:t>
      </w:r>
      <w:r w:rsidR="00C22886">
        <w:rPr>
          <w:rFonts w:eastAsiaTheme="minorEastAsia"/>
        </w:rPr>
        <w:t>iomycosis</w:t>
      </w:r>
      <w:r w:rsidR="005C09C6" w:rsidRPr="00EB16CF">
        <w:rPr>
          <w:rFonts w:eastAsiaTheme="minorEastAsia"/>
        </w:rPr>
        <w:t xml:space="preserve"> by decreasing disease severity and stimulating host resistance to the disease.</w:t>
      </w:r>
    </w:p>
    <w:p w14:paraId="58AA09B4" w14:textId="656FE64B" w:rsidR="008D5AE8" w:rsidRDefault="005C09C6" w:rsidP="008D5AE8">
      <w:pPr>
        <w:rPr>
          <w:rFonts w:eastAsiaTheme="minorEastAsia"/>
        </w:rPr>
      </w:pPr>
      <w:r w:rsidRPr="00EB16CF">
        <w:rPr>
          <w:rFonts w:eastAsiaTheme="minorEastAsia"/>
        </w:rPr>
        <w:t xml:space="preserve">Here we investigate the population-level effects of the provision of thermal shelters on the long-term persistence of </w:t>
      </w:r>
      <w:r w:rsidR="00B84722">
        <w:rPr>
          <w:rFonts w:eastAsiaTheme="minorEastAsia"/>
        </w:rPr>
        <w:t>Bell Frogs</w:t>
      </w:r>
      <w:r w:rsidRPr="00EB16CF">
        <w:rPr>
          <w:rFonts w:eastAsiaTheme="minorEastAsia"/>
        </w:rPr>
        <w:t>.</w:t>
      </w:r>
      <w:r w:rsidR="00BE3EC4">
        <w:rPr>
          <w:rFonts w:eastAsiaTheme="minorEastAsia"/>
        </w:rPr>
        <w:t xml:space="preserve"> </w:t>
      </w:r>
      <w:r w:rsidRPr="00EB16CF">
        <w:rPr>
          <w:rFonts w:eastAsiaTheme="minorEastAsia"/>
        </w:rPr>
        <w:t xml:space="preserve">We model the effects of thermal shelters on populations inhabiting warm environments typical of their current distribution as well as cooler environments more favourable for </w:t>
      </w:r>
      <w:r w:rsidR="00C22886" w:rsidRPr="00C22886">
        <w:rPr>
          <w:rFonts w:eastAsiaTheme="minorEastAsia"/>
          <w:i/>
          <w:iCs/>
        </w:rPr>
        <w:t>Bd</w:t>
      </w:r>
      <w:r w:rsidRPr="00EB16CF">
        <w:rPr>
          <w:rFonts w:eastAsiaTheme="minorEastAsia"/>
        </w:rPr>
        <w:t xml:space="preserve"> growth.</w:t>
      </w:r>
      <w:r w:rsidR="00BE3EC4">
        <w:rPr>
          <w:rFonts w:eastAsiaTheme="minorEastAsia"/>
        </w:rPr>
        <w:t xml:space="preserve"> </w:t>
      </w:r>
      <w:r w:rsidRPr="00EB16CF">
        <w:rPr>
          <w:rFonts w:eastAsiaTheme="minorEastAsia"/>
        </w:rPr>
        <w:t xml:space="preserve">To investigate the effects of thermal refuges on the population dynamics of </w:t>
      </w:r>
      <w:r w:rsidR="00B84722">
        <w:rPr>
          <w:rFonts w:eastAsiaTheme="minorEastAsia"/>
        </w:rPr>
        <w:t>Bell Frogs</w:t>
      </w:r>
      <w:r w:rsidR="00326154">
        <w:rPr>
          <w:rFonts w:eastAsiaTheme="minorEastAsia"/>
        </w:rPr>
        <w:t xml:space="preserve"> </w:t>
      </w:r>
      <w:r w:rsidRPr="00EB16CF">
        <w:rPr>
          <w:rFonts w:eastAsiaTheme="minorEastAsia"/>
        </w:rPr>
        <w:t xml:space="preserve">and the epidemiology of </w:t>
      </w:r>
      <w:r w:rsidRPr="00326154">
        <w:rPr>
          <w:rFonts w:eastAsiaTheme="minorEastAsia"/>
          <w:i/>
          <w:iCs/>
        </w:rPr>
        <w:t>Bd</w:t>
      </w:r>
      <w:r w:rsidRPr="00EB16CF">
        <w:rPr>
          <w:rFonts w:eastAsiaTheme="minorEastAsia"/>
        </w:rPr>
        <w:t xml:space="preserve">, we constructed </w:t>
      </w:r>
      <w:r w:rsidR="00DD5BE6">
        <w:rPr>
          <w:rFonts w:eastAsiaTheme="minorEastAsia"/>
        </w:rPr>
        <w:t xml:space="preserve">a model </w:t>
      </w:r>
      <w:r w:rsidR="00AF1DD2">
        <w:rPr>
          <w:rFonts w:eastAsiaTheme="minorEastAsia"/>
        </w:rPr>
        <w:t>consisting of</w:t>
      </w:r>
      <w:r w:rsidR="00DD5BE6">
        <w:rPr>
          <w:rFonts w:eastAsiaTheme="minorEastAsia"/>
        </w:rPr>
        <w:t xml:space="preserve"> </w:t>
      </w:r>
      <w:r w:rsidR="009D5310">
        <w:rPr>
          <w:rFonts w:eastAsiaTheme="minorEastAsia"/>
        </w:rPr>
        <w:t>four compartments</w:t>
      </w:r>
      <w:r w:rsidR="00BD033A">
        <w:rPr>
          <w:rFonts w:eastAsiaTheme="minorEastAsia"/>
        </w:rPr>
        <w:t>,</w:t>
      </w:r>
      <w:r w:rsidR="00DD5BE6">
        <w:rPr>
          <w:rFonts w:eastAsiaTheme="minorEastAsia"/>
        </w:rPr>
        <w:t xml:space="preserve"> </w:t>
      </w:r>
      <w:r w:rsidR="00AF1DD2">
        <w:rPr>
          <w:rFonts w:eastAsiaTheme="minorEastAsia"/>
        </w:rPr>
        <w:t xml:space="preserve">where </w:t>
      </w:r>
      <m:oMath>
        <m:r>
          <w:rPr>
            <w:rFonts w:ascii="Cambria Math" w:eastAsiaTheme="minorEastAsia" w:hAnsi="Cambria Math"/>
          </w:rPr>
          <m:t>S</m:t>
        </m:r>
      </m:oMath>
      <w:r w:rsidR="00AF1DD2">
        <w:rPr>
          <w:rFonts w:eastAsiaTheme="minorEastAsia"/>
        </w:rPr>
        <w:t xml:space="preserve"> and </w:t>
      </w:r>
      <m:oMath>
        <m:r>
          <w:rPr>
            <w:rFonts w:ascii="Cambria Math" w:eastAsiaTheme="minorEastAsia" w:hAnsi="Cambria Math"/>
          </w:rPr>
          <m:t>I</m:t>
        </m:r>
      </m:oMath>
      <w:r w:rsidR="00AF1DD2">
        <w:rPr>
          <w:rFonts w:eastAsiaTheme="minorEastAsia"/>
        </w:rPr>
        <w:t xml:space="preserve"> </w:t>
      </w:r>
      <w:r w:rsidR="00DD5BE6">
        <w:rPr>
          <w:rFonts w:eastAsiaTheme="minorEastAsia"/>
        </w:rPr>
        <w:t xml:space="preserve">are the abundance of susceptible and infected frogs, and </w:t>
      </w:r>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r</m:t>
            </m:r>
          </m:sub>
        </m:sSub>
      </m:oMath>
      <w:r w:rsidR="00AF1DD2">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r</m:t>
            </m:r>
          </m:sub>
        </m:sSub>
      </m:oMath>
      <w:r w:rsidR="00AF1DD2">
        <w:rPr>
          <w:rFonts w:eastAsiaTheme="minorEastAsia"/>
        </w:rPr>
        <w:t xml:space="preserve"> are the abundance of </w:t>
      </w:r>
      <w:r w:rsidR="00DD5BE6">
        <w:rPr>
          <w:rFonts w:eastAsiaTheme="minorEastAsia"/>
        </w:rPr>
        <w:t xml:space="preserve">susceptible and infected frogs that had recovered from a previous </w:t>
      </w:r>
      <w:r w:rsidR="00C22886" w:rsidRPr="00C22886">
        <w:rPr>
          <w:rFonts w:eastAsiaTheme="minorEastAsia"/>
          <w:i/>
          <w:iCs/>
        </w:rPr>
        <w:t>Bd</w:t>
      </w:r>
      <w:r w:rsidR="00C22886">
        <w:rPr>
          <w:rFonts w:eastAsiaTheme="minorEastAsia"/>
        </w:rPr>
        <w:t xml:space="preserve"> </w:t>
      </w:r>
      <w:r w:rsidR="00DD5BE6">
        <w:rPr>
          <w:rFonts w:eastAsiaTheme="minorEastAsia"/>
        </w:rPr>
        <w:t>infection</w:t>
      </w:r>
      <w:r w:rsidR="00AF1DD2">
        <w:rPr>
          <w:rFonts w:eastAsiaTheme="minorEastAsia"/>
        </w:rPr>
        <w:t xml:space="preserve"> (Figure </w:t>
      </w:r>
      <w:r w:rsidR="00353DC9">
        <w:rPr>
          <w:rFonts w:eastAsiaTheme="minorEastAsia"/>
        </w:rPr>
        <w:t>19</w:t>
      </w:r>
      <w:r w:rsidR="00AF1DD2">
        <w:rPr>
          <w:rFonts w:eastAsiaTheme="minorEastAsia"/>
        </w:rPr>
        <w:t>)</w:t>
      </w:r>
      <w:r w:rsidR="00986536">
        <w:rPr>
          <w:rFonts w:eastAsiaTheme="minorEastAsia"/>
        </w:rPr>
        <w:t>.</w:t>
      </w:r>
      <w:r w:rsidRPr="00EB16CF">
        <w:rPr>
          <w:rFonts w:eastAsiaTheme="minorEastAsia"/>
        </w:rPr>
        <w:t xml:space="preserve"> </w:t>
      </w:r>
    </w:p>
    <w:p w14:paraId="36C1A5EE" w14:textId="77777777" w:rsidR="00C22886" w:rsidRDefault="00C22886" w:rsidP="008D5AE8">
      <w:pPr>
        <w:rPr>
          <w:rFonts w:eastAsiaTheme="minorEastAsia"/>
        </w:rPr>
      </w:pPr>
    </w:p>
    <w:p w14:paraId="0E4325CC" w14:textId="6E02F220" w:rsidR="008D5AE8" w:rsidRDefault="001E586A" w:rsidP="008D5AE8">
      <w:pPr>
        <w:jc w:val="center"/>
        <w:rPr>
          <w:rFonts w:eastAsiaTheme="minorEastAsia"/>
          <w:b/>
          <w:bCs/>
        </w:rPr>
      </w:pPr>
      <w:r>
        <w:rPr>
          <w:rFonts w:eastAsiaTheme="minorEastAsia"/>
          <w:b/>
          <w:bCs/>
          <w:noProof/>
        </w:rPr>
        <w:drawing>
          <wp:inline distT="0" distB="0" distL="0" distR="0" wp14:anchorId="020FB60E" wp14:editId="45585817">
            <wp:extent cx="6120005" cy="2915728"/>
            <wp:effectExtent l="0" t="0" r="0" b="0"/>
            <wp:docPr id="1462075232" name="Picture 18" descr="A diagram of a block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75232" name="Picture 18" descr="A diagram of a block diagram&#10;&#10;AI-generated content may be incorrect."/>
                    <pic:cNvPicPr/>
                  </pic:nvPicPr>
                  <pic:blipFill rotWithShape="1">
                    <a:blip r:embed="rId61" cstate="screen">
                      <a:extLst>
                        <a:ext uri="{28A0092B-C50C-407E-A947-70E740481C1C}">
                          <a14:useLocalDpi xmlns:a14="http://schemas.microsoft.com/office/drawing/2010/main" val="0"/>
                        </a:ext>
                      </a:extLst>
                    </a:blip>
                    <a:srcRect t="13028" b="2275"/>
                    <a:stretch/>
                  </pic:blipFill>
                  <pic:spPr bwMode="auto">
                    <a:xfrm>
                      <a:off x="0" y="0"/>
                      <a:ext cx="6120765" cy="2916090"/>
                    </a:xfrm>
                    <a:prstGeom prst="rect">
                      <a:avLst/>
                    </a:prstGeom>
                    <a:ln>
                      <a:noFill/>
                    </a:ln>
                    <a:extLst>
                      <a:ext uri="{53640926-AAD7-44D8-BBD7-CCE9431645EC}">
                        <a14:shadowObscured xmlns:a14="http://schemas.microsoft.com/office/drawing/2010/main"/>
                      </a:ext>
                    </a:extLst>
                  </pic:spPr>
                </pic:pic>
              </a:graphicData>
            </a:graphic>
          </wp:inline>
        </w:drawing>
      </w:r>
    </w:p>
    <w:p w14:paraId="4AAF7768" w14:textId="7E9305C3" w:rsidR="005C09C6" w:rsidRPr="00A40F5F" w:rsidRDefault="008D5AE8" w:rsidP="00C351D8">
      <w:pPr>
        <w:pStyle w:val="Caption-Figure"/>
      </w:pPr>
      <w:bookmarkStart w:id="104" w:name="_Toc198634171"/>
      <w:r w:rsidRPr="00396537">
        <w:t xml:space="preserve">Figure </w:t>
      </w:r>
      <w:r w:rsidR="001B440E">
        <w:t>19</w:t>
      </w:r>
      <w:r>
        <w:t xml:space="preserve">. Flow chart of the transmission of </w:t>
      </w:r>
      <w:r w:rsidR="005B6E1A" w:rsidRPr="005B6E1A">
        <w:rPr>
          <w:i/>
          <w:iCs/>
        </w:rPr>
        <w:t>Bd</w:t>
      </w:r>
      <w:r>
        <w:t xml:space="preserve"> in </w:t>
      </w:r>
      <w:r w:rsidR="00B84722">
        <w:t>Bell Frogs</w:t>
      </w:r>
      <w:r>
        <w:t xml:space="preserve"> inhabiting a single waterbody</w:t>
      </w:r>
      <w:r w:rsidR="00567963">
        <w:t>,</w:t>
      </w:r>
      <w:r>
        <w:t xml:space="preserve"> used for the individual-based model showing the progression of individuals through each of the model compartments.</w:t>
      </w:r>
      <w:r w:rsidR="00BE3EC4">
        <w:t xml:space="preserve"> </w:t>
      </w:r>
      <m:oMath>
        <m:r>
          <m:rPr>
            <m:sty m:val="bi"/>
          </m:rPr>
          <w:rPr>
            <w:rFonts w:ascii="Cambria Math" w:hAnsi="Cambria Math"/>
          </w:rPr>
          <m:t>S</m:t>
        </m:r>
      </m:oMath>
      <w:r>
        <w:t xml:space="preserve"> – susceptible, </w:t>
      </w:r>
      <m:oMath>
        <m:r>
          <m:rPr>
            <m:sty m:val="bi"/>
          </m:rPr>
          <w:rPr>
            <w:rFonts w:ascii="Cambria Math" w:hAnsi="Cambria Math"/>
          </w:rPr>
          <m:t>I</m:t>
        </m:r>
      </m:oMath>
      <w:r>
        <w:t xml:space="preserve"> – infected, </w:t>
      </w:r>
      <m:oMath>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r</m:t>
            </m:r>
          </m:sub>
        </m:sSub>
      </m:oMath>
      <w:r>
        <w:t xml:space="preserve"> – recovered and susceptible,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r</m:t>
            </m:r>
          </m:sub>
        </m:sSub>
      </m:oMath>
      <w:r w:rsidR="00567963">
        <w:t> </w:t>
      </w:r>
      <w:r>
        <w:t>–</w:t>
      </w:r>
      <w:r w:rsidR="00567963">
        <w:t> </w:t>
      </w:r>
      <w:r>
        <w:t>recovered and re-</w:t>
      </w:r>
      <w:r w:rsidR="00567963">
        <w:t>i</w:t>
      </w:r>
      <w:r>
        <w:t xml:space="preserve">nfected, </w:t>
      </w:r>
      <m:oMath>
        <m:r>
          <m:rPr>
            <m:sty m:val="bi"/>
          </m:rPr>
          <w:rPr>
            <w:rFonts w:ascii="Cambria Math" w:hAnsi="Cambria Math"/>
          </w:rPr>
          <m:t>P</m:t>
        </m:r>
      </m:oMath>
      <w:r>
        <w:t xml:space="preserve"> – environmental reservoir of the pathogen.</w:t>
      </w:r>
      <w:r w:rsidR="00BE3EC4">
        <w:t xml:space="preserve"> </w:t>
      </w:r>
      <w:r>
        <w:t xml:space="preserve">Parameter </w:t>
      </w:r>
      <w:r w:rsidR="006B4154">
        <w:t xml:space="preserve">estimates and </w:t>
      </w:r>
      <w:r>
        <w:t xml:space="preserve">descriptions are given in </w:t>
      </w:r>
      <w:r w:rsidR="006B4154">
        <w:t>s</w:t>
      </w:r>
      <w:r w:rsidR="002C2A37">
        <w:t>ection 6.4</w:t>
      </w:r>
      <w:r w:rsidR="00D72BC1">
        <w:t>.</w:t>
      </w:r>
      <w:bookmarkEnd w:id="104"/>
    </w:p>
    <w:p w14:paraId="5613E2FB" w14:textId="77777777" w:rsidR="00986536" w:rsidRDefault="00986536" w:rsidP="005C09C6">
      <w:pPr>
        <w:rPr>
          <w:rFonts w:eastAsiaTheme="minorEastAsia"/>
        </w:rPr>
      </w:pPr>
    </w:p>
    <w:p w14:paraId="4884A394" w14:textId="75CFEAA5" w:rsidR="005C09C6" w:rsidRPr="00961348" w:rsidRDefault="005C09C6" w:rsidP="005C09C6">
      <w:pPr>
        <w:rPr>
          <w:rFonts w:eastAsiaTheme="minorEastAsia"/>
        </w:rPr>
      </w:pPr>
      <w:r w:rsidRPr="00961348">
        <w:rPr>
          <w:rFonts w:eastAsiaTheme="minorEastAsia"/>
        </w:rPr>
        <w:t>This model structure follows from the work of Waddle</w:t>
      </w:r>
      <w:r w:rsidRPr="24B2D9AA">
        <w:rPr>
          <w:rFonts w:eastAsiaTheme="minorEastAsia"/>
          <w:i/>
        </w:rPr>
        <w:t xml:space="preserve"> </w:t>
      </w:r>
      <w:r w:rsidR="00197A81" w:rsidRPr="00197A81">
        <w:rPr>
          <w:rFonts w:eastAsiaTheme="minorEastAsia"/>
        </w:rPr>
        <w:t xml:space="preserve">et al. </w:t>
      </w:r>
      <w:r w:rsidRPr="00961348">
        <w:rPr>
          <w:rFonts w:eastAsiaTheme="minorEastAsia"/>
        </w:rPr>
        <w:t>(2024)</w:t>
      </w:r>
      <w:r w:rsidR="00567963">
        <w:rPr>
          <w:rFonts w:eastAsiaTheme="minorEastAsia"/>
        </w:rPr>
        <w:t xml:space="preserve">, </w:t>
      </w:r>
      <w:r w:rsidRPr="00961348">
        <w:rPr>
          <w:rFonts w:eastAsiaTheme="minorEastAsia"/>
        </w:rPr>
        <w:t xml:space="preserve">where it was found that </w:t>
      </w:r>
      <w:r w:rsidRPr="00961348">
        <w:rPr>
          <w:rFonts w:eastAsiaTheme="minorEastAsia"/>
          <w:i/>
          <w:iCs/>
        </w:rPr>
        <w:t xml:space="preserve">L. </w:t>
      </w:r>
      <w:proofErr w:type="spellStart"/>
      <w:r w:rsidRPr="00961348">
        <w:rPr>
          <w:rFonts w:eastAsiaTheme="minorEastAsia"/>
          <w:i/>
          <w:iCs/>
        </w:rPr>
        <w:t>aurea</w:t>
      </w:r>
      <w:proofErr w:type="spellEnd"/>
      <w:r w:rsidR="00567963" w:rsidRPr="00567963">
        <w:rPr>
          <w:rFonts w:eastAsiaTheme="minorEastAsia"/>
        </w:rPr>
        <w:t xml:space="preserve">, </w:t>
      </w:r>
      <w:r w:rsidRPr="00567963">
        <w:rPr>
          <w:rFonts w:eastAsiaTheme="minorEastAsia"/>
        </w:rPr>
        <w:t>t</w:t>
      </w:r>
      <w:r w:rsidRPr="00961348">
        <w:rPr>
          <w:rFonts w:eastAsiaTheme="minorEastAsia"/>
        </w:rPr>
        <w:t xml:space="preserve">hat had recovered from a previous </w:t>
      </w:r>
      <w:r w:rsidR="00C22886" w:rsidRPr="00C22886">
        <w:rPr>
          <w:rFonts w:eastAsiaTheme="minorEastAsia"/>
          <w:i/>
          <w:iCs/>
        </w:rPr>
        <w:t>Bd</w:t>
      </w:r>
      <w:r w:rsidRPr="00961348">
        <w:rPr>
          <w:rFonts w:eastAsiaTheme="minorEastAsia"/>
        </w:rPr>
        <w:t xml:space="preserve"> infection following heat treatment by thermal shelters</w:t>
      </w:r>
      <w:r w:rsidR="00567963">
        <w:rPr>
          <w:rFonts w:eastAsiaTheme="minorEastAsia"/>
        </w:rPr>
        <w:t>,</w:t>
      </w:r>
      <w:r w:rsidRPr="00961348">
        <w:rPr>
          <w:rFonts w:eastAsiaTheme="minorEastAsia"/>
        </w:rPr>
        <w:t xml:space="preserve"> were at lower risk of </w:t>
      </w:r>
      <w:r w:rsidR="0034019E">
        <w:rPr>
          <w:rFonts w:eastAsiaTheme="minorEastAsia"/>
        </w:rPr>
        <w:t>re-</w:t>
      </w:r>
      <w:r w:rsidRPr="00961348">
        <w:rPr>
          <w:rFonts w:eastAsiaTheme="minorEastAsia"/>
        </w:rPr>
        <w:t xml:space="preserve">infection and </w:t>
      </w:r>
      <w:r w:rsidR="0034019E">
        <w:rPr>
          <w:rFonts w:eastAsiaTheme="minorEastAsia"/>
        </w:rPr>
        <w:t xml:space="preserve">disease </w:t>
      </w:r>
      <w:r w:rsidRPr="00961348">
        <w:rPr>
          <w:rFonts w:eastAsiaTheme="minorEastAsia"/>
        </w:rPr>
        <w:t xml:space="preserve">from subsequent </w:t>
      </w:r>
      <w:r w:rsidR="00C22886" w:rsidRPr="00C22886">
        <w:rPr>
          <w:rFonts w:eastAsiaTheme="minorEastAsia"/>
          <w:i/>
          <w:iCs/>
        </w:rPr>
        <w:t>Bd</w:t>
      </w:r>
      <w:r w:rsidRPr="00961348">
        <w:rPr>
          <w:rFonts w:eastAsiaTheme="minorEastAsia"/>
        </w:rPr>
        <w:t xml:space="preserve"> infections (prior exposure).</w:t>
      </w:r>
      <w:r w:rsidR="00BE3EC4">
        <w:rPr>
          <w:rFonts w:eastAsiaTheme="minorEastAsia"/>
        </w:rPr>
        <w:t xml:space="preserve"> </w:t>
      </w:r>
      <w:r w:rsidRPr="00961348">
        <w:rPr>
          <w:rFonts w:eastAsiaTheme="minorEastAsia"/>
        </w:rPr>
        <w:t xml:space="preserve">Frogs could only recover from </w:t>
      </w:r>
      <w:r w:rsidR="006B4154">
        <w:rPr>
          <w:rFonts w:eastAsiaTheme="minorEastAsia"/>
        </w:rPr>
        <w:t>c</w:t>
      </w:r>
      <w:r w:rsidRPr="00961348">
        <w:rPr>
          <w:rFonts w:eastAsiaTheme="minorEastAsia"/>
        </w:rPr>
        <w:t>hytrid</w:t>
      </w:r>
      <w:r w:rsidR="00C22886">
        <w:rPr>
          <w:rFonts w:eastAsiaTheme="minorEastAsia"/>
        </w:rPr>
        <w:t>iomycosis</w:t>
      </w:r>
      <w:r w:rsidRPr="00961348">
        <w:rPr>
          <w:rFonts w:eastAsiaTheme="minorEastAsia"/>
        </w:rPr>
        <w:t xml:space="preserve"> once their temperature exceeded a threshold, set here at 25</w:t>
      </w:r>
      <w:r w:rsidR="00567963">
        <w:rPr>
          <w:rFonts w:eastAsiaTheme="minorEastAsia"/>
        </w:rPr>
        <w:t>°</w:t>
      </w:r>
      <w:r w:rsidRPr="00961348">
        <w:rPr>
          <w:rFonts w:eastAsiaTheme="minorEastAsia"/>
        </w:rPr>
        <w:t xml:space="preserve">C </w:t>
      </w:r>
      <w:r w:rsidRPr="00961348">
        <w:rPr>
          <w:rFonts w:eastAsiaTheme="minorEastAsia"/>
        </w:rPr>
        <w:fldChar w:fldCharType="begin"/>
      </w:r>
      <w:r w:rsidR="009F541F">
        <w:rPr>
          <w:rFonts w:eastAsiaTheme="minorEastAsia"/>
        </w:rPr>
        <w:instrText xml:space="preserve"> ADDIN ZOTERO_ITEM CSL_CITATION {"citationID":"h0HwjK0w","properties":{"formattedCitation":"(Kinney {\\i{}et al.} 2011)","plainCitation":"(Kinney et al. 2011)","noteIndex":0},"citationItems":[{"id":9591,"uris":["http://zotero.org/users/634364/items/E2SUQXYQ"],"itemData":{"id":9591,"type":"article-journal","abstract":"To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J."}],"editor":[{"family":"Nielsen","given":"Kirsten"}],"issued":{"date-parts":[["2011",3,10]]}}}],"schema":"https://github.com/citation-style-language/schema/raw/master/csl-citation.json"} </w:instrText>
      </w:r>
      <w:r w:rsidRPr="00961348">
        <w:rPr>
          <w:rFonts w:eastAsiaTheme="minorEastAsia"/>
        </w:rPr>
        <w:fldChar w:fldCharType="separate"/>
      </w:r>
      <w:r w:rsidR="009F541F" w:rsidRPr="009F541F">
        <w:t xml:space="preserve">(Kinney </w:t>
      </w:r>
      <w:r w:rsidR="009F541F" w:rsidRPr="00DA5824">
        <w:t>et al</w:t>
      </w:r>
      <w:r w:rsidR="009F541F" w:rsidRPr="009F541F">
        <w:rPr>
          <w:i/>
          <w:iCs/>
        </w:rPr>
        <w:t>.</w:t>
      </w:r>
      <w:r w:rsidR="009F541F" w:rsidRPr="009F541F">
        <w:t xml:space="preserve"> 2011)</w:t>
      </w:r>
      <w:r w:rsidRPr="00961348">
        <w:rPr>
          <w:rFonts w:eastAsiaTheme="minorEastAsia"/>
        </w:rPr>
        <w:fldChar w:fldCharType="end"/>
      </w:r>
      <w:r w:rsidRPr="00961348">
        <w:rPr>
          <w:rFonts w:eastAsiaTheme="minorEastAsia"/>
        </w:rPr>
        <w:t>, otherwise frogs remained infected.</w:t>
      </w:r>
      <w:r w:rsidR="00BE3EC4">
        <w:rPr>
          <w:rFonts w:eastAsiaTheme="minorEastAsia"/>
        </w:rPr>
        <w:t xml:space="preserve"> </w:t>
      </w:r>
      <w:r w:rsidRPr="00961348">
        <w:rPr>
          <w:rFonts w:eastAsiaTheme="minorEastAsia"/>
        </w:rPr>
        <w:t xml:space="preserve">The parameter </w:t>
      </w:r>
      <m:oMath>
        <m:r>
          <w:rPr>
            <w:rFonts w:ascii="Cambria Math" w:eastAsiaTheme="minorEastAsia" w:hAnsi="Cambria Math"/>
          </w:rPr>
          <m:t>γ</m:t>
        </m:r>
        <m:d>
          <m:dPr>
            <m:ctrlPr>
              <w:rPr>
                <w:rFonts w:ascii="Cambria Math" w:eastAsiaTheme="minorEastAsia" w:hAnsi="Cambria Math"/>
                <w:i/>
              </w:rPr>
            </m:ctrlPr>
          </m:dPr>
          <m:e>
            <m:r>
              <w:rPr>
                <w:rFonts w:ascii="Cambria Math" w:eastAsiaTheme="minorEastAsia" w:hAnsi="Cambria Math"/>
              </w:rPr>
              <m:t>T</m:t>
            </m:r>
          </m:e>
        </m:d>
      </m:oMath>
      <w:r w:rsidRPr="00961348">
        <w:rPr>
          <w:rFonts w:eastAsiaTheme="minorEastAsia"/>
        </w:rPr>
        <w:t xml:space="preserve"> represents the temperature-dependent recovery rate of frogs from </w:t>
      </w:r>
      <w:r w:rsidR="006B4154">
        <w:rPr>
          <w:rFonts w:eastAsiaTheme="minorEastAsia"/>
        </w:rPr>
        <w:t>c</w:t>
      </w:r>
      <w:r w:rsidRPr="00961348">
        <w:rPr>
          <w:rFonts w:eastAsiaTheme="minorEastAsia"/>
        </w:rPr>
        <w:t>hytrid</w:t>
      </w:r>
      <w:r w:rsidR="00C22886">
        <w:rPr>
          <w:rFonts w:eastAsiaTheme="minorEastAsia"/>
        </w:rPr>
        <w:t>iomycosis</w:t>
      </w:r>
      <w:r w:rsidR="00567963">
        <w:rPr>
          <w:rFonts w:eastAsiaTheme="minorEastAsia"/>
        </w:rPr>
        <w:t xml:space="preserve">, </w:t>
      </w:r>
      <w:r w:rsidRPr="00961348">
        <w:rPr>
          <w:rFonts w:eastAsiaTheme="minorEastAsia"/>
        </w:rPr>
        <w:t xml:space="preserve">with the mean time to recovery set at </w:t>
      </w:r>
      <w:r w:rsidR="00D2402B">
        <w:rPr>
          <w:rFonts w:eastAsiaTheme="minorEastAsia"/>
        </w:rPr>
        <w:t>27</w:t>
      </w:r>
      <w:r w:rsidRPr="00961348">
        <w:rPr>
          <w:rFonts w:eastAsiaTheme="minorEastAsia"/>
        </w:rPr>
        <w:t xml:space="preserve"> days for both </w:t>
      </w:r>
      <m:oMath>
        <m:r>
          <w:rPr>
            <w:rFonts w:ascii="Cambria Math" w:eastAsiaTheme="minorEastAsia" w:hAnsi="Cambria Math"/>
          </w:rPr>
          <m:t>I</m:t>
        </m:r>
      </m:oMath>
      <w:r w:rsidRPr="00961348">
        <w:rPr>
          <w:rFonts w:eastAsiaTheme="minorEastAsia"/>
        </w:rPr>
        <w:t xml:space="preserve"> and </w:t>
      </w:r>
      <m:oMath>
        <m:sSub>
          <m:sSubPr>
            <m:ctrlPr>
              <w:rPr>
                <w:rFonts w:ascii="Cambria Math" w:hAnsi="Cambria Math"/>
              </w:rPr>
            </m:ctrlPr>
          </m:sSubPr>
          <m:e>
            <m:r>
              <w:rPr>
                <w:rFonts w:ascii="Cambria Math" w:eastAsiaTheme="minorEastAsia" w:hAnsi="Cambria Math"/>
              </w:rPr>
              <m:t>I</m:t>
            </m:r>
          </m:e>
          <m:sub>
            <m:r>
              <w:rPr>
                <w:rFonts w:ascii="Cambria Math" w:eastAsiaTheme="minorEastAsia" w:hAnsi="Cambria Math"/>
              </w:rPr>
              <m:t>r</m:t>
            </m:r>
          </m:sub>
        </m:sSub>
      </m:oMath>
      <w:r w:rsidRPr="00961348">
        <w:rPr>
          <w:rFonts w:eastAsiaTheme="minorEastAsia"/>
        </w:rPr>
        <w:t xml:space="preserve"> stages </w:t>
      </w:r>
      <w:r w:rsidRPr="00961348">
        <w:rPr>
          <w:rFonts w:eastAsiaTheme="minorEastAsia"/>
        </w:rPr>
        <w:fldChar w:fldCharType="begin"/>
      </w:r>
      <w:r w:rsidR="009F541F">
        <w:rPr>
          <w:rFonts w:eastAsiaTheme="minorEastAsia"/>
        </w:rPr>
        <w:instrText xml:space="preserve"> ADDIN ZOTERO_ITEM CSL_CITATION {"citationID":"V8Voa28d","properties":{"formattedCitation":"(Waddle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961348">
        <w:rPr>
          <w:rFonts w:eastAsiaTheme="minorEastAsia"/>
        </w:rPr>
        <w:fldChar w:fldCharType="separate"/>
      </w:r>
      <w:r w:rsidR="009F541F" w:rsidRPr="009F541F">
        <w:t xml:space="preserve">(Waddle </w:t>
      </w:r>
      <w:r w:rsidR="009F541F" w:rsidRPr="00DA5824">
        <w:t>et al.</w:t>
      </w:r>
      <w:r w:rsidR="009F541F" w:rsidRPr="00567963">
        <w:t xml:space="preserve"> </w:t>
      </w:r>
      <w:r w:rsidR="009F541F" w:rsidRPr="009F541F">
        <w:t>2024)</w:t>
      </w:r>
      <w:r w:rsidRPr="00961348">
        <w:rPr>
          <w:rFonts w:eastAsiaTheme="minorEastAsia"/>
        </w:rPr>
        <w:fldChar w:fldCharType="end"/>
      </w:r>
      <w:r w:rsidRPr="00961348">
        <w:rPr>
          <w:rFonts w:eastAsiaTheme="minorEastAsia"/>
        </w:rPr>
        <w:t>.</w:t>
      </w:r>
    </w:p>
    <w:p w14:paraId="6083A6DB" w14:textId="259A9DAE" w:rsidR="00712D55" w:rsidRDefault="005C09C6" w:rsidP="008D5AE8">
      <w:pPr>
        <w:rPr>
          <w:rFonts w:eastAsiaTheme="minorEastAsia"/>
        </w:rPr>
      </w:pPr>
      <w:r w:rsidRPr="004C5A40">
        <w:rPr>
          <w:rFonts w:eastAsiaTheme="minorEastAsia"/>
        </w:rPr>
        <w:t xml:space="preserve">Transmission of </w:t>
      </w:r>
      <w:r w:rsidR="00C22886" w:rsidRPr="00C22886">
        <w:rPr>
          <w:rFonts w:eastAsiaTheme="minorEastAsia"/>
          <w:i/>
          <w:iCs/>
        </w:rPr>
        <w:t>Bd</w:t>
      </w:r>
      <w:r w:rsidRPr="004C5A40">
        <w:rPr>
          <w:rFonts w:eastAsiaTheme="minorEastAsia"/>
        </w:rPr>
        <w:t xml:space="preserve"> to susceptible frogs occurred through an environmental reservoir </w:t>
      </w:r>
      <m:oMath>
        <m:r>
          <w:rPr>
            <w:rFonts w:ascii="Cambria Math" w:eastAsiaTheme="minorEastAsia" w:hAnsi="Cambria Math"/>
          </w:rPr>
          <m:t>P</m:t>
        </m:r>
      </m:oMath>
      <w:r w:rsidR="00567963">
        <w:rPr>
          <w:rFonts w:eastAsiaTheme="minorEastAsia"/>
        </w:rPr>
        <w:t>,</w:t>
      </w:r>
      <w:r w:rsidRPr="004C5A40">
        <w:rPr>
          <w:rFonts w:eastAsiaTheme="minorEastAsia"/>
        </w:rPr>
        <w:t xml:space="preserve"> with transmission rate </w:t>
      </w:r>
      <m:oMath>
        <m:r>
          <w:rPr>
            <w:rFonts w:ascii="Cambria Math" w:eastAsiaTheme="minorEastAsia" w:hAnsi="Cambria Math"/>
          </w:rPr>
          <m:t>ϕ</m:t>
        </m:r>
      </m:oMath>
      <w:r w:rsidR="004C5A40" w:rsidRPr="004C5A40">
        <w:rPr>
          <w:rFonts w:eastAsiaTheme="minorEastAsia"/>
        </w:rPr>
        <w:t xml:space="preserve"> (Figure </w:t>
      </w:r>
      <w:r w:rsidR="00011B19">
        <w:rPr>
          <w:rFonts w:eastAsiaTheme="minorEastAsia"/>
        </w:rPr>
        <w:t>19</w:t>
      </w:r>
      <w:r w:rsidR="004C5A40" w:rsidRPr="004C5A40">
        <w:rPr>
          <w:rFonts w:eastAsiaTheme="minorEastAsia"/>
        </w:rPr>
        <w:t>)</w:t>
      </w:r>
      <w:r w:rsidRPr="004C5A40">
        <w:rPr>
          <w:rFonts w:eastAsiaTheme="minorEastAsia"/>
        </w:rPr>
        <w:t>.</w:t>
      </w:r>
      <w:r w:rsidR="00BE3EC4">
        <w:rPr>
          <w:rFonts w:eastAsiaTheme="minorEastAsia"/>
        </w:rPr>
        <w:t xml:space="preserve"> </w:t>
      </w:r>
      <w:r w:rsidRPr="004C5A40">
        <w:rPr>
          <w:rFonts w:eastAsiaTheme="minorEastAsia"/>
        </w:rPr>
        <w:t xml:space="preserve">Although transmission of </w:t>
      </w:r>
      <w:r w:rsidR="00C22886" w:rsidRPr="00C22886">
        <w:rPr>
          <w:rFonts w:eastAsiaTheme="minorEastAsia"/>
          <w:i/>
          <w:iCs/>
        </w:rPr>
        <w:t>Bd</w:t>
      </w:r>
      <w:r w:rsidRPr="004C5A40">
        <w:rPr>
          <w:rFonts w:eastAsiaTheme="minorEastAsia"/>
        </w:rPr>
        <w:t xml:space="preserve"> between frogs undoubtably occurs, we assume this contact rate is negligible compared with contact through the environmental reservoir</w:t>
      </w:r>
      <w:r w:rsidR="00567963">
        <w:rPr>
          <w:rFonts w:eastAsiaTheme="minorEastAsia"/>
        </w:rPr>
        <w:t>,</w:t>
      </w:r>
      <w:r w:rsidRPr="004C5A40">
        <w:rPr>
          <w:rFonts w:eastAsiaTheme="minorEastAsia"/>
        </w:rPr>
        <w:t xml:space="preserve"> and </w:t>
      </w:r>
      <w:r w:rsidR="00567963">
        <w:rPr>
          <w:rFonts w:eastAsiaTheme="minorEastAsia"/>
        </w:rPr>
        <w:t xml:space="preserve">that it </w:t>
      </w:r>
      <w:r w:rsidRPr="004C5A40">
        <w:rPr>
          <w:rFonts w:eastAsiaTheme="minorEastAsia"/>
        </w:rPr>
        <w:t xml:space="preserve">is similar to the transmission process used in other models of </w:t>
      </w:r>
      <w:r w:rsidR="00C22886" w:rsidRPr="00C22886">
        <w:rPr>
          <w:rFonts w:eastAsiaTheme="minorEastAsia"/>
          <w:i/>
          <w:iCs/>
        </w:rPr>
        <w:t>Bd</w:t>
      </w:r>
      <w:r w:rsidRPr="004C5A40">
        <w:rPr>
          <w:rFonts w:eastAsiaTheme="minorEastAsia"/>
        </w:rPr>
        <w:t xml:space="preserve"> transmission </w:t>
      </w:r>
      <w:r w:rsidRPr="004C5A40">
        <w:rPr>
          <w:rFonts w:eastAsiaTheme="minorEastAsia"/>
        </w:rPr>
        <w:fldChar w:fldCharType="begin"/>
      </w:r>
      <w:r w:rsidR="009F541F">
        <w:rPr>
          <w:rFonts w:eastAsiaTheme="minorEastAsia"/>
        </w:rPr>
        <w:instrText xml:space="preserve"> ADDIN ZOTERO_ITEM CSL_CITATION {"citationID":"FeDG17VN","properties":{"formattedCitation":"(Briggs {\\i{}et al.} 2010)","plainCitation":"(Briggs et al. 2010)","noteIndex":0},"citationItems":[{"id":9512,"uris":["http://zotero.org/users/634364/items/96D2QH9Z"],"itemData":{"id":9512,"type":"article-journal","abstract":"Chytridiomycosis, the disease caused by the chytrid fungus,\n              Batrachochytrium dendrobatidis\n              (Bd), has contributed to amphibian population declines and extinctions worldwide. The impact of this pathogen, however, varies markedly among amphibian species and populations. Following invasion into some areas of California's Sierra Nevada, Bd leads to rapid declines and local extinctions of frog populations (\n              Rana muscosa\n              ,\n              R. sierrae\n              ). In other areas, infected populations of the same frog species have declined but persisted at low host densities for many years. We present results of a 5-year study showing that infected adult frogs in persistent populations have low fungal loads, are surviving between years, and frequently lose and regain the infection. Here we put forward the hypothesis that fungal load dynamics can explain the different population-level outcomes of Bd observed in different areas of the Sierra Nevada and possibly throughout the world. We develop a model that incorporates the biological details of the Bd-host interaction. Importantly, model results suggest that host persistence versus extinction does not require differences in host susceptibility, pathogen virulence, or environmental conditions, and may be just epidemic and endemic population dynamics of the same host–pathogen system. The different disease outcomes seen in natural populations may result solely from density-dependent host–pathogen dynamics. The model also shows that persistence of Bd is enhanced by the long-lived tadpole stage that characterize these two frog species, and by nonhost Bd reservoirs.","container-title":"Proceedings of the National Academy of Sciences","DOI":"10.1073/pnas.0912886107","ISSN":"0027-8424, 1091-6490","issue":"21","journalAbbreviation":"Proc. Natl. Acad. Sci. U.S.A.","language":"en","page":"9695-9700","source":"DOI.org (Crossref)","title":"Enzootic and epizootic dynamics of the chytrid fungal pathogen of amphibians","volume":"107","author":[{"family":"Briggs","given":"Cheryl J."},{"family":"Knapp","given":"Roland A."},{"family":"Vredenburg","given":"Vance T."}],"issued":{"date-parts":[["2010",5,25]]}}}],"schema":"https://github.com/citation-style-language/schema/raw/master/csl-citation.json"} </w:instrText>
      </w:r>
      <w:r w:rsidRPr="004C5A40">
        <w:rPr>
          <w:rFonts w:eastAsiaTheme="minorEastAsia"/>
        </w:rPr>
        <w:fldChar w:fldCharType="separate"/>
      </w:r>
      <w:r w:rsidR="009F541F" w:rsidRPr="009F541F">
        <w:t xml:space="preserve">(Briggs </w:t>
      </w:r>
      <w:r w:rsidR="009F541F" w:rsidRPr="00DA5824">
        <w:t>et al</w:t>
      </w:r>
      <w:r w:rsidR="009F541F" w:rsidRPr="009F541F">
        <w:rPr>
          <w:i/>
          <w:iCs/>
        </w:rPr>
        <w:t>.</w:t>
      </w:r>
      <w:r w:rsidR="009F541F" w:rsidRPr="009F541F">
        <w:t xml:space="preserve"> 2010)</w:t>
      </w:r>
      <w:r w:rsidRPr="004C5A40">
        <w:rPr>
          <w:rFonts w:eastAsiaTheme="minorEastAsia"/>
        </w:rPr>
        <w:fldChar w:fldCharType="end"/>
      </w:r>
      <w:r w:rsidRPr="004C5A40">
        <w:rPr>
          <w:rFonts w:eastAsiaTheme="minorEastAsia"/>
        </w:rPr>
        <w:t>.</w:t>
      </w:r>
      <w:r w:rsidR="00BE3EC4">
        <w:rPr>
          <w:rFonts w:eastAsiaTheme="minorEastAsia"/>
        </w:rPr>
        <w:t xml:space="preserve"> </w:t>
      </w:r>
      <w:r w:rsidRPr="004C5A40">
        <w:rPr>
          <w:rFonts w:eastAsiaTheme="minorEastAsia"/>
        </w:rPr>
        <w:t xml:space="preserve">In addition, transmission </w:t>
      </w:r>
      <w:r w:rsidRPr="004C5A40">
        <w:rPr>
          <w:rFonts w:eastAsiaTheme="minorEastAsia"/>
        </w:rPr>
        <w:lastRenderedPageBreak/>
        <w:t>to susceptible frogs that had prior exposure (</w:t>
      </w:r>
      <m:oMath>
        <m:sSub>
          <m:sSubPr>
            <m:ctrlPr>
              <w:rPr>
                <w:rFonts w:ascii="Cambria Math" w:hAnsi="Cambria Math"/>
              </w:rPr>
            </m:ctrlPr>
          </m:sSubPr>
          <m:e>
            <m:r>
              <w:rPr>
                <w:rFonts w:ascii="Cambria Math" w:eastAsiaTheme="minorEastAsia" w:hAnsi="Cambria Math"/>
              </w:rPr>
              <m:t>S</m:t>
            </m:r>
          </m:e>
          <m:sub>
            <m:r>
              <w:rPr>
                <w:rFonts w:ascii="Cambria Math" w:eastAsiaTheme="minorEastAsia" w:hAnsi="Cambria Math"/>
              </w:rPr>
              <m:t>r</m:t>
            </m:r>
          </m:sub>
        </m:sSub>
      </m:oMath>
      <w:r w:rsidRPr="004C5A40">
        <w:rPr>
          <w:rFonts w:eastAsiaTheme="minorEastAsia"/>
        </w:rPr>
        <w:t>) was different to susceptible naïve frogs</w:t>
      </w:r>
      <w:r w:rsidR="002B4381">
        <w:rPr>
          <w:rFonts w:eastAsiaTheme="minorEastAsia"/>
        </w:rPr>
        <w:t>,</w:t>
      </w:r>
      <w:r w:rsidRPr="004C5A40">
        <w:rPr>
          <w:rFonts w:eastAsiaTheme="minorEastAsia"/>
        </w:rPr>
        <w:t xml:space="preserve"> with the parameter </w:t>
      </w:r>
      <m:oMath>
        <m:r>
          <w:rPr>
            <w:rFonts w:ascii="Cambria Math" w:eastAsiaTheme="minorEastAsia" w:hAnsi="Cambria Math"/>
          </w:rPr>
          <m:t>ε</m:t>
        </m:r>
      </m:oMath>
      <w:r w:rsidRPr="004C5A40">
        <w:rPr>
          <w:rFonts w:eastAsiaTheme="minorEastAsia"/>
        </w:rPr>
        <w:t xml:space="preserve"> being the relative susceptibility of frogs with prior exposure compared with naïve frogs.</w:t>
      </w:r>
      <w:r w:rsidR="00BE3EC4">
        <w:rPr>
          <w:rFonts w:eastAsiaTheme="minorEastAsia"/>
        </w:rPr>
        <w:t xml:space="preserve"> </w:t>
      </w:r>
      <w:r w:rsidRPr="004C5A40">
        <w:rPr>
          <w:rFonts w:eastAsiaTheme="minorEastAsia"/>
        </w:rPr>
        <w:t xml:space="preserve">The compartment </w:t>
      </w:r>
      <m:oMath>
        <m:r>
          <w:rPr>
            <w:rFonts w:ascii="Cambria Math" w:eastAsiaTheme="minorEastAsia" w:hAnsi="Cambria Math"/>
          </w:rPr>
          <m:t>P</m:t>
        </m:r>
      </m:oMath>
      <w:r w:rsidRPr="004C5A40">
        <w:rPr>
          <w:rFonts w:eastAsiaTheme="minorEastAsia"/>
        </w:rPr>
        <w:t xml:space="preserve"> represents the log</w:t>
      </w:r>
      <w:r w:rsidRPr="00F72924">
        <w:rPr>
          <w:rFonts w:eastAsiaTheme="minorEastAsia"/>
          <w:vertAlign w:val="subscript"/>
        </w:rPr>
        <w:t>10</w:t>
      </w:r>
      <w:r w:rsidRPr="004C5A40">
        <w:rPr>
          <w:rFonts w:eastAsiaTheme="minorEastAsia"/>
        </w:rPr>
        <w:t xml:space="preserve"> zoospore load in the wetland environment, which gr</w:t>
      </w:r>
      <w:r w:rsidR="001A7CB3">
        <w:rPr>
          <w:rFonts w:eastAsiaTheme="minorEastAsia"/>
        </w:rPr>
        <w:t>ew</w:t>
      </w:r>
      <w:r w:rsidRPr="004C5A40">
        <w:rPr>
          <w:rFonts w:eastAsiaTheme="minorEastAsia"/>
        </w:rPr>
        <w:t xml:space="preserve"> logistically at a rate </w:t>
      </w:r>
      <m:oMath>
        <m:r>
          <w:rPr>
            <w:rFonts w:ascii="Cambria Math" w:eastAsiaTheme="minorEastAsia" w:hAnsi="Cambria Math"/>
          </w:rPr>
          <m:t>θ</m:t>
        </m:r>
      </m:oMath>
      <w:r w:rsidRPr="004C5A40">
        <w:rPr>
          <w:rFonts w:eastAsiaTheme="minorEastAsia"/>
        </w:rPr>
        <w:t xml:space="preserve"> eventually reaching the carrying capacity of the wetland environment </w:t>
      </w:r>
      <m:oMath>
        <m:sSub>
          <m:sSubPr>
            <m:ctrlPr>
              <w:rPr>
                <w:rFonts w:ascii="Cambria Math" w:hAnsi="Cambria Math"/>
              </w:rPr>
            </m:ctrlPr>
          </m:sSubPr>
          <m:e>
            <m:r>
              <w:rPr>
                <w:rFonts w:ascii="Cambria Math" w:eastAsiaTheme="minorEastAsia" w:hAnsi="Cambria Math"/>
              </w:rPr>
              <m:t>K</m:t>
            </m:r>
          </m:e>
          <m:sub>
            <m:r>
              <w:rPr>
                <w:rFonts w:ascii="Cambria Math" w:eastAsiaTheme="minorEastAsia" w:hAnsi="Cambria Math"/>
              </w:rPr>
              <m:t>p</m:t>
            </m:r>
          </m:sub>
        </m:sSub>
      </m:oMath>
      <w:r w:rsidRPr="004C5A40">
        <w:rPr>
          <w:rFonts w:eastAsiaTheme="minorEastAsia"/>
        </w:rPr>
        <w:t>.</w:t>
      </w:r>
      <w:r w:rsidR="00BE3EC4">
        <w:rPr>
          <w:rFonts w:eastAsiaTheme="minorEastAsia"/>
        </w:rPr>
        <w:t xml:space="preserve"> </w:t>
      </w:r>
      <w:r w:rsidR="00002580">
        <w:rPr>
          <w:rFonts w:eastAsiaTheme="minorEastAsia"/>
        </w:rPr>
        <w:t xml:space="preserve">Here, it </w:t>
      </w:r>
      <w:r w:rsidR="001A7CB3">
        <w:rPr>
          <w:rFonts w:eastAsiaTheme="minorEastAsia"/>
        </w:rPr>
        <w:t>was</w:t>
      </w:r>
      <w:r w:rsidR="00002580">
        <w:rPr>
          <w:rFonts w:eastAsiaTheme="minorEastAsia"/>
        </w:rPr>
        <w:t xml:space="preserve"> assumed that growth of zoospores in the environment occur</w:t>
      </w:r>
      <w:r w:rsidR="001A7CB3">
        <w:rPr>
          <w:rFonts w:eastAsiaTheme="minorEastAsia"/>
        </w:rPr>
        <w:t>red</w:t>
      </w:r>
      <w:r w:rsidR="00002580">
        <w:rPr>
          <w:rFonts w:eastAsiaTheme="minorEastAsia"/>
        </w:rPr>
        <w:t xml:space="preserve"> independently of </w:t>
      </w:r>
      <w:r w:rsidR="00712D55">
        <w:rPr>
          <w:rFonts w:eastAsiaTheme="minorEastAsia"/>
        </w:rPr>
        <w:t xml:space="preserve">the </w:t>
      </w:r>
      <w:r w:rsidR="00002580">
        <w:rPr>
          <w:rFonts w:eastAsiaTheme="minorEastAsia"/>
        </w:rPr>
        <w:t xml:space="preserve">infection rate in </w:t>
      </w:r>
      <w:r w:rsidR="00B84722">
        <w:rPr>
          <w:rFonts w:eastAsiaTheme="minorEastAsia"/>
        </w:rPr>
        <w:t>Bell Frogs</w:t>
      </w:r>
      <w:r w:rsidR="00002580">
        <w:rPr>
          <w:rFonts w:eastAsiaTheme="minorEastAsia"/>
        </w:rPr>
        <w:t>, due to the presence of infection in alternative</w:t>
      </w:r>
      <w:r w:rsidR="00712D55">
        <w:rPr>
          <w:rFonts w:eastAsiaTheme="minorEastAsia"/>
        </w:rPr>
        <w:t xml:space="preserve">, sympatric amphibian </w:t>
      </w:r>
      <w:r w:rsidR="00002580">
        <w:rPr>
          <w:rFonts w:eastAsiaTheme="minorEastAsia"/>
        </w:rPr>
        <w:t xml:space="preserve">hosts. </w:t>
      </w:r>
      <w:r w:rsidR="002C2A37">
        <w:rPr>
          <w:rFonts w:eastAsiaTheme="minorEastAsia"/>
        </w:rPr>
        <w:t>I</w:t>
      </w:r>
      <w:r w:rsidR="00712D55">
        <w:rPr>
          <w:rFonts w:eastAsiaTheme="minorEastAsia"/>
        </w:rPr>
        <w:t xml:space="preserve">t was </w:t>
      </w:r>
      <w:r w:rsidR="002C2A37">
        <w:rPr>
          <w:rFonts w:eastAsiaTheme="minorEastAsia"/>
        </w:rPr>
        <w:t xml:space="preserve">also </w:t>
      </w:r>
      <w:r w:rsidR="00712D55">
        <w:rPr>
          <w:rFonts w:eastAsiaTheme="minorEastAsia"/>
        </w:rPr>
        <w:t xml:space="preserve">assumed that </w:t>
      </w:r>
      <w:r w:rsidR="00B84722">
        <w:rPr>
          <w:rFonts w:eastAsiaTheme="minorEastAsia"/>
        </w:rPr>
        <w:t>Bell Frogs</w:t>
      </w:r>
      <w:r w:rsidR="00712D55">
        <w:rPr>
          <w:rFonts w:eastAsiaTheme="minorEastAsia"/>
        </w:rPr>
        <w:t xml:space="preserve"> undergo a period of brumation during the winter months, where frogs shelter among terrestrial habitat such as fallen timber and vegetation. As frogs do not use aquatic habitat during this time, they were not at-risk of </w:t>
      </w:r>
      <w:r w:rsidR="00727D3C">
        <w:rPr>
          <w:rFonts w:eastAsiaTheme="minorEastAsia"/>
        </w:rPr>
        <w:t xml:space="preserve">infection by </w:t>
      </w:r>
      <w:r w:rsidR="00C22886" w:rsidRPr="00C22886">
        <w:rPr>
          <w:rFonts w:eastAsiaTheme="minorEastAsia"/>
          <w:i/>
          <w:iCs/>
        </w:rPr>
        <w:t>Bd</w:t>
      </w:r>
      <w:r w:rsidR="00431AF7">
        <w:rPr>
          <w:rFonts w:eastAsiaTheme="minorEastAsia"/>
        </w:rPr>
        <w:t xml:space="preserve">. </w:t>
      </w:r>
      <w:r w:rsidR="00712D55">
        <w:rPr>
          <w:rFonts w:eastAsiaTheme="minorEastAsia"/>
        </w:rPr>
        <w:t>However, frogs</w:t>
      </w:r>
      <w:r w:rsidR="00727D3C">
        <w:rPr>
          <w:rFonts w:eastAsiaTheme="minorEastAsia"/>
        </w:rPr>
        <w:t xml:space="preserve"> infected prior to </w:t>
      </w:r>
      <w:r w:rsidR="00712D55">
        <w:rPr>
          <w:rFonts w:eastAsiaTheme="minorEastAsia"/>
        </w:rPr>
        <w:t>entering brumation were still at-risk of mortality</w:t>
      </w:r>
      <w:r w:rsidR="00C22886">
        <w:rPr>
          <w:rFonts w:eastAsiaTheme="minorEastAsia"/>
        </w:rPr>
        <w:t xml:space="preserve"> from </w:t>
      </w:r>
      <w:r w:rsidR="006B4154">
        <w:rPr>
          <w:rFonts w:eastAsiaTheme="minorEastAsia"/>
        </w:rPr>
        <w:t>c</w:t>
      </w:r>
      <w:r w:rsidR="00C22886">
        <w:rPr>
          <w:rFonts w:eastAsiaTheme="minorEastAsia"/>
        </w:rPr>
        <w:t>hytridiomycosis</w:t>
      </w:r>
      <w:r w:rsidR="00431AF7">
        <w:rPr>
          <w:rFonts w:eastAsiaTheme="minorEastAsia"/>
        </w:rPr>
        <w:t xml:space="preserve">. </w:t>
      </w:r>
      <w:r w:rsidR="002C2A37">
        <w:rPr>
          <w:rFonts w:eastAsiaTheme="minorEastAsia"/>
        </w:rPr>
        <w:t>The period of brumation was set at 4 months from May</w:t>
      </w:r>
      <w:r w:rsidR="002B4381">
        <w:rPr>
          <w:rFonts w:eastAsiaTheme="minorEastAsia"/>
        </w:rPr>
        <w:t xml:space="preserve"> 1</w:t>
      </w:r>
      <w:r w:rsidR="002C2A37">
        <w:rPr>
          <w:rFonts w:eastAsiaTheme="minorEastAsia"/>
        </w:rPr>
        <w:t xml:space="preserve"> to August</w:t>
      </w:r>
      <w:r w:rsidR="002B4381">
        <w:rPr>
          <w:rFonts w:eastAsiaTheme="minorEastAsia"/>
        </w:rPr>
        <w:t xml:space="preserve"> 31.</w:t>
      </w:r>
    </w:p>
    <w:p w14:paraId="23843398" w14:textId="089180EA" w:rsidR="008D5AE8" w:rsidRDefault="005C09C6" w:rsidP="008D5AE8">
      <w:pPr>
        <w:rPr>
          <w:rFonts w:eastAsiaTheme="minorEastAsia"/>
        </w:rPr>
      </w:pPr>
      <w:r w:rsidRPr="004C5A40">
        <w:rPr>
          <w:rFonts w:eastAsiaTheme="minorEastAsia"/>
        </w:rPr>
        <w:t>Recruitment to the adult life stage occurred seasonally</w:t>
      </w:r>
      <w:r w:rsidR="00C61650">
        <w:rPr>
          <w:rFonts w:eastAsiaTheme="minorEastAsia"/>
        </w:rPr>
        <w:t xml:space="preserve"> (days 250–365)</w:t>
      </w:r>
      <w:r w:rsidRPr="004C5A40">
        <w:rPr>
          <w:rFonts w:eastAsiaTheme="minorEastAsia"/>
        </w:rPr>
        <w:t xml:space="preserve"> at a rate </w:t>
      </w:r>
      <m:oMath>
        <m:r>
          <w:rPr>
            <w:rFonts w:ascii="Cambria Math" w:eastAsiaTheme="minorEastAsia" w:hAnsi="Cambria Math"/>
          </w:rPr>
          <m:t>b</m:t>
        </m:r>
      </m:oMath>
      <w:r w:rsidRPr="004C5A40">
        <w:rPr>
          <w:rFonts w:eastAsiaTheme="minorEastAsia"/>
        </w:rPr>
        <w:t>, which was subject to density-dependence</w:t>
      </w:r>
      <w:r w:rsidR="002B4381">
        <w:rPr>
          <w:rFonts w:eastAsiaTheme="minorEastAsia"/>
        </w:rPr>
        <w:t>,</w:t>
      </w:r>
      <w:r w:rsidRPr="004C5A40">
        <w:rPr>
          <w:rFonts w:eastAsiaTheme="minorEastAsia"/>
        </w:rPr>
        <w:t xml:space="preserve"> where </w:t>
      </w:r>
      <m:oMath>
        <m:r>
          <w:rPr>
            <w:rFonts w:ascii="Cambria Math" w:eastAsiaTheme="minorEastAsia" w:hAnsi="Cambria Math"/>
          </w:rPr>
          <m:t>g</m:t>
        </m:r>
      </m:oMath>
      <w:r w:rsidRPr="004C5A40">
        <w:rPr>
          <w:rFonts w:eastAsiaTheme="minorEastAsia"/>
        </w:rPr>
        <w:t xml:space="preserve"> represents the strength of density-dependent regulation</w:t>
      </w:r>
      <w:r w:rsidR="00431AF7">
        <w:rPr>
          <w:rFonts w:eastAsiaTheme="minorEastAsia"/>
        </w:rPr>
        <w:t xml:space="preserve">. </w:t>
      </w:r>
      <w:r w:rsidRPr="004C5A40">
        <w:rPr>
          <w:rFonts w:eastAsiaTheme="minorEastAsia"/>
        </w:rPr>
        <w:t xml:space="preserve">The </w:t>
      </w:r>
      <w:r w:rsidR="002C2A37">
        <w:rPr>
          <w:rFonts w:eastAsiaTheme="minorEastAsia"/>
        </w:rPr>
        <w:t>natural (</w:t>
      </w:r>
      <w:r w:rsidRPr="004C5A40">
        <w:rPr>
          <w:rFonts w:eastAsiaTheme="minorEastAsia"/>
        </w:rPr>
        <w:t>background</w:t>
      </w:r>
      <w:r w:rsidR="002C2A37">
        <w:rPr>
          <w:rFonts w:eastAsiaTheme="minorEastAsia"/>
        </w:rPr>
        <w:t>)</w:t>
      </w:r>
      <w:r w:rsidRPr="004C5A40">
        <w:rPr>
          <w:rFonts w:eastAsiaTheme="minorEastAsia"/>
        </w:rPr>
        <w:t xml:space="preserve"> mortality rate of frogs was </w:t>
      </w:r>
      <m:oMath>
        <m:r>
          <w:rPr>
            <w:rFonts w:ascii="Cambria Math" w:eastAsiaTheme="minorEastAsia" w:hAnsi="Cambria Math"/>
          </w:rPr>
          <m:t>d</m:t>
        </m:r>
      </m:oMath>
      <w:r w:rsidR="002B4381">
        <w:rPr>
          <w:rFonts w:eastAsiaTheme="minorEastAsia"/>
        </w:rPr>
        <w:t xml:space="preserve">, </w:t>
      </w:r>
      <w:r w:rsidRPr="004C5A40">
        <w:rPr>
          <w:rFonts w:eastAsiaTheme="minorEastAsia"/>
        </w:rPr>
        <w:t xml:space="preserve">with the </w:t>
      </w:r>
      <w:r w:rsidR="00C22886" w:rsidRPr="00C22886">
        <w:rPr>
          <w:rFonts w:eastAsiaTheme="minorEastAsia"/>
          <w:i/>
          <w:iCs/>
        </w:rPr>
        <w:t>Bd</w:t>
      </w:r>
      <w:r w:rsidRPr="004C5A40">
        <w:rPr>
          <w:rFonts w:eastAsiaTheme="minorEastAsia"/>
        </w:rPr>
        <w:t xml:space="preserve">-induced mortality rate occurring in infected frogs at a rate </w:t>
      </w:r>
      <m:oMath>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Z</m:t>
            </m:r>
          </m:e>
        </m:d>
      </m:oMath>
      <w:r w:rsidR="00002580">
        <w:rPr>
          <w:rFonts w:eastAsiaTheme="minorEastAsia"/>
        </w:rPr>
        <w:t>,</w:t>
      </w:r>
      <w:r w:rsidRPr="004C5A40">
        <w:rPr>
          <w:rFonts w:eastAsiaTheme="minorEastAsia"/>
        </w:rPr>
        <w:t xml:space="preserve"> </w:t>
      </w:r>
      <w:r w:rsidR="00002580">
        <w:rPr>
          <w:rFonts w:eastAsiaTheme="minorEastAsia"/>
        </w:rPr>
        <w:t>w</w:t>
      </w:r>
      <w:r w:rsidR="00454275">
        <w:rPr>
          <w:rFonts w:eastAsiaTheme="minorEastAsia"/>
        </w:rPr>
        <w:t>here</w:t>
      </w:r>
      <w:r w:rsidR="00002580">
        <w:rPr>
          <w:rFonts w:eastAsiaTheme="minorEastAsia"/>
        </w:rPr>
        <w:t xml:space="preserve"> </w:t>
      </w:r>
      <m:oMath>
        <m:r>
          <w:rPr>
            <w:rFonts w:ascii="Cambria Math" w:eastAsiaTheme="minorEastAsia" w:hAnsi="Cambria Math"/>
          </w:rPr>
          <m:t>α</m:t>
        </m:r>
      </m:oMath>
      <w:r w:rsidR="00454275">
        <w:rPr>
          <w:rFonts w:eastAsiaTheme="minorEastAsia"/>
        </w:rPr>
        <w:t xml:space="preserve"> was a function of </w:t>
      </w:r>
      <w:r w:rsidRPr="004C5A40">
        <w:rPr>
          <w:rFonts w:eastAsiaTheme="minorEastAsia"/>
        </w:rPr>
        <w:t>the log</w:t>
      </w:r>
      <w:r w:rsidRPr="00377D17">
        <w:rPr>
          <w:rFonts w:eastAsiaTheme="minorEastAsia"/>
          <w:vertAlign w:val="subscript"/>
        </w:rPr>
        <w:t>10</w:t>
      </w:r>
      <w:r w:rsidRPr="004C5A40">
        <w:rPr>
          <w:rFonts w:eastAsiaTheme="minorEastAsia"/>
        </w:rPr>
        <w:t xml:space="preserve"> zoospore load </w:t>
      </w:r>
      <m:oMath>
        <m:r>
          <w:rPr>
            <w:rFonts w:ascii="Cambria Math" w:eastAsiaTheme="minorEastAsia" w:hAnsi="Cambria Math"/>
          </w:rPr>
          <m:t>Z</m:t>
        </m:r>
      </m:oMath>
      <w:r w:rsidR="00454275">
        <w:rPr>
          <w:rFonts w:eastAsiaTheme="minorEastAsia"/>
        </w:rPr>
        <w:t xml:space="preserve"> </w:t>
      </w:r>
      <w:r w:rsidRPr="004C5A40">
        <w:rPr>
          <w:rFonts w:eastAsiaTheme="minorEastAsia"/>
        </w:rPr>
        <w:t>for an individual.</w:t>
      </w:r>
      <w:r w:rsidR="00BE3EC4">
        <w:rPr>
          <w:rFonts w:eastAsiaTheme="minorEastAsia"/>
        </w:rPr>
        <w:t xml:space="preserve"> </w:t>
      </w:r>
      <w:r w:rsidRPr="004C5A40">
        <w:rPr>
          <w:rFonts w:eastAsiaTheme="minorEastAsia"/>
        </w:rPr>
        <w:t xml:space="preserve">In addition, the </w:t>
      </w:r>
      <w:r w:rsidR="009278E6">
        <w:rPr>
          <w:rFonts w:eastAsiaTheme="minorEastAsia"/>
        </w:rPr>
        <w:t xml:space="preserve">zoospore load </w:t>
      </w:r>
      <w:r w:rsidRPr="004C5A40">
        <w:rPr>
          <w:rFonts w:eastAsiaTheme="minorEastAsia"/>
        </w:rPr>
        <w:t xml:space="preserve">applied to infected frogs that had </w:t>
      </w:r>
      <w:r w:rsidR="00727D3C">
        <w:rPr>
          <w:rFonts w:eastAsiaTheme="minorEastAsia"/>
        </w:rPr>
        <w:t xml:space="preserve">recovered from a </w:t>
      </w:r>
      <w:r w:rsidRPr="004C5A40">
        <w:rPr>
          <w:rFonts w:eastAsiaTheme="minorEastAsia"/>
        </w:rPr>
        <w:t xml:space="preserve">prior </w:t>
      </w:r>
      <w:r w:rsidR="00727D3C">
        <w:rPr>
          <w:rFonts w:eastAsiaTheme="minorEastAsia"/>
        </w:rPr>
        <w:t>infection</w:t>
      </w:r>
      <w:r w:rsidRPr="004C5A40">
        <w:rPr>
          <w:rFonts w:eastAsiaTheme="minorEastAsia"/>
        </w:rPr>
        <w:t xml:space="preserve"> was reduced </w:t>
      </w:r>
      <w:r w:rsidR="009278E6">
        <w:rPr>
          <w:rFonts w:eastAsiaTheme="minorEastAsia"/>
        </w:rPr>
        <w:t>compared with frogs with no prior exposure (see below)</w:t>
      </w:r>
      <w:r w:rsidRPr="004C5A40">
        <w:rPr>
          <w:rFonts w:eastAsiaTheme="minorEastAsia"/>
        </w:rPr>
        <w:t>.</w:t>
      </w:r>
      <w:r w:rsidR="00BE3EC4">
        <w:rPr>
          <w:rFonts w:eastAsiaTheme="minorEastAsia"/>
        </w:rPr>
        <w:t xml:space="preserve"> </w:t>
      </w:r>
      <w:r w:rsidRPr="004C5A40">
        <w:rPr>
          <w:rFonts w:eastAsiaTheme="minorEastAsia"/>
        </w:rPr>
        <w:t xml:space="preserve">This was based on the findings that the survival rate of </w:t>
      </w:r>
      <w:r w:rsidRPr="00A51ABB">
        <w:rPr>
          <w:rFonts w:eastAsiaTheme="minorEastAsia"/>
          <w:i/>
          <w:iCs/>
        </w:rPr>
        <w:t xml:space="preserve">L. </w:t>
      </w:r>
      <w:proofErr w:type="spellStart"/>
      <w:r w:rsidRPr="00A51ABB">
        <w:rPr>
          <w:rFonts w:eastAsiaTheme="minorEastAsia"/>
          <w:i/>
          <w:iCs/>
        </w:rPr>
        <w:t>aurea</w:t>
      </w:r>
      <w:proofErr w:type="spellEnd"/>
      <w:r w:rsidRPr="004C5A40">
        <w:rPr>
          <w:rFonts w:eastAsiaTheme="minorEastAsia"/>
        </w:rPr>
        <w:t xml:space="preserve"> infected with </w:t>
      </w:r>
      <w:r w:rsidR="00C22886" w:rsidRPr="00C22886">
        <w:rPr>
          <w:rFonts w:eastAsiaTheme="minorEastAsia"/>
          <w:i/>
          <w:iCs/>
        </w:rPr>
        <w:t>Bd</w:t>
      </w:r>
      <w:r w:rsidRPr="004C5A40">
        <w:rPr>
          <w:rFonts w:eastAsiaTheme="minorEastAsia"/>
        </w:rPr>
        <w:t xml:space="preserve"> was higher for frogs that had recovered from previous infections after thermal treatment </w:t>
      </w:r>
      <w:r w:rsidRPr="004C5A40">
        <w:rPr>
          <w:rFonts w:eastAsiaTheme="minorEastAsia"/>
        </w:rPr>
        <w:fldChar w:fldCharType="begin"/>
      </w:r>
      <w:r w:rsidR="009F541F">
        <w:rPr>
          <w:rFonts w:eastAsiaTheme="minorEastAsia"/>
        </w:rPr>
        <w:instrText xml:space="preserve"> ADDIN ZOTERO_ITEM CSL_CITATION {"citationID":"bRZWiN9u","properties":{"formattedCitation":"(Waddle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4C5A40">
        <w:rPr>
          <w:rFonts w:eastAsiaTheme="minorEastAsia"/>
        </w:rPr>
        <w:fldChar w:fldCharType="separate"/>
      </w:r>
      <w:r w:rsidR="009F541F" w:rsidRPr="009F541F">
        <w:t xml:space="preserve">(Waddle </w:t>
      </w:r>
      <w:r w:rsidR="009F541F" w:rsidRPr="00DA5824">
        <w:t>et al</w:t>
      </w:r>
      <w:r w:rsidR="009F541F" w:rsidRPr="009F541F">
        <w:rPr>
          <w:i/>
          <w:iCs/>
        </w:rPr>
        <w:t>.</w:t>
      </w:r>
      <w:r w:rsidR="009F541F" w:rsidRPr="009F541F">
        <w:t xml:space="preserve"> 2024)</w:t>
      </w:r>
      <w:r w:rsidRPr="004C5A40">
        <w:rPr>
          <w:rFonts w:eastAsiaTheme="minorEastAsia"/>
        </w:rPr>
        <w:fldChar w:fldCharType="end"/>
      </w:r>
      <w:r>
        <w:rPr>
          <w:rFonts w:eastAsiaTheme="minorEastAsia"/>
        </w:rPr>
        <w:t>.</w:t>
      </w:r>
      <w:r w:rsidR="00BE3EC4">
        <w:rPr>
          <w:rFonts w:eastAsiaTheme="minorEastAsia"/>
        </w:rPr>
        <w:t xml:space="preserve"> </w:t>
      </w:r>
    </w:p>
    <w:p w14:paraId="66C51D94" w14:textId="6A4EE608" w:rsidR="005C09C6" w:rsidRPr="005232DD" w:rsidRDefault="005C09C6" w:rsidP="00D925A8">
      <w:pPr>
        <w:pStyle w:val="Heading4"/>
        <w:rPr>
          <w:rFonts w:eastAsiaTheme="minorEastAsia"/>
        </w:rPr>
      </w:pPr>
      <w:r w:rsidRPr="005232DD">
        <w:rPr>
          <w:rFonts w:eastAsiaTheme="minorEastAsia"/>
        </w:rPr>
        <w:t>Chytrid</w:t>
      </w:r>
      <w:r w:rsidR="00545FA7">
        <w:rPr>
          <w:rFonts w:eastAsiaTheme="minorEastAsia"/>
        </w:rPr>
        <w:t>iomycosis</w:t>
      </w:r>
      <w:r w:rsidRPr="005232DD">
        <w:rPr>
          <w:rFonts w:eastAsiaTheme="minorEastAsia"/>
        </w:rPr>
        <w:t xml:space="preserve"> mortality rate</w:t>
      </w:r>
    </w:p>
    <w:p w14:paraId="330CA8E2" w14:textId="280CC123" w:rsidR="005C09C6" w:rsidRPr="00BD12AF" w:rsidRDefault="005C09C6" w:rsidP="005C09C6">
      <w:r w:rsidRPr="00BD12AF">
        <w:t xml:space="preserve">Many studies have now shown that the mortality rate caused by </w:t>
      </w:r>
      <w:r w:rsidR="00545FA7" w:rsidRPr="00545FA7">
        <w:rPr>
          <w:i/>
          <w:iCs/>
        </w:rPr>
        <w:t>Bd</w:t>
      </w:r>
      <w:r w:rsidRPr="00BD12AF">
        <w:t xml:space="preserve"> infection in many frog species is dependent on the zoospore load of individual frogs </w:t>
      </w:r>
      <m:oMath>
        <m:d>
          <m:dPr>
            <m:ctrlPr>
              <w:rPr>
                <w:rFonts w:ascii="Cambria Math" w:hAnsi="Cambria Math"/>
                <w:i/>
              </w:rPr>
            </m:ctrlPr>
          </m:dPr>
          <m:e>
            <m:r>
              <w:rPr>
                <w:rFonts w:ascii="Cambria Math" w:hAnsi="Cambria Math"/>
              </w:rPr>
              <m:t>Z</m:t>
            </m:r>
          </m:e>
        </m:d>
      </m:oMath>
      <w:r w:rsidR="007D503A">
        <w:t xml:space="preserve">, </w:t>
      </w:r>
      <w:r w:rsidRPr="00BD12AF">
        <w:t>and that significant mortality usually does not occur until the number of zoospore equivalents per swab reaches a threshold, estimated to be 10,000 (i.e. 4 on the log</w:t>
      </w:r>
      <w:r w:rsidRPr="004F4C3E">
        <w:rPr>
          <w:vertAlign w:val="subscript"/>
        </w:rPr>
        <w:t>10</w:t>
      </w:r>
      <w:r w:rsidRPr="00BD12AF">
        <w:t xml:space="preserve"> scale)</w:t>
      </w:r>
      <w:r w:rsidR="00BE3EC4">
        <w:t xml:space="preserve"> </w:t>
      </w:r>
      <w:r w:rsidRPr="00BD12AF">
        <w:fldChar w:fldCharType="begin"/>
      </w:r>
      <w:r w:rsidR="009F541F">
        <w:instrText xml:space="preserve"> ADDIN ZOTERO_ITEM CSL_CITATION {"citationID":"jFb4tIMk","properties":{"formattedCitation":"(Vredenburg {\\i{}et al.} 2010; Briggs {\\i{}et al.} 2010; Kinney {\\i{}et al.} 2011; Cashins {\\i{}et al.} 2013)","plainCitation":"(Vredenburg et al. 2010; Briggs et al. 2010; Kinney et al. 2011; Cashins et al. 2013)","noteIndex":0},"citationItems":[{"id":2807,"uris":["http://zotero.org/users/634364/items/M9E3T58H","http://zotero.org/users/634364/items/ARVEEZWS"],"itemData":{"id":2807,"type":"article-journal","container-title":"Proceedings of the National Academy of Sciences","ISSN":"0027-8424","issue":"21","note":"Citation Key: RN1418","page":"9689-9694","title":"Dynamics of an emerging disease drive large-scale amphibian population extinctions","volume":"107","author":[{"family":"Vredenburg","given":"Vance T"},{"family":"Knapp","given":"Roland A"},{"family":"Tunstall","given":"Tate S"},{"family":"Briggs","given":"Cheryl J"}],"issued":{"date-parts":[["2010"]]}}},{"id":9512,"uris":["http://zotero.org/users/634364/items/96D2QH9Z"],"itemData":{"id":9512,"type":"article-journal","abstract":"Chytridiomycosis, the disease caused by the chytrid fungus,\n              Batrachochytrium dendrobatidis\n              (Bd), has contributed to amphibian population declines and extinctions worldwide. The impact of this pathogen, however, varies markedly among amphibian species and populations. Following invasion into some areas of California's Sierra Nevada, Bd leads to rapid declines and local extinctions of frog populations (\n              Rana muscosa\n              ,\n              R. sierrae\n              ). In other areas, infected populations of the same frog species have declined but persisted at low host densities for many years. We present results of a 5-year study showing that infected adult frogs in persistent populations have low fungal loads, are surviving between years, and frequently lose and regain the infection. Here we put forward the hypothesis that fungal load dynamics can explain the different population-level outcomes of Bd observed in different areas of the Sierra Nevada and possibly throughout the world. We develop a model that incorporates the biological details of the Bd-host interaction. Importantly, model results suggest that host persistence versus extinction does not require differences in host susceptibility, pathogen virulence, or environmental conditions, and may be just epidemic and endemic population dynamics of the same host–pathogen system. The different disease outcomes seen in natural populations may result solely from density-dependent host–pathogen dynamics. The model also shows that persistence of Bd is enhanced by the long-lived tadpole stage that characterize these two frog species, and by nonhost Bd reservoirs.","container-title":"Proceedings of the National Academy of Sciences","DOI":"10.1073/pnas.0912886107","ISSN":"0027-8424, 1091-6490","issue":"21","journalAbbreviation":"Proc. Natl. Acad. Sci. U.S.A.","language":"en","page":"9695-9700","source":"DOI.org (Crossref)","title":"Enzootic and epizootic dynamics of the chytrid fungal pathogen of amphibians","volume":"107","author":[{"family":"Briggs","given":"Cheryl J."},{"family":"Knapp","given":"Roland A."},{"family":"Vredenburg","given":"Vance T."}],"issued":{"date-parts":[["2010",5,25]]}}},{"id":9591,"uris":["http://zotero.org/users/634364/items/E2SUQXYQ"],"itemData":{"id":9591,"type":"article-journal","abstract":"To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J."}],"editor":[{"family":"Nielsen","given":"Kirsten"}],"issued":{"date-parts":[["2011",3,10]]}}},{"id":9679,"uris":["http://zotero.org/users/634364/items/9DVMP2ZT"],"itemData":{"id":9679,"type":"article-journal","abstract":"Many amphibians have declined globally due to introduction of the pathogenic fungus Batrachochytrium dendrobatidis (Bd). Hundreds of species, many in well-protected habitats, remain as small populations at risk of extinction. Currently the only proven conservation strategy is to maintain species in captivity to be reintroduced at a later date. However, methods to abate the disease in the wild are urgently needed so that reintroduced and wild animals can survive in the presence of Bd. Vaccination has been widely suggested as a potential strategy to improve survival. We used captive-bred offspring of critically endangered booroolong frogs (Litoria booroolongensis) to test if vaccination in the form of prior infection improves survival following re exposure. We infected frogs with a local Bd isolate, cleared infection after 30 days (d) using itraconazole just prior to the onset of clinical signs, and then re-exposed animals to Bd at 110 d. We found prior exposure had no effect on survival or infection intensities, clearly showing that real infections do not stimulate a protective adaptive immune response in this species. This result supports recent studies suggesting Bd may evade or suppress host immune functions. Our results suggest vaccination is unlikely to be useful in mitigating chytridiomycosis. However, survival of some individuals from all experimental groups indicates existence of protective innate immunity. Understanding and promoting this innate resistance holds potential for enabling species recovery.","container-title":"PLoS ONE","DOI":"10.1371/journal.pone.0056747","ISSN":"1932-6203","issue":"2","journalAbbreviation":"PLoS ONE","language":"en","page":"e56747","source":"DOI.org (Crossref)","title":"Prior Infection Does Not Improve Survival against the Amphibian Disease Chytridiomycosis","volume":"8","author":[{"family":"Cashins","given":"Scott D."},{"family":"Grogan","given":"Laura F."},{"family":"McFadden","given":"Michael"},{"family":"Hunter","given":"David"},{"family":"Harlow","given":"Peter S."},{"family":"Berger","given":"Lee"},{"family":"Skerratt","given":"Lee F."}],"editor":[{"family":"Gratwicke","given":"Brian"}],"issued":{"date-parts":[["2013",2,22]]}}}],"schema":"https://github.com/citation-style-language/schema/raw/master/csl-citation.json"} </w:instrText>
      </w:r>
      <w:r w:rsidRPr="00BD12AF">
        <w:fldChar w:fldCharType="separate"/>
      </w:r>
      <w:r w:rsidR="009F541F" w:rsidRPr="009F541F">
        <w:t>(</w:t>
      </w:r>
      <w:r w:rsidR="007D503A" w:rsidRPr="007D503A">
        <w:t>Briggs et al. 2010;</w:t>
      </w:r>
      <w:r w:rsidR="007D503A">
        <w:t xml:space="preserve"> </w:t>
      </w:r>
      <w:r w:rsidR="009F541F" w:rsidRPr="009F541F">
        <w:t>Vredenburg</w:t>
      </w:r>
      <w:r w:rsidR="009F541F" w:rsidRPr="007D503A">
        <w:t xml:space="preserve"> </w:t>
      </w:r>
      <w:r w:rsidR="009F541F" w:rsidRPr="00DA5824">
        <w:t>et al.</w:t>
      </w:r>
      <w:r w:rsidR="009F541F" w:rsidRPr="007D503A">
        <w:t xml:space="preserve"> 2010; Kinney </w:t>
      </w:r>
      <w:r w:rsidR="009F541F" w:rsidRPr="00DA5824">
        <w:t>et al.</w:t>
      </w:r>
      <w:r w:rsidR="009F541F" w:rsidRPr="007D503A">
        <w:t xml:space="preserve"> 2011; Cashins </w:t>
      </w:r>
      <w:r w:rsidR="009F541F" w:rsidRPr="00DA5824">
        <w:t>et al.</w:t>
      </w:r>
      <w:r w:rsidR="009F541F" w:rsidRPr="007D503A">
        <w:t xml:space="preserve"> 2</w:t>
      </w:r>
      <w:r w:rsidR="009F541F" w:rsidRPr="009F541F">
        <w:t>013)</w:t>
      </w:r>
      <w:r w:rsidRPr="00BD12AF">
        <w:fldChar w:fldCharType="end"/>
      </w:r>
      <w:r w:rsidRPr="00BD12AF">
        <w:t>.</w:t>
      </w:r>
      <w:r w:rsidR="00BE3EC4">
        <w:t xml:space="preserve"> </w:t>
      </w:r>
      <w:r w:rsidRPr="00BD12AF">
        <w:t xml:space="preserve">However, some studies in </w:t>
      </w:r>
      <w:r w:rsidRPr="004F4C3E">
        <w:rPr>
          <w:i/>
          <w:iCs/>
        </w:rPr>
        <w:t xml:space="preserve">L. </w:t>
      </w:r>
      <w:proofErr w:type="spellStart"/>
      <w:r w:rsidRPr="004F4C3E">
        <w:rPr>
          <w:i/>
          <w:iCs/>
        </w:rPr>
        <w:t>aurea</w:t>
      </w:r>
      <w:proofErr w:type="spellEnd"/>
      <w:r w:rsidRPr="00BD12AF">
        <w:t xml:space="preserve"> have found that </w:t>
      </w:r>
      <w:r w:rsidR="006B4154">
        <w:t>c</w:t>
      </w:r>
      <w:r w:rsidR="000E0BE1">
        <w:t>hytridiomycosis</w:t>
      </w:r>
      <w:r w:rsidRPr="00BD12AF">
        <w:t xml:space="preserve"> appears to develop at considerably lower threshold of 68 </w:t>
      </w:r>
      <w:r w:rsidRPr="00BD12AF">
        <w:fldChar w:fldCharType="begin"/>
      </w:r>
      <w:r w:rsidR="009F541F">
        <w:instrText xml:space="preserve"> ADDIN ZOTERO_ITEM CSL_CITATION {"citationID":"tUxgQvUj","properties":{"formattedCitation":"(Stockwell {\\i{}et al.} 2016)","plainCitation":"(Stockwell et al. 2016)","noteIndex":0},"citationItems":[{"id":9593,"uris":["http://zotero.org/users/634364/items/2QPLRAXE"],"itemData":{"id":9593,"type":"article-journal","abstract":"A simple diagnosis of the presence or absence of an infection is an uninformative metric when individuals differ considerably in their tolerance to different infection loads or resistance to rates of disease progression. Models that incorporate the relationship between the progression of the infection with the potential alternate outcomes provide a far more powerful predictive tool than diagnosis alone. The global decline of amphibians has been amplified by Batrachochytrium dendrobatidis, a pathogen that can cause the fatal disease chytridiomycosis. We measured the infection load and observed signs of disease in Litoria aurea. Receiver operating characteristic curves were used to quantify the dissimilarity between the infection loads of L. aurea that showed signs associated with chytridiomycosis and those that did not. Litoria aurea had a 78% probability of developing chytridiomycosis past a threshold of 68 zoospore equivalents (ZE) per swab and chytridiomycosis occurred within a variable range of 0.5–490 ZE. Studies should incorporate a species-specific threshold as a predictor of chytridiomycosis, rather than a binary diagnosis. Measures of susceptibility to chytridiomycosis must account not only for the ability of B. dendrobatidis to increase its abundance on the skin of amphibians but also to determine how each species tolerates these infection loads.","container-title":"FEMS Microbiology Letters","DOI":"10.1093/femsle/fnw111","ISSN":"1574-6968","issue":"12","journalAbbreviation":"FEMS Microbiology Letters","language":"en","page":"fnw111","source":"DOI.org (Crossref)","title":"Low disease-causing threshold in a frog species susceptible to chytridiomycosis","volume":"363","author":[{"family":"Stockwell","given":"Michelle P."},{"family":"Garnham","given":"James I."},{"family":"Bower","given":"Deborah S."},{"family":"Clulow","given":"John"},{"family":"Mahony","given":"Michael J."}],"editor":[{"family":"Boden","given":"Rich"}],"issued":{"date-parts":[["2016",6]]}}}],"schema":"https://github.com/citation-style-language/schema/raw/master/csl-citation.json"} </w:instrText>
      </w:r>
      <w:r w:rsidRPr="00BD12AF">
        <w:fldChar w:fldCharType="separate"/>
      </w:r>
      <w:r w:rsidR="009F541F" w:rsidRPr="009F541F">
        <w:t xml:space="preserve">(Stockwell </w:t>
      </w:r>
      <w:r w:rsidR="009F541F" w:rsidRPr="00DA5824">
        <w:t>et al.</w:t>
      </w:r>
      <w:r w:rsidR="009F541F" w:rsidRPr="00B23A84">
        <w:t xml:space="preserve"> </w:t>
      </w:r>
      <w:r w:rsidR="009F541F" w:rsidRPr="009F541F">
        <w:t>2016)</w:t>
      </w:r>
      <w:r w:rsidRPr="00BD12AF">
        <w:fldChar w:fldCharType="end"/>
      </w:r>
      <w:r w:rsidRPr="00BD12AF">
        <w:t>.</w:t>
      </w:r>
      <w:r w:rsidR="00BE3EC4">
        <w:t xml:space="preserve"> </w:t>
      </w:r>
      <w:r w:rsidRPr="00BD12AF">
        <w:t>The difference in the threshold</w:t>
      </w:r>
      <w:r w:rsidR="004A6139">
        <w:t xml:space="preserve"> for</w:t>
      </w:r>
      <w:r w:rsidRPr="00BD12AF">
        <w:t xml:space="preserve"> </w:t>
      </w:r>
      <m:oMath>
        <m:r>
          <w:rPr>
            <w:rFonts w:ascii="Cambria Math" w:hAnsi="Cambria Math"/>
          </w:rPr>
          <m:t>Z</m:t>
        </m:r>
      </m:oMath>
      <w:r w:rsidRPr="00BD12AF">
        <w:t xml:space="preserve"> in that study compared with studies in other species may be due to differences in methodology for processing and analysing swabs rather than reflecting innate differences </w:t>
      </w:r>
      <w:r w:rsidRPr="00BD12AF">
        <w:fldChar w:fldCharType="begin"/>
      </w:r>
      <w:r w:rsidR="009F541F">
        <w:instrText xml:space="preserve"> ADDIN ZOTERO_ITEM CSL_CITATION {"citationID":"RJojxHLe","properties":{"formattedCitation":"(Stockwell {\\i{}et al.} 2016)","plainCitation":"(Stockwell et al. 2016)","noteIndex":0},"citationItems":[{"id":9593,"uris":["http://zotero.org/users/634364/items/2QPLRAXE"],"itemData":{"id":9593,"type":"article-journal","abstract":"A simple diagnosis of the presence or absence of an infection is an uninformative metric when individuals differ considerably in their tolerance to different infection loads or resistance to rates of disease progression. Models that incorporate the relationship between the progression of the infection with the potential alternate outcomes provide a far more powerful predictive tool than diagnosis alone. The global decline of amphibians has been amplified by Batrachochytrium dendrobatidis, a pathogen that can cause the fatal disease chytridiomycosis. We measured the infection load and observed signs of disease in Litoria aurea. Receiver operating characteristic curves were used to quantify the dissimilarity between the infection loads of L. aurea that showed signs associated with chytridiomycosis and those that did not. Litoria aurea had a 78% probability of developing chytridiomycosis past a threshold of 68 zoospore equivalents (ZE) per swab and chytridiomycosis occurred within a variable range of 0.5–490 ZE. Studies should incorporate a species-specific threshold as a predictor of chytridiomycosis, rather than a binary diagnosis. Measures of susceptibility to chytridiomycosis must account not only for the ability of B. dendrobatidis to increase its abundance on the skin of amphibians but also to determine how each species tolerates these infection loads.","container-title":"FEMS Microbiology Letters","DOI":"10.1093/femsle/fnw111","ISSN":"1574-6968","issue":"12","journalAbbreviation":"FEMS Microbiology Letters","language":"en","page":"fnw111","source":"DOI.org (Crossref)","title":"Low disease-causing threshold in a frog species susceptible to chytridiomycosis","volume":"363","author":[{"family":"Stockwell","given":"Michelle P."},{"family":"Garnham","given":"James I."},{"family":"Bower","given":"Deborah S."},{"family":"Clulow","given":"John"},{"family":"Mahony","given":"Michael J."}],"editor":[{"family":"Boden","given":"Rich"}],"issued":{"date-parts":[["2016",6]]}}}],"schema":"https://github.com/citation-style-language/schema/raw/master/csl-citation.json"} </w:instrText>
      </w:r>
      <w:r w:rsidRPr="00BD12AF">
        <w:fldChar w:fldCharType="separate"/>
      </w:r>
      <w:r w:rsidR="009F541F" w:rsidRPr="009F541F">
        <w:t xml:space="preserve">(Stockwell </w:t>
      </w:r>
      <w:r w:rsidR="009F541F" w:rsidRPr="00DA5824">
        <w:t>et al.</w:t>
      </w:r>
      <w:r w:rsidR="009F541F" w:rsidRPr="00B23A84">
        <w:t xml:space="preserve"> </w:t>
      </w:r>
      <w:r w:rsidR="009F541F" w:rsidRPr="009F541F">
        <w:t>2016)</w:t>
      </w:r>
      <w:r w:rsidRPr="00BD12AF">
        <w:fldChar w:fldCharType="end"/>
      </w:r>
      <w:r w:rsidRPr="00BD12AF">
        <w:t xml:space="preserve">. In contrast, a more recent study on </w:t>
      </w:r>
      <w:r w:rsidRPr="0004655D">
        <w:rPr>
          <w:i/>
          <w:iCs/>
        </w:rPr>
        <w:t xml:space="preserve">L. </w:t>
      </w:r>
      <w:proofErr w:type="spellStart"/>
      <w:r w:rsidRPr="0004655D">
        <w:rPr>
          <w:i/>
          <w:iCs/>
        </w:rPr>
        <w:t>aurea</w:t>
      </w:r>
      <w:proofErr w:type="spellEnd"/>
      <w:r w:rsidR="00BE3EC4">
        <w:t xml:space="preserve"> </w:t>
      </w:r>
      <w:r w:rsidRPr="00BD12AF">
        <w:t>appears to confirm a log</w:t>
      </w:r>
      <w:r w:rsidRPr="0004655D">
        <w:rPr>
          <w:vertAlign w:val="subscript"/>
        </w:rPr>
        <w:t>10</w:t>
      </w:r>
      <w:r w:rsidRPr="00BD12AF">
        <w:t xml:space="preserve"> threshold</w:t>
      </w:r>
      <w:r w:rsidR="004A6139">
        <w:t xml:space="preserve"> for</w:t>
      </w:r>
      <w:r w:rsidRPr="00BD12AF">
        <w:t xml:space="preserve"> </w:t>
      </w:r>
      <m:oMath>
        <m:r>
          <w:rPr>
            <w:rFonts w:ascii="Cambria Math" w:hAnsi="Cambria Math"/>
          </w:rPr>
          <m:t>Z</m:t>
        </m:r>
      </m:oMath>
      <w:r w:rsidR="004A6139">
        <w:t xml:space="preserve"> </w:t>
      </w:r>
      <w:r w:rsidRPr="00BD12AF">
        <w:t xml:space="preserve">of 4 for the </w:t>
      </w:r>
      <w:r w:rsidR="006B4154">
        <w:t>c</w:t>
      </w:r>
      <w:r w:rsidRPr="00BD12AF">
        <w:t>hytrid</w:t>
      </w:r>
      <w:r w:rsidR="00545FA7">
        <w:t>iomycosis</w:t>
      </w:r>
      <w:r w:rsidRPr="00BD12AF">
        <w:t xml:space="preserve"> mortality rate </w:t>
      </w:r>
      <w:r w:rsidRPr="00BD12AF">
        <w:fldChar w:fldCharType="begin"/>
      </w:r>
      <w:r w:rsidR="009F541F">
        <w:instrText xml:space="preserve"> ADDIN ZOTERO_ITEM CSL_CITATION {"citationID":"9VO7pOyx","properties":{"formattedCitation":"(Waddle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BD12AF">
        <w:fldChar w:fldCharType="separate"/>
      </w:r>
      <w:r w:rsidR="009F541F" w:rsidRPr="009F541F">
        <w:t xml:space="preserve">(Waddle </w:t>
      </w:r>
      <w:r w:rsidR="009F541F" w:rsidRPr="00DA5824">
        <w:t>et al.</w:t>
      </w:r>
      <w:r w:rsidR="009F541F" w:rsidRPr="009F541F">
        <w:t xml:space="preserve"> 2024)</w:t>
      </w:r>
      <w:r w:rsidRPr="00BD12AF">
        <w:fldChar w:fldCharType="end"/>
      </w:r>
      <w:r w:rsidRPr="00BD12AF">
        <w:t xml:space="preserve">. </w:t>
      </w:r>
    </w:p>
    <w:p w14:paraId="07B7B215" w14:textId="78728089" w:rsidR="005C09C6" w:rsidRPr="00BD12AF" w:rsidRDefault="005C09C6" w:rsidP="005C09C6">
      <w:r w:rsidRPr="00BD12AF">
        <w:t xml:space="preserve">Other studies have also established </w:t>
      </w:r>
      <w:r w:rsidR="00B23A84">
        <w:t xml:space="preserve">a </w:t>
      </w:r>
      <w:r w:rsidRPr="00BD12AF">
        <w:t>relationship between the zoospore growth rate on infected frogs and the maximum zoospore load</w:t>
      </w:r>
      <w:r w:rsidR="004A6139">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max</m:t>
                </m:r>
              </m:sub>
            </m:sSub>
          </m:e>
        </m:d>
      </m:oMath>
      <w:r w:rsidRPr="00BD12AF">
        <w:t xml:space="preserve">, which is dependent on the thermal environment </w:t>
      </w:r>
      <w:r w:rsidRPr="00BD12AF">
        <w:fldChar w:fldCharType="begin"/>
      </w:r>
      <w:r w:rsidR="009F541F">
        <w:instrText xml:space="preserve"> ADDIN ZOTERO_ITEM CSL_CITATION {"citationID":"CTyj3TT9","properties":{"formattedCitation":"(Vredenburg {\\i{}et al.} 2010; Waddle {\\i{}et al.} 2024)","plainCitation":"(Vredenburg et al. 2010; Waddle et al. 2024)","noteIndex":0},"citationItems":[{"id":2807,"uris":["http://zotero.org/users/634364/items/M9E3T58H","http://zotero.org/users/634364/items/ARVEEZWS"],"itemData":{"id":2807,"type":"article-journal","container-title":"Proceedings of the National Academy of Sciences","ISSN":"0027-8424","issue":"21","note":"Citation Key: RN1418","page":"9689-9694","title":"Dynamics of an emerging disease drive large-scale amphibian population extinctions","volume":"107","author":[{"family":"Vredenburg","given":"Vance T"},{"family":"Knapp","given":"Roland A"},{"family":"Tunstall","given":"Tate S"},{"family":"Briggs","given":"Cheryl J"}],"issued":{"date-parts":[["2010"]]}}},{"id":9595,"uris":["http://zotero.org/users/634364/items/DY59MKJH"],"itemData":{"id":9595,"type":"article-journal","container-title":"Nature","DOI":"10.1038/s41586-024-07582-y","ISSN":"0028-0836,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BD12AF">
        <w:fldChar w:fldCharType="separate"/>
      </w:r>
      <w:r w:rsidR="009F541F" w:rsidRPr="009F541F">
        <w:t xml:space="preserve">(Vredenburg </w:t>
      </w:r>
      <w:r w:rsidR="009F541F" w:rsidRPr="00DA5824">
        <w:t>et al.</w:t>
      </w:r>
      <w:r w:rsidR="009F541F" w:rsidRPr="009F541F">
        <w:t xml:space="preserve"> 2010; Waddle </w:t>
      </w:r>
      <w:r w:rsidR="009F541F" w:rsidRPr="00DA5824">
        <w:t>et al.</w:t>
      </w:r>
      <w:r w:rsidR="009F541F" w:rsidRPr="00B23A84">
        <w:t xml:space="preserve"> </w:t>
      </w:r>
      <w:r w:rsidR="009F541F" w:rsidRPr="009F541F">
        <w:t>2024)</w:t>
      </w:r>
      <w:r w:rsidRPr="00BD12AF">
        <w:fldChar w:fldCharType="end"/>
      </w:r>
      <w:r w:rsidRPr="00BD12AF">
        <w:t>.</w:t>
      </w:r>
      <w:r w:rsidR="00BE3EC4">
        <w:t xml:space="preserve"> </w:t>
      </w:r>
      <w:r w:rsidR="00B23A84">
        <w:t>F</w:t>
      </w:r>
      <w:r w:rsidRPr="00BD12AF">
        <w:t xml:space="preserve">rogs are ectotherms, </w:t>
      </w:r>
      <w:r w:rsidR="00B23A84">
        <w:t>which have</w:t>
      </w:r>
      <w:r w:rsidRPr="00BD12AF">
        <w:t xml:space="preserve"> body temperature</w:t>
      </w:r>
      <w:r w:rsidR="00B23A84">
        <w:t>s that</w:t>
      </w:r>
      <w:r w:rsidRPr="00BD12AF">
        <w:t xml:space="preserve"> fluctuate with the external environment</w:t>
      </w:r>
      <w:r w:rsidR="00B23A84">
        <w:t>. F</w:t>
      </w:r>
      <w:r w:rsidRPr="00BD12AF">
        <w:t xml:space="preserve">or habitats with endemic </w:t>
      </w:r>
      <w:r w:rsidR="00545FA7" w:rsidRPr="00545FA7">
        <w:rPr>
          <w:i/>
          <w:iCs/>
        </w:rPr>
        <w:t>Bd</w:t>
      </w:r>
      <w:r w:rsidRPr="00BD12AF">
        <w:t xml:space="preserve">, this manifests as pulses of seasonal mortality </w:t>
      </w:r>
      <w:r w:rsidR="00B23A84">
        <w:t xml:space="preserve">– with highest numbers of mortalities occurring </w:t>
      </w:r>
      <w:r w:rsidRPr="00BD12AF">
        <w:t>during the cooler months</w:t>
      </w:r>
      <w:r w:rsidR="00B23A84">
        <w:t>,</w:t>
      </w:r>
      <w:r w:rsidRPr="00BD12AF">
        <w:t xml:space="preserve"> </w:t>
      </w:r>
      <w:r w:rsidR="00B23A84">
        <w:t xml:space="preserve">and </w:t>
      </w:r>
      <w:r w:rsidRPr="00BD12AF">
        <w:t xml:space="preserve">recovery and disease resolution occurring during the warmer months </w:t>
      </w:r>
      <w:r w:rsidRPr="00BD12AF">
        <w:fldChar w:fldCharType="begin"/>
      </w:r>
      <w:r w:rsidR="009F541F">
        <w:instrText xml:space="preserve"> ADDIN ZOTERO_ITEM CSL_CITATION {"citationID":"iu67b1sK","properties":{"formattedCitation":"(Berger {\\i{}et al.} 2004; Kinney {\\i{}et al.} 2011)","plainCitation":"(Berger et al. 2004; Kinney et al. 2011)","noteIndex":0},"citationItems":[{"id":9558,"uris":["http://zotero.org/users/634364/items/4QK67K76"],"itemData":{"id":9558,"type":"article-journal","abstract":"Objective To investigate the distribution and incidence of chytridiomycosis in eastern Australian frogs and to examine the effects of temperature on this disease. Design A pathological survey and a transmission experiment were conducted. Procedure Diagnostic pathology examinations were performed on free-living and captive, ill and dead amphibians collected opportunistically from eastern Australia between October 1993 and December 2000. We conducted a transmission experiment in the laboratory to investigate the effects of temperature: eight great barred frogs (Mixophyes fasciolatus) exposed to zoospores of Batrachochytrium dendrobatidis and six unexposed frogs were housed individually in each of three rooms held at 17°C, 23°C and 27°C.\nResults Chytridiomycosis was the cause of death or morbidity for 133 (55.2%) of 241 free-living amphibians and for 66 (58.4%) of 113 captive amphibians. This disease occurred in 34 amphibian species, was widespread around the eastern seaboard of Australia and affected amphibians in a variety of habitats at high and low altitudes on or between the Great Dividing Range and the coast. The incidence of chytridiomycosis was higher in winter, with 53% of wild frogs from Queensland and New South Wales dying in July and August. Other diseases were much less common and were detected mostly in spring and summer. In experimental infections, lower temperatures enhanced the pathogenicity of B dendrobatidis in M fasciolatus. All 16 frogs exposed to B dendrobatidis at 17°C and 23°C died, whereas 4 of 8 frogs exposed at 27°C survived. However, the time until death for the frogs that died at 27°C was shorter than at the lower temperatures. Infections in survivors were eliminated by 98 days.\nConclusion Chytridiomycosis is a major cause of mortality in free-living and captive amphibians in Australia and mortality rate increases at lower temperatures.","container-title":"Australian Veterinary Journal","DOI":"10.1111/j.1751-0813.2004.tb11137.x","ISSN":"0005-0423, 1751-0813","issue":"7","journalAbbreviation":"Aust Veterinary J","language":"en","page":"434-439","source":"DOI.org (Crossref)","title":"Effect of season and temperature on mortality in amphibians due to chytridiomycosis","volume":"82","author":[{"family":"Berger","given":"L"},{"family":"Speare","given":"R"},{"family":"Hines","given":"Hb"},{"family":"Marantelli","given":"G"},{"family":"Hyatt","given":"Ad"},{"family":"McDonald","given":"Kr"},{"family":"Skerratt","given":"Lf"},{"family":"Olsen","given":"V"},{"family":"Clarke","given":"Jm"},{"family":"Gillespie","given":"G"},{"family":"Mahony","given":"M"},{"family":"Sheppard","given":"N"},{"family":"Williams","given":"C"},{"family":"Tyler","given":"Mj"}],"issued":{"date-parts":[["2004",7]]}}},{"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J."}],"editor":[{"family":"Nielsen","given":"Kirsten"}],"issued":{"date-parts":[["2011",3,10]]}},"label":"page"}],"schema":"https://github.com/citation-style-language/schema/raw/master/csl-citation.json"} </w:instrText>
      </w:r>
      <w:r w:rsidRPr="00BD12AF">
        <w:fldChar w:fldCharType="separate"/>
      </w:r>
      <w:r w:rsidR="009F541F" w:rsidRPr="009F541F">
        <w:t xml:space="preserve">(Berger </w:t>
      </w:r>
      <w:r w:rsidR="009F541F" w:rsidRPr="00DA5824">
        <w:t>et al.</w:t>
      </w:r>
      <w:r w:rsidR="009F541F" w:rsidRPr="00B23A84">
        <w:t xml:space="preserve"> 2004; Kinney </w:t>
      </w:r>
      <w:r w:rsidR="009F541F" w:rsidRPr="00DA5824">
        <w:t>et al</w:t>
      </w:r>
      <w:r w:rsidR="009F541F" w:rsidRPr="009F541F">
        <w:rPr>
          <w:i/>
          <w:iCs/>
        </w:rPr>
        <w:t>.</w:t>
      </w:r>
      <w:r w:rsidR="009F541F" w:rsidRPr="009F541F">
        <w:t xml:space="preserve"> 2011)</w:t>
      </w:r>
      <w:r w:rsidRPr="00BD12AF">
        <w:fldChar w:fldCharType="end"/>
      </w:r>
      <w:r w:rsidRPr="00BD12AF">
        <w:t xml:space="preserve">. </w:t>
      </w:r>
      <w:r w:rsidR="00B23A84">
        <w:t>Therefore</w:t>
      </w:r>
      <w:r w:rsidRPr="00BD12AF">
        <w:t xml:space="preserve">, to simulate the dynamics of </w:t>
      </w:r>
      <w:r w:rsidR="00545FA7" w:rsidRPr="00545FA7">
        <w:rPr>
          <w:i/>
          <w:iCs/>
        </w:rPr>
        <w:t>Bd</w:t>
      </w:r>
      <w:r w:rsidRPr="00BD12AF">
        <w:t xml:space="preserve"> in </w:t>
      </w:r>
      <w:r w:rsidR="00B84722">
        <w:t>Bell Frogs</w:t>
      </w:r>
      <w:r w:rsidR="00B23A84">
        <w:t xml:space="preserve"> for the current study</w:t>
      </w:r>
      <w:r w:rsidRPr="00BD12AF">
        <w:t xml:space="preserve">, we assumed the following relationships between waterbody temperature, zoospore growth and </w:t>
      </w:r>
      <w:r w:rsidR="006B4154">
        <w:t>c</w:t>
      </w:r>
      <w:r w:rsidRPr="00BD12AF">
        <w:t>hytrid</w:t>
      </w:r>
      <w:r w:rsidR="00545FA7">
        <w:t>iomycosis</w:t>
      </w:r>
      <w:r w:rsidRPr="00BD12AF">
        <w:t xml:space="preserve"> mortality.</w:t>
      </w:r>
    </w:p>
    <w:p w14:paraId="2D378A26" w14:textId="77777777" w:rsidR="005C09C6" w:rsidRPr="007F3575" w:rsidRDefault="005C09C6" w:rsidP="00D925A8">
      <w:pPr>
        <w:pStyle w:val="Heading4"/>
      </w:pPr>
      <w:r w:rsidRPr="00D925A8">
        <w:t>Maximum</w:t>
      </w:r>
      <w:r w:rsidRPr="007F3575">
        <w:t xml:space="preserve"> zoospore load</w:t>
      </w:r>
    </w:p>
    <w:p w14:paraId="46BBA853" w14:textId="5A9C4510" w:rsidR="005C09C6" w:rsidRDefault="00CD66F6" w:rsidP="005C09C6">
      <w:pPr>
        <w:rPr>
          <w:rFonts w:eastAsiaTheme="minorEastAsia"/>
        </w:rPr>
      </w:pPr>
      <w:r w:rsidRPr="00CD66F6">
        <w:t xml:space="preserve">Once infected with </w:t>
      </w:r>
      <w:r w:rsidRPr="00CD66F6">
        <w:rPr>
          <w:i/>
          <w:iCs/>
        </w:rPr>
        <w:t>Bd,</w:t>
      </w:r>
      <w:r w:rsidRPr="00CD66F6">
        <w:t xml:space="preserve"> zoospore growth </w:t>
      </w:r>
      <m:oMath>
        <m:r>
          <w:rPr>
            <w:rFonts w:ascii="Cambria Math" w:hAnsi="Cambria Math"/>
          </w:rPr>
          <m:t>Z</m:t>
        </m:r>
      </m:oMath>
      <w:r w:rsidR="004A6139">
        <w:t xml:space="preserve"> </w:t>
      </w:r>
      <w:r w:rsidRPr="00CD66F6">
        <w:t xml:space="preserve">on individual frogs increased exponentially eventually reaching an asymptote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Pr="00CD66F6">
        <w:t>.</w:t>
      </w:r>
      <w:r w:rsidR="00BE3EC4">
        <w:t xml:space="preserve"> </w:t>
      </w:r>
      <w:r w:rsidRPr="00CD66F6">
        <w:t xml:space="preserve">The value of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00BE3EC4">
        <w:t xml:space="preserve"> </w:t>
      </w:r>
      <w:r w:rsidRPr="00CD66F6">
        <w:t xml:space="preserve">was dependent on both temperature and whether the frog had recovered from a prior infection with </w:t>
      </w:r>
      <w:r w:rsidR="00545FA7" w:rsidRPr="00545FA7">
        <w:rPr>
          <w:i/>
          <w:iCs/>
        </w:rPr>
        <w:t>Bd</w:t>
      </w:r>
      <w:r w:rsidRPr="00CD66F6">
        <w:t xml:space="preserve"> (prior exposure) </w:t>
      </w:r>
      <w:r w:rsidRPr="00CD66F6">
        <w:fldChar w:fldCharType="begin"/>
      </w:r>
      <w:r w:rsidR="009F541F">
        <w:instrText xml:space="preserve"> ADDIN ZOTERO_ITEM CSL_CITATION {"citationID":"Ijp2hCbM","properties":{"formattedCitation":"(Waddle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F."},{"family":"Shine","given":"Richard"}],"issued":{"date-parts":[["2024",7,11]]}},"label":"page"}],"schema":"https://github.com/citation-style-language/schema/raw/master/csl-citation.json"} </w:instrText>
      </w:r>
      <w:r w:rsidRPr="00CD66F6">
        <w:fldChar w:fldCharType="separate"/>
      </w:r>
      <w:r w:rsidR="009F541F" w:rsidRPr="009F541F">
        <w:t xml:space="preserve">(Waddle </w:t>
      </w:r>
      <w:r w:rsidR="009F541F" w:rsidRPr="00DA5824">
        <w:t>et al</w:t>
      </w:r>
      <w:r w:rsidR="009F541F" w:rsidRPr="009F541F">
        <w:rPr>
          <w:i/>
          <w:iCs/>
        </w:rPr>
        <w:t>.</w:t>
      </w:r>
      <w:r w:rsidR="009F541F" w:rsidRPr="009F541F">
        <w:t xml:space="preserve"> 2024)</w:t>
      </w:r>
      <w:r w:rsidRPr="00CD66F6">
        <w:fldChar w:fldCharType="end"/>
      </w:r>
      <w:r w:rsidRPr="00CD66F6">
        <w:t>.</w:t>
      </w:r>
      <w:r w:rsidR="00BE3EC4">
        <w:t xml:space="preserve"> </w:t>
      </w:r>
      <w:r w:rsidRPr="00CD66F6">
        <w:t>For temperature ranges in the environment from 10–30</w:t>
      </w:r>
      <w:r w:rsidR="00B23A84" w:rsidRPr="00DA5824">
        <w:t>°</w:t>
      </w:r>
      <w:r w:rsidRPr="00CD66F6">
        <w:t xml:space="preserve">C we assumed a decreasing, non-linear relationship between temperature and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Pr="00CD66F6">
        <w:t>,</w:t>
      </w:r>
      <w:r w:rsidR="00BE3EC4">
        <w:t xml:space="preserve"> </w:t>
      </w:r>
      <w:r w:rsidRPr="00CD66F6">
        <w:t>that differed with prior exposure (Figure 2</w:t>
      </w:r>
      <w:r w:rsidR="007D653D">
        <w:t>0</w:t>
      </w:r>
      <w:r w:rsidRPr="00CD66F6">
        <w:t>).</w:t>
      </w:r>
      <w:r w:rsidR="00BE3EC4">
        <w:t xml:space="preserve"> </w:t>
      </w:r>
      <w:r w:rsidRPr="00CD66F6">
        <w:t xml:space="preserve">Frogs with no previous exposure to </w:t>
      </w:r>
      <w:r w:rsidR="00545FA7" w:rsidRPr="00545FA7">
        <w:rPr>
          <w:i/>
          <w:iCs/>
        </w:rPr>
        <w:t>Bd</w:t>
      </w:r>
      <w:r w:rsidRPr="00CD66F6">
        <w:t xml:space="preserve"> could attain a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Pr="00CD66F6">
        <w:t xml:space="preserve"> of 5.9 on the log</w:t>
      </w:r>
      <w:r w:rsidRPr="00CD66F6">
        <w:rPr>
          <w:vertAlign w:val="subscript"/>
        </w:rPr>
        <w:t>10</w:t>
      </w:r>
      <w:r w:rsidRPr="00CD66F6">
        <w:t xml:space="preserve"> scale at an ambient temperature of 10</w:t>
      </w:r>
      <w:r w:rsidR="00B23A84">
        <w:t>°</w:t>
      </w:r>
      <w:r w:rsidRPr="00CD66F6">
        <w:t>C, which declined to a</w:t>
      </w:r>
      <w:r w:rsidR="00BE3EC4">
        <w:t xml:space="preserve">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Pr="00CD66F6">
        <w:t xml:space="preserve"> of 2.1 at an ambient temperature of 30</w:t>
      </w:r>
      <w:r w:rsidR="00B23A84">
        <w:t>°</w:t>
      </w:r>
      <w:r w:rsidRPr="00CD66F6">
        <w:t>C.</w:t>
      </w:r>
      <w:r w:rsidR="00BE3EC4">
        <w:t xml:space="preserve"> </w:t>
      </w:r>
      <w:r w:rsidRPr="00CD66F6">
        <w:t xml:space="preserve">Similarly, for frogs with prior exposure to </w:t>
      </w:r>
      <w:r w:rsidR="00545FA7" w:rsidRPr="00545FA7">
        <w:rPr>
          <w:i/>
          <w:iCs/>
        </w:rPr>
        <w:t>Bd</w:t>
      </w:r>
      <w:r w:rsidRPr="00CD66F6">
        <w:t xml:space="preserve"> </w:t>
      </w:r>
      <m:oMath>
        <m:sSub>
          <m:sSubPr>
            <m:ctrlPr>
              <w:rPr>
                <w:rFonts w:ascii="Cambria Math" w:hAnsi="Cambria Math"/>
                <w:i/>
              </w:rPr>
            </m:ctrlPr>
          </m:sSubPr>
          <m:e>
            <m:r>
              <w:rPr>
                <w:rFonts w:ascii="Cambria Math" w:hAnsi="Cambria Math"/>
              </w:rPr>
              <m:t>Z</m:t>
            </m:r>
          </m:e>
          <m:sub>
            <m:r>
              <w:rPr>
                <w:rFonts w:ascii="Cambria Math" w:hAnsi="Cambria Math"/>
              </w:rPr>
              <m:t>max</m:t>
            </m:r>
          </m:sub>
        </m:sSub>
      </m:oMath>
      <w:r w:rsidRPr="00CD66F6">
        <w:t xml:space="preserve"> could reach 4.9 and 1.7, at ambient temperatures of 10 and 30</w:t>
      </w:r>
      <w:r w:rsidR="00B23A84">
        <w:t>°</w:t>
      </w:r>
      <w:r w:rsidRPr="00CD66F6">
        <w:t>C, respectively</w:t>
      </w:r>
      <w:r w:rsidR="00431AF7">
        <w:rPr>
          <w:rFonts w:eastAsiaTheme="minorEastAsia"/>
        </w:rPr>
        <w:t xml:space="preserve">. </w:t>
      </w:r>
      <w:r w:rsidR="00D80FC6">
        <w:rPr>
          <w:rFonts w:eastAsiaTheme="minorEastAsia"/>
        </w:rPr>
        <w:t>These relationships were generated as follows:</w:t>
      </w:r>
    </w:p>
    <w:p w14:paraId="3ABCEDB8" w14:textId="77777777" w:rsidR="00BA6D88" w:rsidRDefault="00BA6D88" w:rsidP="005C09C6">
      <w:pPr>
        <w:rPr>
          <w:rFonts w:eastAsiaTheme="minorEastAsia"/>
        </w:rPr>
      </w:pPr>
    </w:p>
    <w:p w14:paraId="0CAA2BED" w14:textId="52083100" w:rsidR="00D80FC6" w:rsidRDefault="00000000" w:rsidP="005C09C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max</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6</m:t>
              </m:r>
            </m:num>
            <m:den>
              <m:d>
                <m:dPr>
                  <m:ctrlPr>
                    <w:rPr>
                      <w:rFonts w:ascii="Cambria Math" w:eastAsiaTheme="minorEastAsia" w:hAnsi="Cambria Math"/>
                      <w:i/>
                    </w:rPr>
                  </m:ctrlPr>
                </m:dPr>
                <m:e>
                  <m:r>
                    <w:rPr>
                      <w:rFonts w:ascii="Cambria Math" w:eastAsiaTheme="minorEastAsia" w:hAnsi="Cambria Math"/>
                    </w:rPr>
                    <m:t>1+</m:t>
                  </m:r>
                  <m:r>
                    <m:rPr>
                      <m:nor/>
                    </m:rPr>
                    <w:rPr>
                      <w:rFonts w:ascii="Cambria Math" w:eastAsiaTheme="minorEastAsia" w:hAnsi="Cambria Math"/>
                    </w:rPr>
                    <m:t>exp</m:t>
                  </m:r>
                  <m:d>
                    <m:dPr>
                      <m:ctrlPr>
                        <w:rPr>
                          <w:rFonts w:ascii="Cambria Math" w:eastAsiaTheme="minorEastAsia" w:hAnsi="Cambria Math"/>
                          <w:i/>
                        </w:rPr>
                      </m:ctrlPr>
                    </m:dPr>
                    <m:e>
                      <m:r>
                        <w:rPr>
                          <w:rFonts w:ascii="Cambria Math" w:eastAsiaTheme="minorEastAsia" w:hAnsi="Cambria Math"/>
                        </w:rPr>
                        <m:t xml:space="preserve">0.25 </m:t>
                      </m:r>
                      <m:d>
                        <m:dPr>
                          <m:ctrlPr>
                            <w:rPr>
                              <w:rFonts w:ascii="Cambria Math" w:eastAsiaTheme="minorEastAsia" w:hAnsi="Cambria Math"/>
                              <w:i/>
                            </w:rPr>
                          </m:ctrlPr>
                        </m:dPr>
                        <m:e>
                          <m:r>
                            <w:rPr>
                              <w:rFonts w:ascii="Cambria Math" w:eastAsiaTheme="minorEastAsia" w:hAnsi="Cambria Math"/>
                            </w:rPr>
                            <m:t>T-27.5</m:t>
                          </m:r>
                        </m:e>
                      </m:d>
                    </m:e>
                  </m:d>
                </m:e>
              </m:d>
              <m:r>
                <w:rPr>
                  <w:rFonts w:ascii="Cambria Math" w:eastAsiaTheme="minorEastAsia" w:hAnsi="Cambria Math"/>
                </w:rPr>
                <m:t xml:space="preserve">  :</m:t>
              </m:r>
              <m:r>
                <m:rPr>
                  <m:nor/>
                </m:rPr>
                <w:rPr>
                  <w:rFonts w:ascii="Cambria Math" w:eastAsiaTheme="minorEastAsia" w:hAnsi="Cambria Math"/>
                </w:rPr>
                <m:t>no prior exposure</m:t>
              </m:r>
            </m:den>
          </m:f>
          <m:r>
            <m:rPr>
              <m:sty m:val="p"/>
            </m:rPr>
            <w:rPr>
              <w:rFonts w:ascii="Cambria Math" w:eastAsiaTheme="minorEastAsia" w:hAnsi="Cambria Math"/>
            </w:rPr>
            <w:br/>
          </m:r>
        </m:oMath>
        <m:oMath>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max</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5</m:t>
              </m:r>
            </m:num>
            <m:den>
              <m:d>
                <m:dPr>
                  <m:ctrlPr>
                    <w:rPr>
                      <w:rFonts w:ascii="Cambria Math" w:eastAsiaTheme="minorEastAsia" w:hAnsi="Cambria Math"/>
                      <w:i/>
                    </w:rPr>
                  </m:ctrlPr>
                </m:dPr>
                <m:e>
                  <m:r>
                    <w:rPr>
                      <w:rFonts w:ascii="Cambria Math" w:eastAsiaTheme="minorEastAsia" w:hAnsi="Cambria Math"/>
                    </w:rPr>
                    <m:t>1+</m:t>
                  </m:r>
                  <m:r>
                    <m:rPr>
                      <m:nor/>
                    </m:rPr>
                    <w:rPr>
                      <w:rFonts w:ascii="Cambria Math" w:eastAsiaTheme="minorEastAsia" w:hAnsi="Cambria Math"/>
                    </w:rPr>
                    <m:t>exp</m:t>
                  </m:r>
                  <m:d>
                    <m:dPr>
                      <m:ctrlPr>
                        <w:rPr>
                          <w:rFonts w:ascii="Cambria Math" w:eastAsiaTheme="minorEastAsia" w:hAnsi="Cambria Math"/>
                          <w:i/>
                        </w:rPr>
                      </m:ctrlPr>
                    </m:dPr>
                    <m:e>
                      <m:r>
                        <w:rPr>
                          <w:rFonts w:ascii="Cambria Math" w:eastAsiaTheme="minorEastAsia" w:hAnsi="Cambria Math"/>
                        </w:rPr>
                        <m:t xml:space="preserve">0.25 </m:t>
                      </m:r>
                      <m:d>
                        <m:dPr>
                          <m:ctrlPr>
                            <w:rPr>
                              <w:rFonts w:ascii="Cambria Math" w:eastAsiaTheme="minorEastAsia" w:hAnsi="Cambria Math"/>
                              <w:i/>
                            </w:rPr>
                          </m:ctrlPr>
                        </m:dPr>
                        <m:e>
                          <m:r>
                            <w:rPr>
                              <w:rFonts w:ascii="Cambria Math" w:eastAsiaTheme="minorEastAsia" w:hAnsi="Cambria Math"/>
                            </w:rPr>
                            <m:t>T-27.5</m:t>
                          </m:r>
                        </m:e>
                      </m:d>
                    </m:e>
                  </m:d>
                </m:e>
              </m:d>
            </m:den>
          </m:f>
          <m:r>
            <w:rPr>
              <w:rFonts w:ascii="Cambria Math" w:eastAsiaTheme="minorEastAsia" w:hAnsi="Cambria Math"/>
            </w:rPr>
            <m:t xml:space="preserve">  </m:t>
          </m:r>
          <m:r>
            <m:rPr>
              <m:nor/>
            </m:rPr>
            <w:rPr>
              <w:rFonts w:ascii="Cambria Math" w:eastAsiaTheme="minorEastAsia" w:hAnsi="Cambria Math"/>
            </w:rPr>
            <m:t>: prior exposure</m:t>
          </m:r>
        </m:oMath>
      </m:oMathPara>
    </w:p>
    <w:p w14:paraId="1FF65631" w14:textId="77777777" w:rsidR="005C09C6" w:rsidRDefault="005C09C6" w:rsidP="005C09C6">
      <w:pPr>
        <w:jc w:val="center"/>
      </w:pPr>
      <w:r>
        <w:rPr>
          <w:noProof/>
        </w:rPr>
        <w:lastRenderedPageBreak/>
        <w:drawing>
          <wp:inline distT="0" distB="0" distL="0" distR="0" wp14:anchorId="6A3340C7" wp14:editId="20039ADA">
            <wp:extent cx="5079600" cy="3152559"/>
            <wp:effectExtent l="0" t="0" r="6985" b="0"/>
            <wp:docPr id="8800190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19066" name="Picture 15"/>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5079600" cy="3152559"/>
                    </a:xfrm>
                    <a:prstGeom prst="rect">
                      <a:avLst/>
                    </a:prstGeom>
                  </pic:spPr>
                </pic:pic>
              </a:graphicData>
            </a:graphic>
          </wp:inline>
        </w:drawing>
      </w:r>
    </w:p>
    <w:p w14:paraId="4855496D" w14:textId="09947B6F" w:rsidR="005C09C6" w:rsidRDefault="005C09C6" w:rsidP="00C43355">
      <w:pPr>
        <w:pStyle w:val="Caption-Figure"/>
      </w:pPr>
      <w:bookmarkStart w:id="105" w:name="_Toc198634172"/>
      <w:r w:rsidRPr="00DE3074">
        <w:t>Figure 2</w:t>
      </w:r>
      <w:r w:rsidR="001B440E">
        <w:t>0</w:t>
      </w:r>
      <w:r w:rsidRPr="00DE3074">
        <w:t>.</w:t>
      </w:r>
      <w:r w:rsidR="00BE3EC4">
        <w:t xml:space="preserve"> </w:t>
      </w:r>
      <w:r>
        <w:t xml:space="preserve">Relationship between maximum zoospore load </w:t>
      </w:r>
      <w:r w:rsidR="00932CD5">
        <w:t>(log</w:t>
      </w:r>
      <w:r w:rsidR="00932CD5" w:rsidRPr="00932CD5">
        <w:rPr>
          <w:vertAlign w:val="subscript"/>
        </w:rPr>
        <w:t>10</w:t>
      </w:r>
      <w:r w:rsidR="00932CD5">
        <w:t xml:space="preserve"> scale) </w:t>
      </w:r>
      <w:r>
        <w:t xml:space="preserve">per infected individual </w:t>
      </w:r>
      <m:oMath>
        <m:d>
          <m:dPr>
            <m:ctrlPr>
              <w:rPr>
                <w:rFonts w:ascii="Cambria Math" w:hAnsi="Cambria Math"/>
                <w:i/>
              </w:rPr>
            </m:ctrlPr>
          </m:dPr>
          <m:e>
            <m:sSub>
              <m:sSubPr>
                <m:ctrlPr>
                  <w:rPr>
                    <w:rFonts w:ascii="Cambria Math" w:hAnsi="Cambria Math"/>
                    <w:i/>
                  </w:rPr>
                </m:ctrlPr>
              </m:sSubPr>
              <m:e>
                <m:r>
                  <m:rPr>
                    <m:sty m:val="bi"/>
                  </m:rPr>
                  <w:rPr>
                    <w:rFonts w:ascii="Cambria Math" w:hAnsi="Cambria Math"/>
                  </w:rPr>
                  <m:t>Z</m:t>
                </m:r>
              </m:e>
              <m:sub>
                <m:r>
                  <m:rPr>
                    <m:sty m:val="bi"/>
                  </m:rPr>
                  <w:rPr>
                    <w:rFonts w:ascii="Cambria Math" w:hAnsi="Cambria Math"/>
                  </w:rPr>
                  <m:t>max</m:t>
                </m:r>
              </m:sub>
            </m:sSub>
          </m:e>
        </m:d>
      </m:oMath>
      <w:r>
        <w:t xml:space="preserve"> and temperature for frogs</w:t>
      </w:r>
      <w:r w:rsidR="00B23A84">
        <w:t>,</w:t>
      </w:r>
      <w:r>
        <w:t xml:space="preserve"> with and without prior exposure to </w:t>
      </w:r>
      <w:r w:rsidR="00545FA7" w:rsidRPr="00545FA7">
        <w:rPr>
          <w:i/>
          <w:iCs/>
        </w:rPr>
        <w:t>Bd</w:t>
      </w:r>
      <w:r>
        <w:t>.</w:t>
      </w:r>
      <w:r w:rsidR="004A6139">
        <w:t xml:space="preserve"> Dashed line indicates the </w:t>
      </w:r>
      <w:r w:rsidR="00E5409F">
        <w:t xml:space="preserve">threshold </w:t>
      </w:r>
      <w:r w:rsidR="004A6139">
        <w:t xml:space="preserve">zoospore load </w:t>
      </w:r>
      <m:oMath>
        <m:sSub>
          <m:sSubPr>
            <m:ctrlPr>
              <w:rPr>
                <w:rFonts w:ascii="Cambria Math" w:hAnsi="Cambria Math"/>
                <w:i/>
              </w:rPr>
            </m:ctrlPr>
          </m:sSubPr>
          <m:e>
            <m:r>
              <m:rPr>
                <m:sty m:val="bi"/>
              </m:rPr>
              <w:rPr>
                <w:rFonts w:ascii="Cambria Math" w:hAnsi="Cambria Math"/>
              </w:rPr>
              <m:t>Z</m:t>
            </m:r>
          </m:e>
          <m:sub>
            <m:r>
              <m:rPr>
                <m:sty m:val="bi"/>
              </m:rPr>
              <w:rPr>
                <w:rFonts w:ascii="Cambria Math" w:hAnsi="Cambria Math"/>
              </w:rPr>
              <m:t>T</m:t>
            </m:r>
          </m:sub>
        </m:sSub>
      </m:oMath>
      <w:r w:rsidR="00E5409F">
        <w:t xml:space="preserve"> </w:t>
      </w:r>
      <w:r w:rsidR="004A6139">
        <w:t>above which, mortality</w:t>
      </w:r>
      <w:r w:rsidR="00545FA7">
        <w:t xml:space="preserve"> from </w:t>
      </w:r>
      <w:r w:rsidR="006B4154">
        <w:t>c</w:t>
      </w:r>
      <w:r w:rsidR="00545FA7">
        <w:t>hytridiomycosis</w:t>
      </w:r>
      <w:r w:rsidR="004A6139">
        <w:t xml:space="preserve"> occurs.</w:t>
      </w:r>
      <w:bookmarkEnd w:id="105"/>
    </w:p>
    <w:p w14:paraId="0AEEBA36" w14:textId="77777777" w:rsidR="005C09C6" w:rsidRDefault="005C09C6" w:rsidP="005C09C6"/>
    <w:p w14:paraId="036A5468" w14:textId="77777777" w:rsidR="005C09C6" w:rsidRDefault="005C09C6" w:rsidP="005C09C6">
      <w:pPr>
        <w:pStyle w:val="Heading4"/>
      </w:pPr>
      <w:r>
        <w:t>Zoospore growth on individual frogs</w:t>
      </w:r>
    </w:p>
    <w:p w14:paraId="2134C265" w14:textId="77777777" w:rsidR="005C09C6" w:rsidRPr="00BD12AF" w:rsidRDefault="005C09C6" w:rsidP="005C09C6">
      <w:pPr>
        <w:rPr>
          <w:rFonts w:eastAsiaTheme="minorEastAsia"/>
        </w:rPr>
      </w:pPr>
      <w:r w:rsidRPr="00BD12AF">
        <w:t xml:space="preserve">Given </w:t>
      </w:r>
      <m:oMath>
        <m:sSub>
          <m:sSubPr>
            <m:ctrlPr>
              <w:rPr>
                <w:rFonts w:ascii="Cambria Math" w:hAnsi="Cambria Math"/>
              </w:rPr>
            </m:ctrlPr>
          </m:sSubPr>
          <m:e>
            <m:r>
              <w:rPr>
                <w:rFonts w:ascii="Cambria Math" w:hAnsi="Cambria Math"/>
              </w:rPr>
              <m:t>Z</m:t>
            </m:r>
          </m:e>
          <m:sub>
            <m:r>
              <w:rPr>
                <w:rFonts w:ascii="Cambria Math" w:hAnsi="Cambria Math"/>
              </w:rPr>
              <m:t>max</m:t>
            </m:r>
          </m:sub>
        </m:sSub>
      </m:oMath>
      <w:r w:rsidRPr="00BD12AF">
        <w:rPr>
          <w:rFonts w:eastAsiaTheme="minorEastAsia"/>
        </w:rPr>
        <w:t xml:space="preserve"> for an individual</w:t>
      </w:r>
      <w:r w:rsidRPr="00BD12AF">
        <w:t>, the log</w:t>
      </w:r>
      <w:r w:rsidRPr="00AC2BB1">
        <w:rPr>
          <w:vertAlign w:val="subscript"/>
        </w:rPr>
        <w:t>10</w:t>
      </w:r>
      <w:r w:rsidRPr="00BD12AF">
        <w:t xml:space="preserve"> growth of zoospores on an infected individual (</w:t>
      </w:r>
      <m:oMath>
        <m:r>
          <w:rPr>
            <w:rFonts w:ascii="Cambria Math" w:hAnsi="Cambria Math"/>
          </w:rPr>
          <m:t>Z</m:t>
        </m:r>
      </m:oMath>
      <w:r w:rsidRPr="00BD12AF">
        <w:rPr>
          <w:rFonts w:eastAsiaTheme="minorEastAsia"/>
        </w:rPr>
        <w:t>)</w:t>
      </w:r>
      <w:r w:rsidRPr="00BD12AF">
        <w:t xml:space="preserve"> increased to </w:t>
      </w:r>
      <m:oMath>
        <m:sSub>
          <m:sSubPr>
            <m:ctrlPr>
              <w:rPr>
                <w:rFonts w:ascii="Cambria Math" w:hAnsi="Cambria Math"/>
              </w:rPr>
            </m:ctrlPr>
          </m:sSubPr>
          <m:e>
            <m:r>
              <w:rPr>
                <w:rFonts w:ascii="Cambria Math" w:hAnsi="Cambria Math"/>
              </w:rPr>
              <m:t>Z</m:t>
            </m:r>
          </m:e>
          <m:sub>
            <m:r>
              <w:rPr>
                <w:rFonts w:ascii="Cambria Math" w:hAnsi="Cambria Math"/>
              </w:rPr>
              <m:t>max</m:t>
            </m:r>
          </m:sub>
        </m:sSub>
      </m:oMath>
      <w:r w:rsidRPr="00BD12AF">
        <w:rPr>
          <w:rFonts w:eastAsiaTheme="minorEastAsia"/>
        </w:rPr>
        <w:t xml:space="preserve"> according to the following growth function</w:t>
      </w:r>
    </w:p>
    <w:p w14:paraId="00126168" w14:textId="77777777" w:rsidR="005C09C6" w:rsidRPr="00BD12AF" w:rsidRDefault="00000000" w:rsidP="005C09C6">
      <w:pPr>
        <w:rPr>
          <w:rFonts w:eastAsiaTheme="minorEastAsia"/>
        </w:rPr>
      </w:pPr>
      <m:oMathPara>
        <m:oMath>
          <m:sSub>
            <m:sSubPr>
              <m:ctrlPr>
                <w:rPr>
                  <w:rFonts w:ascii="Cambria Math" w:hAnsi="Cambria Math"/>
                </w:rPr>
              </m:ctrlPr>
            </m:sSubPr>
            <m:e>
              <m:r>
                <w:rPr>
                  <w:rFonts w:ascii="Cambria Math" w:hAnsi="Cambria Math"/>
                </w:rPr>
                <m:t>Z</m:t>
              </m:r>
            </m:e>
            <m:sub>
              <m:r>
                <w:rPr>
                  <w:rFonts w:ascii="Cambria Math" w:hAnsi="Cambria Math"/>
                </w:rPr>
                <m:t>t+1</m:t>
              </m:r>
            </m:sub>
          </m:sSub>
          <m: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t</m:t>
              </m:r>
            </m:sub>
          </m:sSub>
          <m:r>
            <w:rPr>
              <w:rFonts w:ascii="Cambria Math" w:hAnsi="Cambria Math"/>
            </w:rPr>
            <m:t>+υ</m:t>
          </m:r>
          <m:d>
            <m:dPr>
              <m:ctrlPr>
                <w:rPr>
                  <w:rFonts w:ascii="Cambria Math" w:hAnsi="Cambria Math"/>
                </w:rPr>
              </m:ctrlPr>
            </m:dPr>
            <m:e>
              <m: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t</m:t>
                      </m:r>
                    </m:sub>
                  </m:sSub>
                </m:num>
                <m:den>
                  <m:sSub>
                    <m:sSubPr>
                      <m:ctrlPr>
                        <w:rPr>
                          <w:rFonts w:ascii="Cambria Math" w:hAnsi="Cambria Math"/>
                        </w:rPr>
                      </m:ctrlPr>
                    </m:sSubPr>
                    <m:e>
                      <m:r>
                        <w:rPr>
                          <w:rFonts w:ascii="Cambria Math" w:hAnsi="Cambria Math"/>
                        </w:rPr>
                        <m:t>Z</m:t>
                      </m:r>
                    </m:e>
                    <m:sub>
                      <m:r>
                        <w:rPr>
                          <w:rFonts w:ascii="Cambria Math" w:hAnsi="Cambria Math"/>
                        </w:rPr>
                        <m:t>max</m:t>
                      </m:r>
                    </m:sub>
                  </m:sSub>
                </m:den>
              </m:f>
            </m:e>
          </m:d>
        </m:oMath>
      </m:oMathPara>
    </w:p>
    <w:p w14:paraId="5C2F758C" w14:textId="1F4C9F0C" w:rsidR="005C09C6" w:rsidRPr="00BD12AF" w:rsidRDefault="005C09C6" w:rsidP="005C09C6">
      <w:pPr>
        <w:rPr>
          <w:rFonts w:eastAsiaTheme="minorEastAsia"/>
        </w:rPr>
      </w:pPr>
      <w:r w:rsidRPr="00BD12AF">
        <w:rPr>
          <w:rFonts w:eastAsiaTheme="minorEastAsia"/>
        </w:rPr>
        <w:t xml:space="preserve">Where the maximum growth rate </w:t>
      </w:r>
      <m:oMath>
        <m:r>
          <w:rPr>
            <w:rFonts w:ascii="Cambria Math" w:eastAsiaTheme="minorEastAsia" w:hAnsi="Cambria Math"/>
          </w:rPr>
          <m:t>υ</m:t>
        </m:r>
      </m:oMath>
      <w:r w:rsidRPr="00BD12AF">
        <w:rPr>
          <w:rFonts w:eastAsiaTheme="minorEastAsia"/>
        </w:rPr>
        <w:t xml:space="preserve"> was set so that </w:t>
      </w:r>
      <m:oMath>
        <m:sSub>
          <m:sSubPr>
            <m:ctrlPr>
              <w:rPr>
                <w:rFonts w:ascii="Cambria Math" w:hAnsi="Cambria Math"/>
              </w:rPr>
            </m:ctrlPr>
          </m:sSubPr>
          <m:e>
            <m:r>
              <w:rPr>
                <w:rFonts w:ascii="Cambria Math" w:hAnsi="Cambria Math"/>
              </w:rPr>
              <m:t>Z</m:t>
            </m:r>
          </m:e>
          <m:sub>
            <m:r>
              <w:rPr>
                <w:rFonts w:ascii="Cambria Math" w:hAnsi="Cambria Math"/>
              </w:rPr>
              <m:t>max</m:t>
            </m:r>
          </m:sub>
        </m:sSub>
      </m:oMath>
      <w:r w:rsidRPr="00BD12AF">
        <w:rPr>
          <w:rFonts w:eastAsiaTheme="minorEastAsia"/>
        </w:rPr>
        <w:t xml:space="preserve"> was reached in around 4</w:t>
      </w:r>
      <w:r w:rsidR="00B23A84">
        <w:rPr>
          <w:rFonts w:eastAsiaTheme="minorEastAsia"/>
        </w:rPr>
        <w:t>–</w:t>
      </w:r>
      <w:r w:rsidRPr="00BD12AF">
        <w:rPr>
          <w:rFonts w:eastAsiaTheme="minorEastAsia"/>
        </w:rPr>
        <w:t xml:space="preserve">6 weeks </w:t>
      </w:r>
      <w:r w:rsidRPr="00BD12AF">
        <w:rPr>
          <w:rFonts w:eastAsiaTheme="minorEastAsia"/>
        </w:rPr>
        <w:fldChar w:fldCharType="begin"/>
      </w:r>
      <w:r w:rsidR="009F541F">
        <w:rPr>
          <w:rFonts w:eastAsiaTheme="minorEastAsia"/>
        </w:rPr>
        <w:instrText xml:space="preserve"> ADDIN ZOTERO_ITEM CSL_CITATION {"citationID":"GRWzmeBF","properties":{"formattedCitation":"(Waddle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BD12AF">
        <w:rPr>
          <w:rFonts w:eastAsiaTheme="minorEastAsia"/>
        </w:rPr>
        <w:fldChar w:fldCharType="separate"/>
      </w:r>
      <w:r w:rsidR="009F541F" w:rsidRPr="009F541F">
        <w:t xml:space="preserve">(Waddle </w:t>
      </w:r>
      <w:r w:rsidR="009F541F" w:rsidRPr="00DA5824">
        <w:t>et al.</w:t>
      </w:r>
      <w:r w:rsidR="009F541F" w:rsidRPr="009F541F">
        <w:t xml:space="preserve"> 2024)</w:t>
      </w:r>
      <w:r w:rsidRPr="00BD12AF">
        <w:rPr>
          <w:rFonts w:eastAsiaTheme="minorEastAsia"/>
        </w:rPr>
        <w:fldChar w:fldCharType="end"/>
      </w:r>
      <w:r w:rsidRPr="00BD12AF">
        <w:rPr>
          <w:rFonts w:eastAsiaTheme="minorEastAsia"/>
        </w:rPr>
        <w:t>.</w:t>
      </w:r>
      <w:r w:rsidR="00BE3EC4">
        <w:rPr>
          <w:rFonts w:eastAsiaTheme="minorEastAsia"/>
        </w:rPr>
        <w:t xml:space="preserve"> </w:t>
      </w:r>
      <w:r w:rsidRPr="00BD12AF">
        <w:rPr>
          <w:rFonts w:eastAsiaTheme="minorEastAsia"/>
        </w:rPr>
        <w:t xml:space="preserve">Given </w:t>
      </w:r>
      <m:oMath>
        <m:sSub>
          <m:sSubPr>
            <m:ctrlPr>
              <w:rPr>
                <w:rFonts w:ascii="Cambria Math" w:hAnsi="Cambria Math"/>
              </w:rPr>
            </m:ctrlPr>
          </m:sSubPr>
          <m:e>
            <m:r>
              <w:rPr>
                <w:rFonts w:ascii="Cambria Math" w:hAnsi="Cambria Math"/>
              </w:rPr>
              <m:t>Z</m:t>
            </m:r>
          </m:e>
          <m:sub>
            <m:r>
              <w:rPr>
                <w:rFonts w:ascii="Cambria Math" w:hAnsi="Cambria Math"/>
              </w:rPr>
              <m:t>max</m:t>
            </m:r>
          </m:sub>
        </m:sSub>
      </m:oMath>
      <w:r w:rsidRPr="00BD12AF">
        <w:rPr>
          <w:rFonts w:eastAsiaTheme="minorEastAsia"/>
        </w:rPr>
        <w:t xml:space="preserve"> was dependent on temperature and prior exposure, this gave rise to growth rates for </w:t>
      </w:r>
      <m:oMath>
        <m:r>
          <w:rPr>
            <w:rFonts w:ascii="Cambria Math" w:eastAsiaTheme="minorEastAsia" w:hAnsi="Cambria Math"/>
          </w:rPr>
          <m:t>Z</m:t>
        </m:r>
      </m:oMath>
      <w:r w:rsidRPr="00BD12AF">
        <w:rPr>
          <w:rFonts w:eastAsiaTheme="minorEastAsia"/>
        </w:rPr>
        <w:t xml:space="preserve"> that were also dependent o</w:t>
      </w:r>
      <w:r w:rsidR="002C2A37">
        <w:rPr>
          <w:rFonts w:eastAsiaTheme="minorEastAsia"/>
        </w:rPr>
        <w:t>n</w:t>
      </w:r>
      <w:r w:rsidRPr="00BD12AF">
        <w:rPr>
          <w:rFonts w:eastAsiaTheme="minorEastAsia"/>
        </w:rPr>
        <w:t xml:space="preserve"> temperature and prior exposure (Figure </w:t>
      </w:r>
      <w:r w:rsidR="00EF2408">
        <w:rPr>
          <w:rFonts w:eastAsiaTheme="minorEastAsia"/>
        </w:rPr>
        <w:t>21</w:t>
      </w:r>
      <w:r w:rsidRPr="00BD12AF">
        <w:rPr>
          <w:rFonts w:eastAsiaTheme="minorEastAsia"/>
        </w:rPr>
        <w:t>).</w:t>
      </w:r>
    </w:p>
    <w:p w14:paraId="23BD607E" w14:textId="77777777" w:rsidR="005C09C6" w:rsidRPr="00BD12AF" w:rsidRDefault="005C09C6" w:rsidP="005C09C6">
      <w:pPr>
        <w:rPr>
          <w:rFonts w:eastAsiaTheme="minorEastAsia"/>
        </w:rPr>
      </w:pPr>
    </w:p>
    <w:p w14:paraId="332B80B7" w14:textId="254DE36F" w:rsidR="005C09C6" w:rsidRPr="00BD12AF" w:rsidRDefault="00065CED" w:rsidP="005C09C6">
      <w:r>
        <w:rPr>
          <w:noProof/>
        </w:rPr>
        <w:drawing>
          <wp:inline distT="0" distB="0" distL="0" distR="0" wp14:anchorId="381AEFF1" wp14:editId="1F9B3316">
            <wp:extent cx="6120404" cy="2523490"/>
            <wp:effectExtent l="0" t="0" r="0" b="0"/>
            <wp:docPr id="605120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20074" name="Picture 1"/>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6120404" cy="2523490"/>
                    </a:xfrm>
                    <a:prstGeom prst="rect">
                      <a:avLst/>
                    </a:prstGeom>
                  </pic:spPr>
                </pic:pic>
              </a:graphicData>
            </a:graphic>
          </wp:inline>
        </w:drawing>
      </w:r>
    </w:p>
    <w:p w14:paraId="26F5B623" w14:textId="6FE7E8A8" w:rsidR="005C09C6" w:rsidRPr="00BD12AF" w:rsidRDefault="005C09C6" w:rsidP="00E10051">
      <w:pPr>
        <w:pStyle w:val="Caption-Figure"/>
      </w:pPr>
      <w:bookmarkStart w:id="106" w:name="_Toc198634173"/>
      <w:r w:rsidRPr="00BD12AF">
        <w:t xml:space="preserve">Figure </w:t>
      </w:r>
      <w:r w:rsidR="001B440E">
        <w:t>21</w:t>
      </w:r>
      <w:r w:rsidRPr="00BD12AF">
        <w:t>.</w:t>
      </w:r>
      <w:r w:rsidR="00BE3EC4">
        <w:t xml:space="preserve"> </w:t>
      </w:r>
      <w:r w:rsidRPr="00BD12AF">
        <w:t xml:space="preserve">Growth rate of zoospores (Z) on infected frogs </w:t>
      </w:r>
      <w:r w:rsidR="00932CD5">
        <w:t>(log</w:t>
      </w:r>
      <w:r w:rsidR="00932CD5" w:rsidRPr="00932CD5">
        <w:rPr>
          <w:vertAlign w:val="subscript"/>
        </w:rPr>
        <w:t>10</w:t>
      </w:r>
      <w:r w:rsidR="00932CD5">
        <w:t xml:space="preserve"> scale) </w:t>
      </w:r>
      <w:r w:rsidR="004A6139">
        <w:t>with</w:t>
      </w:r>
      <w:r w:rsidRPr="00BD12AF">
        <w:t xml:space="preserve"> time </w:t>
      </w:r>
      <w:r w:rsidR="004A6139">
        <w:t xml:space="preserve">since infection </w:t>
      </w:r>
      <w:r w:rsidRPr="00BD12AF">
        <w:t>at various ambient temperatures for frogs</w:t>
      </w:r>
      <w:r w:rsidR="00967675">
        <w:t>,</w:t>
      </w:r>
      <w:r w:rsidRPr="00BD12AF">
        <w:t xml:space="preserve"> with and without prior exposure to </w:t>
      </w:r>
      <w:r w:rsidR="00545FA7" w:rsidRPr="00545FA7">
        <w:rPr>
          <w:i/>
          <w:iCs/>
        </w:rPr>
        <w:t>Bd</w:t>
      </w:r>
      <w:r w:rsidRPr="00BD12AF">
        <w:t xml:space="preserve">. </w:t>
      </w:r>
      <w:r w:rsidR="004A6139">
        <w:t xml:space="preserve">Dashed line indicates the value of </w:t>
      </w:r>
      <m:oMath>
        <m:sSub>
          <m:sSubPr>
            <m:ctrlPr>
              <w:rPr>
                <w:rFonts w:ascii="Cambria Math" w:hAnsi="Cambria Math"/>
                <w:i/>
              </w:rPr>
            </m:ctrlPr>
          </m:sSubPr>
          <m:e>
            <m:r>
              <m:rPr>
                <m:sty m:val="bi"/>
              </m:rPr>
              <w:rPr>
                <w:rFonts w:ascii="Cambria Math" w:hAnsi="Cambria Math"/>
              </w:rPr>
              <m:t>Z</m:t>
            </m:r>
          </m:e>
          <m:sub>
            <m:r>
              <m:rPr>
                <m:sty m:val="bi"/>
              </m:rPr>
              <w:rPr>
                <w:rFonts w:ascii="Cambria Math" w:hAnsi="Cambria Math"/>
              </w:rPr>
              <m:t>t</m:t>
            </m:r>
          </m:sub>
        </m:sSub>
      </m:oMath>
      <w:r w:rsidR="004A6139">
        <w:t xml:space="preserve"> above which, significant frog mortality occurs.</w:t>
      </w:r>
      <w:bookmarkEnd w:id="106"/>
    </w:p>
    <w:p w14:paraId="3B592565" w14:textId="77777777" w:rsidR="005C09C6" w:rsidRDefault="005C09C6" w:rsidP="005C09C6"/>
    <w:p w14:paraId="74FC4AB6" w14:textId="77777777" w:rsidR="002D2E12" w:rsidRPr="00BD12AF" w:rsidRDefault="002D2E12" w:rsidP="005C09C6"/>
    <w:p w14:paraId="65FC74DF" w14:textId="77777777" w:rsidR="005C09C6" w:rsidRPr="00152345" w:rsidRDefault="005C09C6" w:rsidP="00DC1B25">
      <w:pPr>
        <w:pStyle w:val="Heading4"/>
      </w:pPr>
      <w:r w:rsidRPr="00DC1B25">
        <w:lastRenderedPageBreak/>
        <w:t>Zoospore</w:t>
      </w:r>
      <w:r w:rsidRPr="00152345">
        <w:t xml:space="preserve"> dependent mortality</w:t>
      </w:r>
    </w:p>
    <w:p w14:paraId="45440A0E" w14:textId="60811E71" w:rsidR="002D2E12" w:rsidRPr="00BD12AF" w:rsidRDefault="005C09C6" w:rsidP="005C09C6">
      <w:pPr>
        <w:rPr>
          <w:rFonts w:eastAsiaTheme="minorEastAsia"/>
        </w:rPr>
      </w:pPr>
      <w:r w:rsidRPr="00BD12AF">
        <w:t xml:space="preserve">The </w:t>
      </w:r>
      <w:r w:rsidR="00545FA7" w:rsidRPr="00545FA7">
        <w:rPr>
          <w:i/>
          <w:iCs/>
        </w:rPr>
        <w:t>Bd</w:t>
      </w:r>
      <w:r w:rsidRPr="00BD12AF">
        <w:t xml:space="preserve">-induced mortality rate of frogs </w:t>
      </w:r>
      <m:oMath>
        <m:r>
          <w:rPr>
            <w:rFonts w:ascii="Cambria Math" w:hAnsi="Cambria Math"/>
          </w:rPr>
          <m:t>α</m:t>
        </m:r>
        <m:d>
          <m:dPr>
            <m:ctrlPr>
              <w:rPr>
                <w:rFonts w:ascii="Cambria Math" w:hAnsi="Cambria Math"/>
                <w:i/>
              </w:rPr>
            </m:ctrlPr>
          </m:dPr>
          <m:e>
            <m:r>
              <w:rPr>
                <w:rFonts w:ascii="Cambria Math" w:hAnsi="Cambria Math"/>
              </w:rPr>
              <m:t>Z</m:t>
            </m:r>
          </m:e>
        </m:d>
      </m:oMath>
      <w:r w:rsidRPr="00BD12AF">
        <w:rPr>
          <w:rFonts w:eastAsiaTheme="minorEastAsia"/>
        </w:rPr>
        <w:t xml:space="preserve"> </w:t>
      </w:r>
      <w:r w:rsidRPr="00BD12AF">
        <w:t>was dependent on the frog zoospore load (</w:t>
      </w:r>
      <m:oMath>
        <m:r>
          <w:rPr>
            <w:rFonts w:ascii="Cambria Math" w:hAnsi="Cambria Math"/>
          </w:rPr>
          <m:t>Z</m:t>
        </m:r>
      </m:oMath>
      <w:r w:rsidRPr="00BD12AF">
        <w:rPr>
          <w:rFonts w:eastAsiaTheme="minorEastAsia"/>
        </w:rPr>
        <w:t>)</w:t>
      </w:r>
      <w:r w:rsidRPr="00BD12AF">
        <w:t>.</w:t>
      </w:r>
      <w:r w:rsidR="00BE3EC4">
        <w:t xml:space="preserve"> </w:t>
      </w:r>
      <w:r w:rsidRPr="00BD12AF">
        <w:t>Here we assumed that mortality</w:t>
      </w:r>
      <w:r w:rsidR="00545FA7">
        <w:t xml:space="preserve"> from </w:t>
      </w:r>
      <w:r w:rsidR="006B4154">
        <w:t>c</w:t>
      </w:r>
      <w:r w:rsidR="00545FA7">
        <w:t>hytridiomycosis</w:t>
      </w:r>
      <w:r w:rsidRPr="00BD12AF">
        <w:t xml:space="preserve"> only occurred at zoospore loads occurring above a threshold </w:t>
      </w:r>
      <m:oMath>
        <m:sSub>
          <m:sSubPr>
            <m:ctrlPr>
              <w:rPr>
                <w:rFonts w:ascii="Cambria Math" w:hAnsi="Cambria Math"/>
              </w:rPr>
            </m:ctrlPr>
          </m:sSubPr>
          <m:e>
            <m:r>
              <w:rPr>
                <w:rFonts w:ascii="Cambria Math" w:hAnsi="Cambria Math"/>
              </w:rPr>
              <m:t>Z</m:t>
            </m:r>
          </m:e>
          <m:sub>
            <m:r>
              <w:rPr>
                <w:rFonts w:ascii="Cambria Math" w:hAnsi="Cambria Math"/>
              </w:rPr>
              <m:t>T</m:t>
            </m:r>
          </m:sub>
        </m:sSub>
      </m:oMath>
      <w:r w:rsidRPr="00BD12AF">
        <w:rPr>
          <w:rFonts w:eastAsiaTheme="minorEastAsia"/>
        </w:rPr>
        <w:t>, which was set at 4 on the log</w:t>
      </w:r>
      <w:r w:rsidRPr="00A25CD6">
        <w:rPr>
          <w:rFonts w:eastAsiaTheme="minorEastAsia"/>
          <w:vertAlign w:val="subscript"/>
        </w:rPr>
        <w:t>10</w:t>
      </w:r>
      <w:r w:rsidRPr="00BD12AF">
        <w:rPr>
          <w:rFonts w:eastAsiaTheme="minorEastAsia"/>
        </w:rPr>
        <w:t xml:space="preserve"> scale (i.e. 10,000 </w:t>
      </w:r>
      <w:r w:rsidR="002C2A37">
        <w:rPr>
          <w:rFonts w:eastAsiaTheme="minorEastAsia"/>
        </w:rPr>
        <w:t>zoospore equivalents</w:t>
      </w:r>
      <w:r w:rsidRPr="00BD12AF">
        <w:rPr>
          <w:rFonts w:eastAsiaTheme="minorEastAsia"/>
        </w:rPr>
        <w:t xml:space="preserve">) </w:t>
      </w:r>
      <w:r w:rsidRPr="00BD12AF">
        <w:rPr>
          <w:rFonts w:eastAsiaTheme="minorEastAsia"/>
        </w:rPr>
        <w:fldChar w:fldCharType="begin"/>
      </w:r>
      <w:r w:rsidR="009F541F">
        <w:rPr>
          <w:rFonts w:eastAsiaTheme="minorEastAsia"/>
        </w:rPr>
        <w:instrText xml:space="preserve"> ADDIN ZOTERO_ITEM CSL_CITATION {"citationID":"n5pnIQrD","properties":{"formattedCitation":"(Vredenburg {\\i{}et al.} 2010; Kinney {\\i{}et al.} 2011)","plainCitation":"(Vredenburg et al. 2010; Kinney et al. 2011)","noteIndex":0},"citationItems":[{"id":2807,"uris":["http://zotero.org/users/634364/items/M9E3T58H","http://zotero.org/users/634364/items/ARVEEZWS"],"itemData":{"id":2807,"type":"article-journal","container-title":"Proceedings of the National Academy of Sciences","ISSN":"0027-8424","issue":"21","note":"Citation Key: RN1418","page":"9689-9694","title":"Dynamics of an emerging disease drive large-scale amphibian population extinctions","volume":"107","author":[{"family":"Vredenburg","given":"Vance T"},{"family":"Knapp","given":"Roland A"},{"family":"Tunstall","given":"Tate S"},{"family":"Briggs","given":"Cheryl J"}],"issued":{"date-parts":[["2010"]]}}},{"id":9591,"uris":["http://zotero.org/users/634364/items/E2SUQXYQ"],"itemData":{"id":9591,"type":"article-journal","abstract":"To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J."}],"editor":[{"family":"Nielsen","given":"Kirsten"}],"issued":{"date-parts":[["2011",3,10]]}}}],"schema":"https://github.com/citation-style-language/schema/raw/master/csl-citation.json"} </w:instrText>
      </w:r>
      <w:r w:rsidRPr="00BD12AF">
        <w:rPr>
          <w:rFonts w:eastAsiaTheme="minorEastAsia"/>
        </w:rPr>
        <w:fldChar w:fldCharType="separate"/>
      </w:r>
      <w:r w:rsidR="009F541F" w:rsidRPr="009F541F">
        <w:t xml:space="preserve">(Vredenburg </w:t>
      </w:r>
      <w:r w:rsidR="009F541F" w:rsidRPr="00DA5824">
        <w:t>et al.</w:t>
      </w:r>
      <w:r w:rsidR="009F541F" w:rsidRPr="00D402E0">
        <w:t xml:space="preserve"> 2010; Kinney </w:t>
      </w:r>
      <w:r w:rsidR="009F541F" w:rsidRPr="00DA5824">
        <w:t>et al.</w:t>
      </w:r>
      <w:r w:rsidR="009F541F" w:rsidRPr="00D402E0">
        <w:t xml:space="preserve"> </w:t>
      </w:r>
      <w:r w:rsidR="009F541F" w:rsidRPr="009F541F">
        <w:t>2011)</w:t>
      </w:r>
      <w:r w:rsidRPr="00BD12AF">
        <w:rPr>
          <w:rFonts w:eastAsiaTheme="minorEastAsia"/>
        </w:rPr>
        <w:fldChar w:fldCharType="end"/>
      </w:r>
      <w:r w:rsidRPr="00BD12AF">
        <w:rPr>
          <w:rFonts w:eastAsiaTheme="minorEastAsia"/>
        </w:rPr>
        <w:t>.</w:t>
      </w:r>
      <w:r w:rsidR="00BE3EC4">
        <w:rPr>
          <w:rFonts w:eastAsiaTheme="minorEastAsia"/>
        </w:rPr>
        <w:t xml:space="preserve"> </w:t>
      </w:r>
      <w:r w:rsidRPr="00BD12AF">
        <w:rPr>
          <w:rFonts w:eastAsiaTheme="minorEastAsia"/>
        </w:rPr>
        <w:t>An estimate of the mortality rate</w:t>
      </w:r>
      <w:r w:rsidR="00545FA7">
        <w:rPr>
          <w:rFonts w:eastAsiaTheme="minorEastAsia"/>
        </w:rPr>
        <w:t xml:space="preserve"> from </w:t>
      </w:r>
      <w:r w:rsidR="006B4154">
        <w:rPr>
          <w:rFonts w:eastAsiaTheme="minorEastAsia"/>
        </w:rPr>
        <w:t>c</w:t>
      </w:r>
      <w:r w:rsidR="00545FA7">
        <w:rPr>
          <w:rFonts w:eastAsiaTheme="minorEastAsia"/>
        </w:rPr>
        <w:t>hytridiomycosis</w:t>
      </w:r>
      <w:r w:rsidRPr="00BD12AF">
        <w:rPr>
          <w:rFonts w:eastAsiaTheme="minorEastAsia"/>
        </w:rPr>
        <w:t xml:space="preserve"> was derived from the study of Heard </w:t>
      </w:r>
      <w:r w:rsidRPr="00DA5824">
        <w:rPr>
          <w:rFonts w:eastAsiaTheme="minorEastAsia"/>
          <w:iCs/>
        </w:rPr>
        <w:t>et al</w:t>
      </w:r>
      <w:r w:rsidRPr="71FB49B1">
        <w:rPr>
          <w:rFonts w:eastAsiaTheme="minorEastAsia"/>
          <w:i/>
        </w:rPr>
        <w:t>.</w:t>
      </w:r>
      <w:r w:rsidRPr="00BD12AF">
        <w:rPr>
          <w:rFonts w:eastAsiaTheme="minorEastAsia"/>
        </w:rPr>
        <w:t xml:space="preserve"> </w:t>
      </w:r>
      <w:r w:rsidRPr="00BD12AF">
        <w:rPr>
          <w:rFonts w:eastAsiaTheme="minorEastAsia"/>
        </w:rPr>
        <w:fldChar w:fldCharType="begin"/>
      </w:r>
      <w:r w:rsidRPr="00BD12AF">
        <w:rPr>
          <w:rFonts w:eastAsiaTheme="minorEastAsia"/>
        </w:rPr>
        <w:instrText xml:space="preserve"> ADDIN ZOTERO_ITEM CSL_CITATION {"citationID":"jF9q3hJt","properties":{"formattedCitation":"(2024)","plainCitation":"(2024)","noteIndex":0},"citationItems":[{"id":9604,"uris":["http://zotero.org/users/634364/items/7J4EIBMY"],"itemData":{"id":9604,"type":"article-journal","container-title":"Journal of Animal Ecology","title":"Age truncation due to disease shrinks metapopulation viability for amphibians","volume":"in press","author":[{"family":"Heard","given":"Geoffrey"},{"family":"Scroggie","given":"M P"},{"family":"Hollanders","given":"M"},{"family":"Scheele","given":"B"}],"issued":{"date-parts":[["2024"]]}},"label":"page","suppress-author":true}],"schema":"https://github.com/citation-style-language/schema/raw/master/csl-citation.json"} </w:instrText>
      </w:r>
      <w:r w:rsidRPr="00BD12AF">
        <w:rPr>
          <w:rFonts w:eastAsiaTheme="minorEastAsia"/>
        </w:rPr>
        <w:fldChar w:fldCharType="separate"/>
      </w:r>
      <w:r w:rsidR="009F541F" w:rsidRPr="009F541F">
        <w:t>(2024)</w:t>
      </w:r>
      <w:r w:rsidRPr="00BD12AF">
        <w:rPr>
          <w:rFonts w:eastAsiaTheme="minorEastAsia"/>
        </w:rPr>
        <w:fldChar w:fldCharType="end"/>
      </w:r>
      <w:r w:rsidR="00431AF7">
        <w:rPr>
          <w:rFonts w:eastAsiaTheme="minorEastAsia"/>
        </w:rPr>
        <w:t xml:space="preserve">. </w:t>
      </w:r>
      <w:r w:rsidR="007647DC">
        <w:rPr>
          <w:rFonts w:eastAsiaTheme="minorEastAsia"/>
        </w:rPr>
        <w:t>That study estimated</w:t>
      </w:r>
      <w:r w:rsidRPr="00BD12AF">
        <w:rPr>
          <w:rFonts w:eastAsiaTheme="minorEastAsia"/>
        </w:rPr>
        <w:t xml:space="preserve"> annual survival rates of </w:t>
      </w:r>
      <w:r w:rsidRPr="00D54AC0">
        <w:rPr>
          <w:rFonts w:eastAsiaTheme="minorEastAsia"/>
          <w:i/>
          <w:iCs/>
        </w:rPr>
        <w:t xml:space="preserve">L. </w:t>
      </w:r>
      <w:proofErr w:type="spellStart"/>
      <w:r w:rsidRPr="00D54AC0">
        <w:rPr>
          <w:rFonts w:eastAsiaTheme="minorEastAsia"/>
          <w:i/>
          <w:iCs/>
        </w:rPr>
        <w:t>aurea</w:t>
      </w:r>
      <w:proofErr w:type="spellEnd"/>
      <w:r w:rsidRPr="00BD12AF">
        <w:rPr>
          <w:rFonts w:eastAsiaTheme="minorEastAsia"/>
        </w:rPr>
        <w:t xml:space="preserve"> and </w:t>
      </w:r>
      <w:r w:rsidRPr="00D54AC0">
        <w:rPr>
          <w:rFonts w:eastAsiaTheme="minorEastAsia"/>
          <w:i/>
          <w:iCs/>
        </w:rPr>
        <w:t xml:space="preserve">L. </w:t>
      </w:r>
      <w:proofErr w:type="spellStart"/>
      <w:r w:rsidRPr="00D54AC0">
        <w:rPr>
          <w:rFonts w:eastAsiaTheme="minorEastAsia"/>
          <w:i/>
          <w:iCs/>
        </w:rPr>
        <w:t>raniformis</w:t>
      </w:r>
      <w:proofErr w:type="spellEnd"/>
      <w:r w:rsidRPr="00BD12AF">
        <w:rPr>
          <w:rFonts w:eastAsiaTheme="minorEastAsia"/>
        </w:rPr>
        <w:t xml:space="preserve"> from age structure data obtained from museum specimens prior to the arrival of </w:t>
      </w:r>
      <w:r w:rsidR="00545FA7" w:rsidRPr="00545FA7">
        <w:rPr>
          <w:rFonts w:eastAsiaTheme="minorEastAsia"/>
          <w:i/>
          <w:iCs/>
        </w:rPr>
        <w:t>Bd</w:t>
      </w:r>
      <w:r w:rsidRPr="00BD12AF">
        <w:rPr>
          <w:rFonts w:eastAsiaTheme="minorEastAsia"/>
        </w:rPr>
        <w:t xml:space="preserve"> and compared these with annual survival estimates from post-</w:t>
      </w:r>
      <w:r w:rsidR="00545FA7" w:rsidRPr="00545FA7">
        <w:rPr>
          <w:rFonts w:eastAsiaTheme="minorEastAsia"/>
          <w:i/>
          <w:iCs/>
        </w:rPr>
        <w:t>Bd</w:t>
      </w:r>
      <w:r w:rsidRPr="00BD12AF">
        <w:rPr>
          <w:rFonts w:eastAsiaTheme="minorEastAsia"/>
        </w:rPr>
        <w:t xml:space="preserve"> populations. The estimate of pre-</w:t>
      </w:r>
      <w:r w:rsidR="00545FA7" w:rsidRPr="00545FA7">
        <w:rPr>
          <w:rFonts w:eastAsiaTheme="minorEastAsia"/>
          <w:i/>
          <w:iCs/>
        </w:rPr>
        <w:t>Bd</w:t>
      </w:r>
      <w:r w:rsidRPr="00BD12AF">
        <w:rPr>
          <w:rFonts w:eastAsiaTheme="minorEastAsia"/>
        </w:rPr>
        <w:t xml:space="preserve"> </w:t>
      </w:r>
      <w:r w:rsidR="00E5409F">
        <w:rPr>
          <w:rFonts w:eastAsiaTheme="minorEastAsia"/>
        </w:rPr>
        <w:t xml:space="preserve">annual </w:t>
      </w:r>
      <w:r w:rsidRPr="00BD12AF">
        <w:rPr>
          <w:rFonts w:eastAsiaTheme="minorEastAsia"/>
        </w:rPr>
        <w:t>survival</w:t>
      </w:r>
      <w:r w:rsidR="00E5409F">
        <w:rPr>
          <w:rFonts w:eastAsiaTheme="minorEastAsia"/>
        </w:rPr>
        <w:t xml:space="preserve"> probability </w:t>
      </w:r>
      <w:r w:rsidRPr="00BD12AF">
        <w:rPr>
          <w:rFonts w:eastAsiaTheme="minorEastAsia"/>
        </w:rPr>
        <w:t>was 0.69 compared with the post-</w:t>
      </w:r>
      <w:r w:rsidR="00545FA7" w:rsidRPr="00545FA7">
        <w:rPr>
          <w:rFonts w:eastAsiaTheme="minorEastAsia"/>
          <w:i/>
          <w:iCs/>
        </w:rPr>
        <w:t>Bd</w:t>
      </w:r>
      <w:r w:rsidRPr="00BD12AF">
        <w:rPr>
          <w:rFonts w:eastAsiaTheme="minorEastAsia"/>
        </w:rPr>
        <w:t xml:space="preserve"> </w:t>
      </w:r>
      <w:r w:rsidR="00E5409F">
        <w:rPr>
          <w:rFonts w:eastAsiaTheme="minorEastAsia"/>
        </w:rPr>
        <w:t xml:space="preserve">annual </w:t>
      </w:r>
      <w:r w:rsidRPr="00BD12AF">
        <w:rPr>
          <w:rFonts w:eastAsiaTheme="minorEastAsia"/>
        </w:rPr>
        <w:t>survival</w:t>
      </w:r>
      <w:r w:rsidR="00E5409F">
        <w:rPr>
          <w:rFonts w:eastAsiaTheme="minorEastAsia"/>
        </w:rPr>
        <w:t xml:space="preserve"> probability</w:t>
      </w:r>
      <w:r w:rsidRPr="00BD12AF">
        <w:rPr>
          <w:rFonts w:eastAsiaTheme="minorEastAsia"/>
        </w:rPr>
        <w:t xml:space="preserve"> of 0.35.</w:t>
      </w:r>
      <w:r w:rsidR="00BE3EC4">
        <w:rPr>
          <w:rFonts w:eastAsiaTheme="minorEastAsia"/>
        </w:rPr>
        <w:t xml:space="preserve"> </w:t>
      </w:r>
      <w:r w:rsidRPr="00BD12AF">
        <w:rPr>
          <w:rFonts w:eastAsiaTheme="minorEastAsia"/>
        </w:rPr>
        <w:t xml:space="preserve">These correspond to annual mortality rates of </w:t>
      </w:r>
      <w:r w:rsidR="00562B49">
        <w:rPr>
          <w:rFonts w:eastAsiaTheme="minorEastAsia"/>
        </w:rPr>
        <w:t>-</w:t>
      </w:r>
      <w:proofErr w:type="gramStart"/>
      <w:r w:rsidR="00562B49">
        <w:rPr>
          <w:rFonts w:eastAsiaTheme="minorEastAsia"/>
        </w:rPr>
        <w:t>log(</w:t>
      </w:r>
      <w:proofErr w:type="gramEnd"/>
      <w:r w:rsidR="00562B49">
        <w:rPr>
          <w:rFonts w:eastAsiaTheme="minorEastAsia"/>
        </w:rPr>
        <w:t xml:space="preserve">0.69) = </w:t>
      </w:r>
      <w:r w:rsidRPr="00BD12AF">
        <w:rPr>
          <w:rFonts w:eastAsiaTheme="minorEastAsia"/>
        </w:rPr>
        <w:t>0.37 and</w:t>
      </w:r>
      <w:r w:rsidR="00562B49">
        <w:rPr>
          <w:rFonts w:eastAsiaTheme="minorEastAsia"/>
        </w:rPr>
        <w:t xml:space="preserve"> -</w:t>
      </w:r>
      <w:proofErr w:type="gramStart"/>
      <w:r w:rsidR="00562B49">
        <w:rPr>
          <w:rFonts w:eastAsiaTheme="minorEastAsia"/>
        </w:rPr>
        <w:t>log(</w:t>
      </w:r>
      <w:proofErr w:type="gramEnd"/>
      <w:r w:rsidR="00562B49">
        <w:rPr>
          <w:rFonts w:eastAsiaTheme="minorEastAsia"/>
        </w:rPr>
        <w:t>0.35) =</w:t>
      </w:r>
      <w:r w:rsidRPr="00BD12AF">
        <w:rPr>
          <w:rFonts w:eastAsiaTheme="minorEastAsia"/>
        </w:rPr>
        <w:t xml:space="preserve"> 1.05, respectively.</w:t>
      </w:r>
      <w:r w:rsidR="00BE3EC4">
        <w:rPr>
          <w:rFonts w:eastAsiaTheme="minorEastAsia"/>
        </w:rPr>
        <w:t xml:space="preserve"> </w:t>
      </w:r>
      <w:r w:rsidR="00D402E0">
        <w:rPr>
          <w:rFonts w:eastAsiaTheme="minorEastAsia"/>
        </w:rPr>
        <w:t>Consequently</w:t>
      </w:r>
      <w:r w:rsidRPr="00BD12AF">
        <w:rPr>
          <w:rFonts w:eastAsiaTheme="minorEastAsia"/>
        </w:rPr>
        <w:t xml:space="preserve">, the corresponding </w:t>
      </w:r>
      <w:r w:rsidR="006B4154">
        <w:rPr>
          <w:rFonts w:eastAsiaTheme="minorEastAsia"/>
        </w:rPr>
        <w:t>c</w:t>
      </w:r>
      <w:r w:rsidRPr="00BD12AF">
        <w:rPr>
          <w:rFonts w:eastAsiaTheme="minorEastAsia"/>
        </w:rPr>
        <w:t>hytrid</w:t>
      </w:r>
      <w:r w:rsidR="00545FA7">
        <w:rPr>
          <w:rFonts w:eastAsiaTheme="minorEastAsia"/>
        </w:rPr>
        <w:t>iomycosis</w:t>
      </w:r>
      <w:r w:rsidRPr="00BD12AF">
        <w:rPr>
          <w:rFonts w:eastAsiaTheme="minorEastAsia"/>
        </w:rPr>
        <w:t xml:space="preserve"> mortality rate </w:t>
      </w:r>
      <m:oMath>
        <m:r>
          <w:rPr>
            <w:rFonts w:ascii="Cambria Math" w:eastAsiaTheme="minorEastAsia" w:hAnsi="Cambria Math"/>
          </w:rPr>
          <m:t>α</m:t>
        </m:r>
      </m:oMath>
      <w:r w:rsidRPr="00BD12AF">
        <w:rPr>
          <w:rFonts w:eastAsiaTheme="minorEastAsia"/>
        </w:rPr>
        <w:t xml:space="preserve"> was </w:t>
      </w:r>
      <w:proofErr w:type="gramStart"/>
      <w:r w:rsidRPr="00BD12AF">
        <w:rPr>
          <w:rFonts w:eastAsiaTheme="minorEastAsia"/>
        </w:rPr>
        <w:t>1.05</w:t>
      </w:r>
      <w:r w:rsidR="00D402E0">
        <w:rPr>
          <w:rFonts w:eastAsiaTheme="minorEastAsia"/>
        </w:rPr>
        <w:t xml:space="preserve">  </w:t>
      </w:r>
      <w:r w:rsidRPr="00BD12AF">
        <w:rPr>
          <w:rFonts w:eastAsiaTheme="minorEastAsia"/>
        </w:rPr>
        <w:t>–</w:t>
      </w:r>
      <w:proofErr w:type="gramEnd"/>
      <w:r w:rsidR="00D402E0">
        <w:rPr>
          <w:rFonts w:eastAsiaTheme="minorEastAsia"/>
        </w:rPr>
        <w:t> </w:t>
      </w:r>
      <w:r w:rsidRPr="00BD12AF">
        <w:rPr>
          <w:rFonts w:eastAsiaTheme="minorEastAsia"/>
        </w:rPr>
        <w:t>0.37</w:t>
      </w:r>
      <w:r w:rsidR="00D402E0">
        <w:rPr>
          <w:rFonts w:eastAsiaTheme="minorEastAsia"/>
        </w:rPr>
        <w:t> </w:t>
      </w:r>
      <w:r w:rsidRPr="00BD12AF">
        <w:rPr>
          <w:rFonts w:eastAsiaTheme="minorEastAsia"/>
        </w:rPr>
        <w:t>=</w:t>
      </w:r>
      <w:r w:rsidR="00D402E0">
        <w:rPr>
          <w:rFonts w:eastAsiaTheme="minorEastAsia"/>
        </w:rPr>
        <w:t> </w:t>
      </w:r>
      <w:r w:rsidRPr="00BD12AF">
        <w:rPr>
          <w:rFonts w:eastAsiaTheme="minorEastAsia"/>
        </w:rPr>
        <w:t>0.68/year or 0.0019/day.</w:t>
      </w:r>
      <w:r w:rsidR="00BE3EC4">
        <w:rPr>
          <w:rFonts w:eastAsiaTheme="minorEastAsia"/>
        </w:rPr>
        <w:t xml:space="preserve"> </w:t>
      </w:r>
      <w:r w:rsidRPr="00BD12AF">
        <w:rPr>
          <w:rFonts w:eastAsiaTheme="minorEastAsia"/>
        </w:rPr>
        <w:t>The estimate of pre-</w:t>
      </w:r>
      <w:r w:rsidR="00545FA7" w:rsidRPr="00545FA7">
        <w:rPr>
          <w:rFonts w:eastAsiaTheme="minorEastAsia"/>
          <w:i/>
          <w:iCs/>
        </w:rPr>
        <w:t>Bd</w:t>
      </w:r>
      <w:r w:rsidRPr="00BD12AF">
        <w:rPr>
          <w:rFonts w:eastAsiaTheme="minorEastAsia"/>
        </w:rPr>
        <w:t xml:space="preserve"> survival was then used as the estimate of the </w:t>
      </w:r>
      <w:r w:rsidR="00E83A73">
        <w:rPr>
          <w:rFonts w:eastAsiaTheme="minorEastAsia"/>
        </w:rPr>
        <w:t>natural (background)</w:t>
      </w:r>
      <w:r w:rsidRPr="00BD12AF">
        <w:rPr>
          <w:rFonts w:eastAsiaTheme="minorEastAsia"/>
        </w:rPr>
        <w:t xml:space="preserve"> mortality rate (</w:t>
      </w:r>
      <m:oMath>
        <m:r>
          <w:rPr>
            <w:rFonts w:ascii="Cambria Math" w:eastAsiaTheme="minorEastAsia" w:hAnsi="Cambria Math"/>
          </w:rPr>
          <m:t>d</m:t>
        </m:r>
      </m:oMath>
      <w:r w:rsidRPr="00BD12AF">
        <w:rPr>
          <w:rFonts w:eastAsiaTheme="minorEastAsia"/>
        </w:rPr>
        <w:t xml:space="preserve"> = 0.37/year).</w:t>
      </w:r>
    </w:p>
    <w:p w14:paraId="2014A989" w14:textId="77777777" w:rsidR="005C09C6" w:rsidRPr="000232AE" w:rsidRDefault="005C09C6" w:rsidP="00DC1B25">
      <w:pPr>
        <w:pStyle w:val="Heading4"/>
        <w:rPr>
          <w:rFonts w:eastAsiaTheme="minorEastAsia"/>
        </w:rPr>
      </w:pPr>
      <w:r w:rsidRPr="00DC1B25">
        <w:rPr>
          <w:rFonts w:eastAsiaTheme="minorEastAsia"/>
        </w:rPr>
        <w:t>Scenarios</w:t>
      </w:r>
    </w:p>
    <w:p w14:paraId="7BEA692D" w14:textId="7D913FD9" w:rsidR="00C516DD" w:rsidRPr="00270D41" w:rsidRDefault="00C516DD" w:rsidP="00270D41">
      <w:pPr>
        <w:rPr>
          <w:rFonts w:eastAsiaTheme="minorEastAsia"/>
        </w:rPr>
      </w:pPr>
      <w:r w:rsidRPr="00270D41">
        <w:rPr>
          <w:rFonts w:eastAsiaTheme="minorEastAsia"/>
        </w:rPr>
        <w:t xml:space="preserve">To investigate the likely impacts of the introduction of thermal shelters on the </w:t>
      </w:r>
      <w:r w:rsidR="002C3176">
        <w:rPr>
          <w:rFonts w:eastAsiaTheme="minorEastAsia"/>
        </w:rPr>
        <w:t>e</w:t>
      </w:r>
      <w:r w:rsidRPr="00270D41">
        <w:rPr>
          <w:rFonts w:eastAsiaTheme="minorEastAsia"/>
        </w:rPr>
        <w:t xml:space="preserve">pidemiology </w:t>
      </w:r>
      <w:r w:rsidR="002C3176">
        <w:rPr>
          <w:rFonts w:eastAsiaTheme="minorEastAsia"/>
        </w:rPr>
        <w:t xml:space="preserve">of </w:t>
      </w:r>
      <w:r w:rsidR="002C3176" w:rsidRPr="002C3176">
        <w:rPr>
          <w:rFonts w:eastAsiaTheme="minorEastAsia"/>
          <w:i/>
          <w:iCs/>
        </w:rPr>
        <w:t>Bd</w:t>
      </w:r>
      <w:r w:rsidR="002C3176">
        <w:rPr>
          <w:rFonts w:eastAsiaTheme="minorEastAsia"/>
        </w:rPr>
        <w:t xml:space="preserve"> </w:t>
      </w:r>
      <w:r w:rsidRPr="00270D41">
        <w:rPr>
          <w:rFonts w:eastAsiaTheme="minorEastAsia"/>
        </w:rPr>
        <w:t xml:space="preserve">and the population dynamic of </w:t>
      </w:r>
      <w:r w:rsidR="00B84722">
        <w:rPr>
          <w:rFonts w:eastAsiaTheme="minorEastAsia"/>
        </w:rPr>
        <w:t>Bell Frogs</w:t>
      </w:r>
      <w:r w:rsidRPr="00270D41">
        <w:rPr>
          <w:rFonts w:eastAsiaTheme="minorEastAsia"/>
        </w:rPr>
        <w:t xml:space="preserve">, we investigated scenarios for </w:t>
      </w:r>
      <w:r w:rsidR="00B84722">
        <w:rPr>
          <w:rFonts w:eastAsiaTheme="minorEastAsia"/>
        </w:rPr>
        <w:t>Bell Frogs</w:t>
      </w:r>
      <w:r w:rsidRPr="00270D41">
        <w:rPr>
          <w:rFonts w:eastAsiaTheme="minorEastAsia"/>
        </w:rPr>
        <w:t xml:space="preserve"> inhabiting wetlands with different thermal environments.</w:t>
      </w:r>
      <w:r w:rsidR="00BE3EC4">
        <w:rPr>
          <w:rFonts w:eastAsiaTheme="minorEastAsia"/>
        </w:rPr>
        <w:t xml:space="preserve"> </w:t>
      </w:r>
      <w:r w:rsidRPr="00270D41">
        <w:rPr>
          <w:rFonts w:eastAsiaTheme="minorEastAsia"/>
        </w:rPr>
        <w:t>For this purpose, we simulated seasonal temperature regimes for wetland environments</w:t>
      </w:r>
      <w:r w:rsidR="00D17235">
        <w:rPr>
          <w:rFonts w:eastAsiaTheme="minorEastAsia"/>
        </w:rPr>
        <w:t xml:space="preserve"> where maximum daytime temperatures </w:t>
      </w:r>
      <w:r w:rsidRPr="00270D41">
        <w:rPr>
          <w:rFonts w:eastAsiaTheme="minorEastAsia"/>
        </w:rPr>
        <w:t>fluctuated between 1</w:t>
      </w:r>
      <w:r w:rsidR="00D17235">
        <w:rPr>
          <w:rFonts w:eastAsiaTheme="minorEastAsia"/>
        </w:rPr>
        <w:t>3</w:t>
      </w:r>
      <w:r w:rsidRPr="00270D41">
        <w:rPr>
          <w:rFonts w:eastAsiaTheme="minorEastAsia"/>
        </w:rPr>
        <w:t>–2</w:t>
      </w:r>
      <w:r w:rsidR="00C61650">
        <w:rPr>
          <w:rFonts w:eastAsiaTheme="minorEastAsia"/>
        </w:rPr>
        <w:t>1</w:t>
      </w:r>
      <w:r w:rsidR="00B458A4">
        <w:rPr>
          <w:rFonts w:eastAsiaTheme="minorEastAsia"/>
        </w:rPr>
        <w:t>°</w:t>
      </w:r>
      <w:r w:rsidRPr="00270D41">
        <w:rPr>
          <w:rFonts w:eastAsiaTheme="minorEastAsia"/>
        </w:rPr>
        <w:t>C (‘cold’), 1</w:t>
      </w:r>
      <w:r w:rsidR="00D17235">
        <w:rPr>
          <w:rFonts w:eastAsiaTheme="minorEastAsia"/>
        </w:rPr>
        <w:t>6</w:t>
      </w:r>
      <w:r w:rsidRPr="00270D41">
        <w:rPr>
          <w:rFonts w:eastAsiaTheme="minorEastAsia"/>
        </w:rPr>
        <w:t>–2</w:t>
      </w:r>
      <w:r w:rsidR="00C61650">
        <w:rPr>
          <w:rFonts w:eastAsiaTheme="minorEastAsia"/>
        </w:rPr>
        <w:t>6</w:t>
      </w:r>
      <w:r w:rsidR="00B458A4" w:rsidRPr="00B458A4">
        <w:rPr>
          <w:rFonts w:eastAsiaTheme="minorEastAsia"/>
        </w:rPr>
        <w:t>°C</w:t>
      </w:r>
      <w:r w:rsidRPr="00270D41">
        <w:rPr>
          <w:rFonts w:eastAsiaTheme="minorEastAsia"/>
        </w:rPr>
        <w:t xml:space="preserve"> (‘warm’) and 1</w:t>
      </w:r>
      <w:r w:rsidR="00D17235">
        <w:rPr>
          <w:rFonts w:eastAsiaTheme="minorEastAsia"/>
        </w:rPr>
        <w:t>9</w:t>
      </w:r>
      <w:r w:rsidRPr="00270D41">
        <w:rPr>
          <w:rFonts w:eastAsiaTheme="minorEastAsia"/>
        </w:rPr>
        <w:t>–3</w:t>
      </w:r>
      <w:r w:rsidR="00C61650">
        <w:rPr>
          <w:rFonts w:eastAsiaTheme="minorEastAsia"/>
        </w:rPr>
        <w:t>1</w:t>
      </w:r>
      <w:r w:rsidR="00B458A4" w:rsidRPr="00B458A4">
        <w:rPr>
          <w:rFonts w:eastAsiaTheme="minorEastAsia"/>
        </w:rPr>
        <w:t xml:space="preserve">°C </w:t>
      </w:r>
      <w:r w:rsidRPr="00270D41">
        <w:rPr>
          <w:rFonts w:eastAsiaTheme="minorEastAsia"/>
        </w:rPr>
        <w:t xml:space="preserve">(‘hot’) (Figure </w:t>
      </w:r>
      <w:r w:rsidR="00B72D97">
        <w:rPr>
          <w:rFonts w:eastAsiaTheme="minorEastAsia"/>
        </w:rPr>
        <w:t>2</w:t>
      </w:r>
      <w:r w:rsidR="00EC669C">
        <w:rPr>
          <w:rFonts w:eastAsiaTheme="minorEastAsia"/>
        </w:rPr>
        <w:t>2</w:t>
      </w:r>
      <w:r w:rsidRPr="00270D41">
        <w:rPr>
          <w:rFonts w:eastAsiaTheme="minorEastAsia"/>
        </w:rPr>
        <w:t>).</w:t>
      </w:r>
      <w:r w:rsidR="00BE3EC4">
        <w:rPr>
          <w:rFonts w:eastAsiaTheme="minorEastAsia"/>
        </w:rPr>
        <w:t xml:space="preserve"> </w:t>
      </w:r>
      <w:r w:rsidRPr="00270D41">
        <w:rPr>
          <w:rFonts w:eastAsiaTheme="minorEastAsia"/>
        </w:rPr>
        <w:t>These</w:t>
      </w:r>
      <w:r w:rsidR="00BE3EC4">
        <w:rPr>
          <w:rFonts w:eastAsiaTheme="minorEastAsia"/>
        </w:rPr>
        <w:t xml:space="preserve"> </w:t>
      </w:r>
      <w:r w:rsidRPr="00270D41">
        <w:rPr>
          <w:rFonts w:eastAsiaTheme="minorEastAsia"/>
        </w:rPr>
        <w:t>temperature regimes are used here for illustrative purposes</w:t>
      </w:r>
      <w:r w:rsidR="005C690A">
        <w:rPr>
          <w:rFonts w:eastAsiaTheme="minorEastAsia"/>
        </w:rPr>
        <w:t>,</w:t>
      </w:r>
      <w:r w:rsidRPr="00270D41">
        <w:rPr>
          <w:rFonts w:eastAsiaTheme="minorEastAsia"/>
        </w:rPr>
        <w:t xml:space="preserve"> but are similar to the seasonal </w:t>
      </w:r>
      <w:r w:rsidR="00D17235">
        <w:rPr>
          <w:rFonts w:eastAsiaTheme="minorEastAsia"/>
        </w:rPr>
        <w:t xml:space="preserve">maximum daytime </w:t>
      </w:r>
      <w:r w:rsidRPr="00270D41">
        <w:rPr>
          <w:rFonts w:eastAsiaTheme="minorEastAsia"/>
        </w:rPr>
        <w:t xml:space="preserve">temperature fluctuations recorded in different wetland environments for southern </w:t>
      </w:r>
      <w:r w:rsidR="00B84722">
        <w:rPr>
          <w:rFonts w:eastAsiaTheme="minorEastAsia"/>
        </w:rPr>
        <w:t>Bell Frogs</w:t>
      </w:r>
      <w:r w:rsidRPr="00270D41">
        <w:rPr>
          <w:rFonts w:eastAsiaTheme="minorEastAsia"/>
        </w:rPr>
        <w:t xml:space="preserve"> </w:t>
      </w:r>
      <w:r w:rsidRPr="00270D41">
        <w:rPr>
          <w:rFonts w:eastAsiaTheme="minorEastAsia"/>
        </w:rPr>
        <w:fldChar w:fldCharType="begin"/>
      </w:r>
      <w:r w:rsidR="009F541F">
        <w:rPr>
          <w:rFonts w:eastAsiaTheme="minorEastAsia"/>
        </w:rPr>
        <w:instrText xml:space="preserve"> ADDIN ZOTERO_ITEM CSL_CITATION {"citationID":"ZOldOl0p","properties":{"formattedCitation":"(Heard {\\i{}et al.} 2018; Turner {\\i{}et al.} 2021)","plainCitation":"(Heard et al. 2018; Turner et al. 2021)","noteIndex":0},"citationItems":[{"id":5125,"uris":["http://zotero.org/users/634364/items/ARHMMENA"],"itemData":{"id":5125,"type":"article-journal","abstract":"Chytridiomycosis has decimated amphibian biodiversity. Management options for the disease are currently limited, but habitat manipulation holds promise due to the thermal and physicochemical sensitivities of chytrid fungi. Here, we quantify the extent to which habitat management could reduce metapopulation extinction risk for an Australian frog susceptible to chytridiomycosis. Our modeling revealed that: (1) habitat management is most effective in climates where hosts are already less susceptible to the disease; (2) creating habitat, particularly habitat with refugial properties adverse to the pathogen, may be substantially more effective than manipulating existing habitat; and (3) increasing metapopulation size and connectivity through strategic habitat creation can greatly reduce extinction risk. Controlling chytridiomycosis is a top priority for conserving amphibians. Our study provides impetus for experiments across a range of species and environments to test the capacity of habitat management to mitigate the impacts of this pervasive disease.","container-title":"Conservation Letters","DOI":"10.1111/conl.12375","ISSN":"1755263X","issue":"2","title":"Can Habitat Management Mitigate Disease Impacts on Threatened Amphibians?","volume":"11","author":[{"family":"Heard","given":"G.W."},{"family":"Scroggie","given":"M.P."},{"family":"Ramsey","given":"D.S.L."},{"family":"Clemann","given":"N."},{"family":"Hodgson","given":"J.A."},{"family":"Thomas","given":"C.D."}],"issued":{"date-parts":[["2018"]]}},"label":"page"},{"id":9619,"uris":["http://zotero.org/users/634364/items/FKPKNVE2"],"itemData":{"id":9619,"type":"article-journal","abstract":"Batrachochytrium dendrobatidis (Bd), the causative agent of chytridiomycosis and the leading cause of amphibian declines across the globe, is sensitive to temperature and thought to be restricted to certain climatic regions as a result. This study sought to assess the prevalence and intensity of chytridiomycosis among populations of a widespread frog species, Litoria raniformis, in cool temperate and semi-arid regions. We show that chytrid can infect amphibian populations well beyond its predicted geographic range, although infection prevalence was three times lower and maximum infection intensity was seven times lower in semi-arid sites relative to temperate ones. Strong seasonal patterns for both prevalence and intensity were identified in each region. Consistent environmental drivers were also identified, including water temperature, wetland salinity and pH. This is the first study to report a quadratic effect of pH on chytrid prevalence in the field, as expected from laboratory studies. Empirical data on the distribution and key environmental drivers of chytrid infections is vital to identify envi­ ronmental refuges from the pathogen, and to guide management to reduce disease impact.","container-title":"Biological Conservation","DOI":"10.1016/j.biocon.2021.109391","ISSN":"00063207","journalAbbreviation":"Biological Conservation","language":"en","page":"109391","source":"DOI.org (Crossref)","title":"Chytrid infection dynamics in frog populations from climatically disparate regions","volume":"264","author":[{"family":"Turner","given":"Anna"},{"family":"Wassens","given":"Skye"},{"family":"Heard","given":"Geoffrey"}],"issued":{"date-parts":[["2021",12]]}}}],"schema":"https://github.com/citation-style-language/schema/raw/master/csl-citation.json"} </w:instrText>
      </w:r>
      <w:r w:rsidRPr="00270D41">
        <w:rPr>
          <w:rFonts w:eastAsiaTheme="minorEastAsia"/>
        </w:rPr>
        <w:fldChar w:fldCharType="separate"/>
      </w:r>
      <w:r w:rsidR="009F541F" w:rsidRPr="009F541F">
        <w:t xml:space="preserve">(Heard </w:t>
      </w:r>
      <w:r w:rsidR="009F541F" w:rsidRPr="00DA5824">
        <w:t>et al.</w:t>
      </w:r>
      <w:r w:rsidR="009F541F" w:rsidRPr="005C690A">
        <w:t xml:space="preserve"> 2018; Turner </w:t>
      </w:r>
      <w:r w:rsidR="009F541F" w:rsidRPr="00DA5824">
        <w:t>et al.</w:t>
      </w:r>
      <w:r w:rsidR="009F541F" w:rsidRPr="005C690A">
        <w:t xml:space="preserve"> </w:t>
      </w:r>
      <w:r w:rsidR="009F541F" w:rsidRPr="009F541F">
        <w:t>2021)</w:t>
      </w:r>
      <w:r w:rsidRPr="00270D41">
        <w:rPr>
          <w:rFonts w:eastAsiaTheme="minorEastAsia"/>
        </w:rPr>
        <w:fldChar w:fldCharType="end"/>
      </w:r>
      <w:r w:rsidRPr="00270D41">
        <w:rPr>
          <w:rFonts w:eastAsiaTheme="minorEastAsia"/>
        </w:rPr>
        <w:t>.</w:t>
      </w:r>
      <w:r w:rsidR="00BE3EC4">
        <w:rPr>
          <w:rFonts w:eastAsiaTheme="minorEastAsia"/>
        </w:rPr>
        <w:t xml:space="preserve"> </w:t>
      </w:r>
    </w:p>
    <w:p w14:paraId="6AD1D337" w14:textId="6CBAE473" w:rsidR="00C516DD" w:rsidRPr="00270D41" w:rsidRDefault="00C516DD" w:rsidP="00270D41">
      <w:pPr>
        <w:rPr>
          <w:rFonts w:eastAsiaTheme="minorEastAsia"/>
        </w:rPr>
      </w:pPr>
      <w:r w:rsidRPr="00270D41">
        <w:rPr>
          <w:rFonts w:eastAsiaTheme="minorEastAsia"/>
        </w:rPr>
        <w:t>We simulated a population of 500 adult frogs inhabiting a single wetland where frog body temperatures were set by the given thermal environment.</w:t>
      </w:r>
      <w:r w:rsidR="00BE3EC4">
        <w:rPr>
          <w:rFonts w:eastAsiaTheme="minorEastAsia"/>
        </w:rPr>
        <w:t xml:space="preserve"> </w:t>
      </w:r>
      <w:r w:rsidRPr="00270D41">
        <w:rPr>
          <w:rFonts w:eastAsiaTheme="minorEastAsia"/>
        </w:rPr>
        <w:t>We then simulated population dynamics over 20 years to establish baseline conditions for each thermal environment.</w:t>
      </w:r>
      <w:r w:rsidR="00BE3EC4">
        <w:rPr>
          <w:rFonts w:eastAsiaTheme="minorEastAsia"/>
        </w:rPr>
        <w:t xml:space="preserve"> </w:t>
      </w:r>
      <w:r w:rsidRPr="00270D41">
        <w:rPr>
          <w:rFonts w:eastAsiaTheme="minorEastAsia"/>
        </w:rPr>
        <w:t>Following the baseline period, we then added thermal refugia to the wetland such that each frog utilised the thermal shelter for daytime basking with a given probability.</w:t>
      </w:r>
      <w:r w:rsidR="00BE3EC4">
        <w:rPr>
          <w:rFonts w:eastAsiaTheme="minorEastAsia"/>
        </w:rPr>
        <w:t xml:space="preserve"> </w:t>
      </w:r>
      <w:r w:rsidRPr="00270D41">
        <w:rPr>
          <w:rFonts w:eastAsiaTheme="minorEastAsia"/>
        </w:rPr>
        <w:t xml:space="preserve">As </w:t>
      </w:r>
      <w:r w:rsidRPr="00270D41">
        <w:rPr>
          <w:rFonts w:eastAsiaTheme="minorEastAsia"/>
          <w:i/>
          <w:iCs/>
        </w:rPr>
        <w:t xml:space="preserve">L. </w:t>
      </w:r>
      <w:proofErr w:type="spellStart"/>
      <w:r w:rsidRPr="00270D41">
        <w:rPr>
          <w:rFonts w:eastAsiaTheme="minorEastAsia"/>
          <w:i/>
          <w:iCs/>
        </w:rPr>
        <w:t>aurea</w:t>
      </w:r>
      <w:proofErr w:type="spellEnd"/>
      <w:r w:rsidRPr="00270D41">
        <w:rPr>
          <w:rFonts w:eastAsiaTheme="minorEastAsia"/>
        </w:rPr>
        <w:t xml:space="preserve"> have been shown to preferentially seek out thermal refugia </w:t>
      </w:r>
      <w:r w:rsidRPr="00270D41">
        <w:rPr>
          <w:rFonts w:eastAsiaTheme="minorEastAsia"/>
        </w:rPr>
        <w:fldChar w:fldCharType="begin"/>
      </w:r>
      <w:r w:rsidR="009F541F">
        <w:rPr>
          <w:rFonts w:eastAsiaTheme="minorEastAsia"/>
        </w:rPr>
        <w:instrText xml:space="preserve"> ADDIN ZOTERO_ITEM CSL_CITATION {"citationID":"QSZkvV8j","properties":{"formattedCitation":"(Waddle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270D41">
        <w:rPr>
          <w:rFonts w:eastAsiaTheme="minorEastAsia"/>
        </w:rPr>
        <w:fldChar w:fldCharType="separate"/>
      </w:r>
      <w:r w:rsidR="009F541F" w:rsidRPr="009F541F">
        <w:t xml:space="preserve">(Waddle </w:t>
      </w:r>
      <w:r w:rsidR="009F541F" w:rsidRPr="00DA5824">
        <w:t>et al.</w:t>
      </w:r>
      <w:r w:rsidR="009F541F" w:rsidRPr="005C690A">
        <w:t xml:space="preserve"> </w:t>
      </w:r>
      <w:r w:rsidR="009F541F" w:rsidRPr="009F541F">
        <w:t>2024)</w:t>
      </w:r>
      <w:r w:rsidRPr="00270D41">
        <w:rPr>
          <w:rFonts w:eastAsiaTheme="minorEastAsia"/>
        </w:rPr>
        <w:fldChar w:fldCharType="end"/>
      </w:r>
      <w:r w:rsidRPr="00270D41">
        <w:rPr>
          <w:rFonts w:eastAsiaTheme="minorEastAsia"/>
        </w:rPr>
        <w:t>, adding more thermal shelters increased the probability of utilisation by individual frogs.</w:t>
      </w:r>
      <w:r w:rsidR="00BE3EC4">
        <w:rPr>
          <w:rFonts w:eastAsiaTheme="minorEastAsia"/>
        </w:rPr>
        <w:t xml:space="preserve"> </w:t>
      </w:r>
      <w:r w:rsidR="005C690A">
        <w:rPr>
          <w:rFonts w:eastAsiaTheme="minorEastAsia"/>
        </w:rPr>
        <w:t>Therefore</w:t>
      </w:r>
      <w:r w:rsidRPr="00270D41">
        <w:rPr>
          <w:rFonts w:eastAsiaTheme="minorEastAsia"/>
        </w:rPr>
        <w:t>, rather than explicitly model the number of thermal refugia, we instead just modelled the probability that an individual used a thermal shelter.</w:t>
      </w:r>
      <w:r w:rsidR="00BE3EC4">
        <w:rPr>
          <w:rFonts w:eastAsiaTheme="minorEastAsia"/>
        </w:rPr>
        <w:t xml:space="preserve"> </w:t>
      </w:r>
      <w:r w:rsidRPr="00270D41">
        <w:rPr>
          <w:rFonts w:eastAsiaTheme="minorEastAsia"/>
        </w:rPr>
        <w:t>We examined probabilities between 0 (no refugia) and 0.9 (90% of frogs were able to utilise thermal refugia).</w:t>
      </w:r>
      <w:r w:rsidR="00BE3EC4">
        <w:rPr>
          <w:rFonts w:eastAsiaTheme="minorEastAsia"/>
        </w:rPr>
        <w:t xml:space="preserve"> </w:t>
      </w:r>
      <w:r w:rsidRPr="00270D41">
        <w:rPr>
          <w:rFonts w:eastAsiaTheme="minorEastAsia"/>
        </w:rPr>
        <w:t>As a baseline, thermal refugia were able to increase frog body temperatures by 4</w:t>
      </w:r>
      <w:r w:rsidR="005C690A" w:rsidRPr="005C690A">
        <w:rPr>
          <w:rFonts w:eastAsiaTheme="minorEastAsia"/>
        </w:rPr>
        <w:t xml:space="preserve">°C </w:t>
      </w:r>
      <w:r w:rsidRPr="00270D41">
        <w:rPr>
          <w:rFonts w:eastAsiaTheme="minorEastAsia"/>
        </w:rPr>
        <w:t xml:space="preserve"> </w:t>
      </w:r>
      <m:oMath>
        <m:d>
          <m:dPr>
            <m:ctrlPr>
              <w:rPr>
                <w:rFonts w:ascii="Cambria Math" w:eastAsiaTheme="minorEastAsia" w:hAnsi="Cambria Math"/>
              </w:rPr>
            </m:ctrlPr>
          </m:dPr>
          <m:e>
            <m:r>
              <w:rPr>
                <w:rFonts w:ascii="Cambria Math" w:eastAsiaTheme="minorEastAsia" w:hAnsi="Cambria Math"/>
              </w:rPr>
              <m:t>∆</m:t>
            </m:r>
          </m:e>
        </m:d>
      </m:oMath>
      <w:r w:rsidRPr="00270D41">
        <w:rPr>
          <w:rFonts w:eastAsiaTheme="minorEastAsia"/>
        </w:rPr>
        <w:t>.</w:t>
      </w:r>
      <w:r w:rsidR="00BE3EC4">
        <w:rPr>
          <w:rFonts w:eastAsiaTheme="minorEastAsia"/>
        </w:rPr>
        <w:t xml:space="preserve"> </w:t>
      </w:r>
      <w:r w:rsidRPr="00270D41">
        <w:rPr>
          <w:rFonts w:eastAsiaTheme="minorEastAsia"/>
        </w:rPr>
        <w:t xml:space="preserve">However, we also examined values for </w:t>
      </w:r>
      <m:oMath>
        <m:r>
          <w:rPr>
            <w:rFonts w:ascii="Cambria Math" w:eastAsiaTheme="minorEastAsia" w:hAnsi="Cambria Math"/>
          </w:rPr>
          <m:t>∆</m:t>
        </m:r>
      </m:oMath>
      <w:r w:rsidRPr="00270D41">
        <w:rPr>
          <w:rFonts w:eastAsiaTheme="minorEastAsia"/>
        </w:rPr>
        <w:t xml:space="preserve"> of 8</w:t>
      </w:r>
      <w:r w:rsidR="005C690A" w:rsidRPr="005C690A">
        <w:rPr>
          <w:rFonts w:eastAsiaTheme="minorEastAsia"/>
        </w:rPr>
        <w:t>°C</w:t>
      </w:r>
      <w:r w:rsidRPr="00270D41">
        <w:rPr>
          <w:rFonts w:eastAsiaTheme="minorEastAsia"/>
        </w:rPr>
        <w:t>.</w:t>
      </w:r>
    </w:p>
    <w:p w14:paraId="0EA0C62A" w14:textId="2E65A516" w:rsidR="00C516DD" w:rsidRPr="00270D41" w:rsidRDefault="00C516DD" w:rsidP="00270D41">
      <w:pPr>
        <w:rPr>
          <w:rFonts w:eastAsiaTheme="minorEastAsia"/>
        </w:rPr>
      </w:pPr>
      <w:r w:rsidRPr="00270D41">
        <w:rPr>
          <w:rFonts w:eastAsiaTheme="minorEastAsia"/>
        </w:rPr>
        <w:t xml:space="preserve">As an additional scenario, we also examined re-introductions of frogs to the cold thermal environments where frogs had previously been extirpated by </w:t>
      </w:r>
      <w:r w:rsidR="006B4154" w:rsidRPr="006B4154">
        <w:rPr>
          <w:rFonts w:eastAsiaTheme="minorEastAsia"/>
          <w:i/>
          <w:iCs/>
        </w:rPr>
        <w:t>Bd</w:t>
      </w:r>
      <w:r w:rsidRPr="00270D41">
        <w:rPr>
          <w:rFonts w:eastAsiaTheme="minorEastAsia"/>
        </w:rPr>
        <w:t>.</w:t>
      </w:r>
      <w:r w:rsidR="00BE3EC4">
        <w:rPr>
          <w:rFonts w:eastAsiaTheme="minorEastAsia"/>
        </w:rPr>
        <w:t xml:space="preserve"> </w:t>
      </w:r>
      <w:r w:rsidRPr="00270D41">
        <w:rPr>
          <w:rFonts w:eastAsiaTheme="minorEastAsia"/>
        </w:rPr>
        <w:t xml:space="preserve">Cold thermal environments provide ideal conditions for </w:t>
      </w:r>
      <w:r w:rsidR="002C3176" w:rsidRPr="002C3176">
        <w:rPr>
          <w:rFonts w:eastAsiaTheme="minorEastAsia"/>
          <w:i/>
          <w:iCs/>
        </w:rPr>
        <w:t>Bd</w:t>
      </w:r>
      <w:r w:rsidRPr="00270D41">
        <w:rPr>
          <w:rFonts w:eastAsiaTheme="minorEastAsia"/>
        </w:rPr>
        <w:t xml:space="preserve"> growth</w:t>
      </w:r>
      <w:r w:rsidR="005C690A">
        <w:rPr>
          <w:rFonts w:eastAsiaTheme="minorEastAsia"/>
        </w:rPr>
        <w:t xml:space="preserve">, </w:t>
      </w:r>
      <w:r w:rsidRPr="00270D41">
        <w:rPr>
          <w:rFonts w:eastAsiaTheme="minorEastAsia"/>
        </w:rPr>
        <w:t xml:space="preserve">and </w:t>
      </w:r>
      <w:r w:rsidR="00B84722">
        <w:rPr>
          <w:rFonts w:eastAsiaTheme="minorEastAsia"/>
          <w:bCs/>
        </w:rPr>
        <w:t>Bell Frogs</w:t>
      </w:r>
      <w:r w:rsidRPr="00270D41">
        <w:rPr>
          <w:rFonts w:eastAsiaTheme="minorEastAsia"/>
        </w:rPr>
        <w:t xml:space="preserve"> have been extirpated from </w:t>
      </w:r>
      <w:proofErr w:type="gramStart"/>
      <w:r w:rsidRPr="00270D41">
        <w:rPr>
          <w:rFonts w:eastAsiaTheme="minorEastAsia"/>
        </w:rPr>
        <w:t>the majority of</w:t>
      </w:r>
      <w:proofErr w:type="gramEnd"/>
      <w:r w:rsidRPr="00270D41">
        <w:rPr>
          <w:rFonts w:eastAsiaTheme="minorEastAsia"/>
        </w:rPr>
        <w:t xml:space="preserve"> cold climates where they have </w:t>
      </w:r>
      <w:r w:rsidR="007647DC">
        <w:rPr>
          <w:rFonts w:eastAsiaTheme="minorEastAsia"/>
        </w:rPr>
        <w:t xml:space="preserve">previously </w:t>
      </w:r>
      <w:r w:rsidRPr="00270D41">
        <w:rPr>
          <w:rFonts w:eastAsiaTheme="minorEastAsia"/>
        </w:rPr>
        <w:t>occurred.</w:t>
      </w:r>
      <w:r w:rsidR="00BE3EC4">
        <w:rPr>
          <w:rFonts w:eastAsiaTheme="minorEastAsia"/>
        </w:rPr>
        <w:t xml:space="preserve"> </w:t>
      </w:r>
      <w:r w:rsidRPr="00270D41">
        <w:rPr>
          <w:rFonts w:eastAsiaTheme="minorEastAsia"/>
        </w:rPr>
        <w:t xml:space="preserve">Here we simulated re-introductions of frogs that had been infected with </w:t>
      </w:r>
      <w:r w:rsidR="002C3176" w:rsidRPr="002C3176">
        <w:rPr>
          <w:rFonts w:eastAsiaTheme="minorEastAsia"/>
          <w:i/>
          <w:iCs/>
        </w:rPr>
        <w:t>Bd</w:t>
      </w:r>
      <w:r w:rsidRPr="00270D41">
        <w:rPr>
          <w:rFonts w:eastAsiaTheme="minorEastAsia"/>
        </w:rPr>
        <w:t xml:space="preserve"> and then heat treated at 30</w:t>
      </w:r>
      <w:r w:rsidR="005C690A" w:rsidRPr="005C690A">
        <w:rPr>
          <w:rFonts w:eastAsiaTheme="minorEastAsia"/>
        </w:rPr>
        <w:t>°C</w:t>
      </w:r>
      <w:r w:rsidRPr="00270D41">
        <w:rPr>
          <w:rFonts w:eastAsiaTheme="minorEastAsia"/>
        </w:rPr>
        <w:t xml:space="preserve"> to clear infections.</w:t>
      </w:r>
      <w:r w:rsidR="00BE3EC4">
        <w:rPr>
          <w:rFonts w:eastAsiaTheme="minorEastAsia"/>
        </w:rPr>
        <w:t xml:space="preserve"> </w:t>
      </w:r>
      <w:r w:rsidRPr="00270D41">
        <w:rPr>
          <w:rFonts w:eastAsiaTheme="minorEastAsia"/>
        </w:rPr>
        <w:t xml:space="preserve">Previous studies have shown that frogs treated in this manner are resistant to </w:t>
      </w:r>
      <w:r w:rsidR="002C3176" w:rsidRPr="002C3176">
        <w:rPr>
          <w:rFonts w:eastAsiaTheme="minorEastAsia"/>
          <w:i/>
          <w:iCs/>
        </w:rPr>
        <w:t>Bd</w:t>
      </w:r>
      <w:r w:rsidRPr="00270D41">
        <w:rPr>
          <w:rFonts w:eastAsiaTheme="minorEastAsia"/>
        </w:rPr>
        <w:t xml:space="preserve"> and have lower transmission and zoospore growth </w:t>
      </w:r>
      <w:r w:rsidRPr="00270D41">
        <w:rPr>
          <w:rFonts w:eastAsiaTheme="minorEastAsia"/>
        </w:rPr>
        <w:fldChar w:fldCharType="begin"/>
      </w:r>
      <w:r w:rsidR="009F541F">
        <w:rPr>
          <w:rFonts w:eastAsiaTheme="minorEastAsia"/>
        </w:rPr>
        <w:instrText xml:space="preserve"> ADDIN ZOTERO_ITEM CSL_CITATION {"citationID":"6ci3SS1F","properties":{"formattedCitation":"(Waddle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270D41">
        <w:rPr>
          <w:rFonts w:eastAsiaTheme="minorEastAsia"/>
        </w:rPr>
        <w:fldChar w:fldCharType="separate"/>
      </w:r>
      <w:r w:rsidR="009F541F" w:rsidRPr="009F541F">
        <w:t xml:space="preserve">(Waddle </w:t>
      </w:r>
      <w:r w:rsidR="009F541F" w:rsidRPr="00DA5824">
        <w:t>et al.</w:t>
      </w:r>
      <w:r w:rsidR="009F541F" w:rsidRPr="005C690A">
        <w:t xml:space="preserve"> </w:t>
      </w:r>
      <w:r w:rsidR="009F541F" w:rsidRPr="009F541F">
        <w:t>2024)</w:t>
      </w:r>
      <w:r w:rsidRPr="00270D41">
        <w:rPr>
          <w:rFonts w:eastAsiaTheme="minorEastAsia"/>
        </w:rPr>
        <w:fldChar w:fldCharType="end"/>
      </w:r>
      <w:r w:rsidRPr="00270D41">
        <w:rPr>
          <w:rFonts w:eastAsiaTheme="minorEastAsia"/>
        </w:rPr>
        <w:t>.</w:t>
      </w:r>
      <w:r w:rsidR="00BE3EC4">
        <w:rPr>
          <w:rFonts w:eastAsiaTheme="minorEastAsia"/>
        </w:rPr>
        <w:t xml:space="preserve"> </w:t>
      </w:r>
      <w:r w:rsidRPr="00270D41">
        <w:rPr>
          <w:rFonts w:eastAsiaTheme="minorEastAsia"/>
        </w:rPr>
        <w:t>We examined re-introductions of 50 heat-treated frogs to extirpated wetlands and examined population trajectories over 20</w:t>
      </w:r>
      <w:r w:rsidR="005C690A">
        <w:rPr>
          <w:rFonts w:eastAsiaTheme="minorEastAsia"/>
        </w:rPr>
        <w:t> </w:t>
      </w:r>
      <w:r w:rsidRPr="00270D41">
        <w:rPr>
          <w:rFonts w:eastAsiaTheme="minorEastAsia"/>
        </w:rPr>
        <w:t>years.</w:t>
      </w:r>
      <w:r w:rsidR="00BE3EC4">
        <w:rPr>
          <w:rFonts w:eastAsiaTheme="minorEastAsia"/>
        </w:rPr>
        <w:t xml:space="preserve"> </w:t>
      </w:r>
      <w:r w:rsidRPr="00270D41">
        <w:rPr>
          <w:rFonts w:eastAsiaTheme="minorEastAsia"/>
        </w:rPr>
        <w:t xml:space="preserve">Re-introduced frogs </w:t>
      </w:r>
      <w:proofErr w:type="gramStart"/>
      <w:r w:rsidRPr="00270D41">
        <w:rPr>
          <w:rFonts w:eastAsiaTheme="minorEastAsia"/>
        </w:rPr>
        <w:t>entered into</w:t>
      </w:r>
      <w:proofErr w:type="gramEnd"/>
      <w:r w:rsidRPr="00270D41">
        <w:rPr>
          <w:rFonts w:eastAsiaTheme="minorEastAsia"/>
        </w:rPr>
        <w:t xml:space="preserve"> the susceptible recovered class </w:t>
      </w:r>
      <m:oMath>
        <m:d>
          <m:dPr>
            <m:ctrlPr>
              <w:rPr>
                <w:rFonts w:ascii="Cambria Math" w:eastAsiaTheme="minorEastAsia" w:hAnsi="Cambria Math"/>
              </w:rPr>
            </m:ctrlPr>
          </m:dPr>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r</m:t>
                </m:r>
              </m:sub>
            </m:sSub>
          </m:e>
        </m:d>
      </m:oMath>
      <w:r w:rsidRPr="00270D41">
        <w:rPr>
          <w:rFonts w:eastAsiaTheme="minorEastAsia"/>
        </w:rPr>
        <w:t xml:space="preserve"> and </w:t>
      </w:r>
      <w:r w:rsidR="005C690A">
        <w:rPr>
          <w:rFonts w:eastAsiaTheme="minorEastAsia"/>
        </w:rPr>
        <w:t>therefore,</w:t>
      </w:r>
      <w:r w:rsidRPr="00270D41">
        <w:rPr>
          <w:rFonts w:eastAsiaTheme="minorEastAsia"/>
        </w:rPr>
        <w:t xml:space="preserve"> had reduced </w:t>
      </w:r>
      <w:r w:rsidR="0082433F">
        <w:rPr>
          <w:rFonts w:eastAsiaTheme="minorEastAsia"/>
        </w:rPr>
        <w:t xml:space="preserve">susceptibility to </w:t>
      </w:r>
      <w:r w:rsidR="002C3176" w:rsidRPr="002C3176">
        <w:rPr>
          <w:rFonts w:eastAsiaTheme="minorEastAsia"/>
          <w:i/>
          <w:iCs/>
        </w:rPr>
        <w:t>Bd</w:t>
      </w:r>
      <w:r w:rsidRPr="00270D41">
        <w:rPr>
          <w:rFonts w:eastAsiaTheme="minorEastAsia"/>
        </w:rPr>
        <w:t xml:space="preserve"> </w:t>
      </w:r>
      <w:r w:rsidR="0082433F">
        <w:rPr>
          <w:rFonts w:eastAsiaTheme="minorEastAsia"/>
        </w:rPr>
        <w:t xml:space="preserve">infection </w:t>
      </w:r>
      <m:oMath>
        <m:d>
          <m:dPr>
            <m:ctrlPr>
              <w:rPr>
                <w:rFonts w:ascii="Cambria Math" w:eastAsiaTheme="minorEastAsia" w:hAnsi="Cambria Math"/>
                <w:i/>
              </w:rPr>
            </m:ctrlPr>
          </m:dPr>
          <m:e>
            <m:r>
              <w:rPr>
                <w:rFonts w:ascii="Cambria Math" w:eastAsiaTheme="minorEastAsia" w:hAnsi="Cambria Math"/>
              </w:rPr>
              <m:t>ε</m:t>
            </m:r>
          </m:e>
        </m:d>
      </m:oMath>
      <w:r w:rsidR="00EC669C">
        <w:rPr>
          <w:rFonts w:eastAsiaTheme="minorEastAsia"/>
        </w:rPr>
        <w:t xml:space="preserve"> </w:t>
      </w:r>
      <w:r w:rsidR="0082433F">
        <w:rPr>
          <w:rFonts w:eastAsiaTheme="minorEastAsia"/>
        </w:rPr>
        <w:t xml:space="preserve">and reduced </w:t>
      </w:r>
      <w:r w:rsidRPr="00270D41">
        <w:rPr>
          <w:rFonts w:eastAsiaTheme="minorEastAsia"/>
        </w:rPr>
        <w:t>maximum zoospore loads</w:t>
      </w:r>
      <w:r w:rsidR="0082433F">
        <w:rPr>
          <w:rFonts w:eastAsiaTheme="minorEastAsia"/>
        </w:rPr>
        <w:t xml:space="preserve">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max</m:t>
                </m:r>
              </m:sub>
            </m:sSub>
          </m:e>
        </m:d>
      </m:oMath>
      <w:r w:rsidR="0082433F">
        <w:rPr>
          <w:rFonts w:eastAsiaTheme="minorEastAsia"/>
        </w:rPr>
        <w:t xml:space="preserve"> (Figure</w:t>
      </w:r>
      <w:r w:rsidR="005C690A">
        <w:rPr>
          <w:rFonts w:eastAsiaTheme="minorEastAsia"/>
        </w:rPr>
        <w:t>’</w:t>
      </w:r>
      <w:r w:rsidR="0082433F">
        <w:rPr>
          <w:rFonts w:eastAsiaTheme="minorEastAsia"/>
        </w:rPr>
        <w:t>s 20, 21)</w:t>
      </w:r>
      <w:r w:rsidRPr="00270D41">
        <w:rPr>
          <w:rFonts w:eastAsiaTheme="minorEastAsia"/>
        </w:rPr>
        <w:t>.</w:t>
      </w:r>
      <w:r w:rsidR="00BE3EC4">
        <w:rPr>
          <w:rFonts w:eastAsiaTheme="minorEastAsia"/>
        </w:rPr>
        <w:t xml:space="preserve"> </w:t>
      </w:r>
      <w:r w:rsidRPr="00270D41">
        <w:rPr>
          <w:rFonts w:eastAsiaTheme="minorEastAsia"/>
        </w:rPr>
        <w:t xml:space="preserve">We also examined scenarios where wetlands were supplemented with thermal </w:t>
      </w:r>
      <w:proofErr w:type="gramStart"/>
      <w:r w:rsidRPr="00270D41">
        <w:rPr>
          <w:rFonts w:eastAsiaTheme="minorEastAsia"/>
        </w:rPr>
        <w:t>shelters</w:t>
      </w:r>
      <w:r w:rsidR="005C690A">
        <w:rPr>
          <w:rFonts w:eastAsiaTheme="minorEastAsia"/>
        </w:rPr>
        <w:t>,</w:t>
      </w:r>
      <w:r w:rsidRPr="00270D41">
        <w:rPr>
          <w:rFonts w:eastAsiaTheme="minorEastAsia"/>
        </w:rPr>
        <w:t xml:space="preserve"> and</w:t>
      </w:r>
      <w:proofErr w:type="gramEnd"/>
      <w:r w:rsidRPr="00270D41">
        <w:rPr>
          <w:rFonts w:eastAsiaTheme="minorEastAsia"/>
        </w:rPr>
        <w:t xml:space="preserve"> compared these with scenarios where re-introductions occurred in wetlands without thermal shelters.</w:t>
      </w:r>
      <w:r w:rsidR="00C3065E">
        <w:rPr>
          <w:rFonts w:eastAsiaTheme="minorEastAsia"/>
        </w:rPr>
        <w:tab/>
      </w:r>
    </w:p>
    <w:p w14:paraId="48DF035D" w14:textId="77777777" w:rsidR="00C516DD" w:rsidRPr="00C516DD" w:rsidRDefault="00C516DD" w:rsidP="00DA5824"/>
    <w:p w14:paraId="2E90D2EA" w14:textId="7BE8E1FB" w:rsidR="00C516DD" w:rsidRPr="00C516DD" w:rsidRDefault="00C61650" w:rsidP="00DA5824">
      <w:r>
        <w:rPr>
          <w:noProof/>
        </w:rPr>
        <w:lastRenderedPageBreak/>
        <w:drawing>
          <wp:inline distT="0" distB="0" distL="0" distR="0" wp14:anchorId="30326075" wp14:editId="7B059111">
            <wp:extent cx="6120765" cy="3798570"/>
            <wp:effectExtent l="0" t="0" r="0" b="0"/>
            <wp:docPr id="159788759" name="Picture 22" descr="A graph showing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88759" name="Picture 22" descr="A graph showing different colored lines&#10;&#10;AI-generated content may be incorrect."/>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6120765" cy="3798570"/>
                    </a:xfrm>
                    <a:prstGeom prst="rect">
                      <a:avLst/>
                    </a:prstGeom>
                  </pic:spPr>
                </pic:pic>
              </a:graphicData>
            </a:graphic>
          </wp:inline>
        </w:drawing>
      </w:r>
    </w:p>
    <w:p w14:paraId="04F82378" w14:textId="665FFF02" w:rsidR="00C516DD" w:rsidRPr="00C516DD" w:rsidRDefault="00C516DD" w:rsidP="00270D41">
      <w:pPr>
        <w:pStyle w:val="Caption-Figure"/>
      </w:pPr>
      <w:bookmarkStart w:id="107" w:name="_Toc198634174"/>
      <w:r w:rsidRPr="00C516DD">
        <w:t xml:space="preserve">Figure </w:t>
      </w:r>
      <w:r w:rsidR="001B440E">
        <w:t>2</w:t>
      </w:r>
      <w:r w:rsidR="00EC669C">
        <w:t>2</w:t>
      </w:r>
      <w:r w:rsidRPr="00C516DD">
        <w:t>.</w:t>
      </w:r>
      <w:r w:rsidR="00BE3EC4">
        <w:t xml:space="preserve"> </w:t>
      </w:r>
      <w:r w:rsidRPr="00C516DD">
        <w:t xml:space="preserve">Seasonal </w:t>
      </w:r>
      <w:r w:rsidR="007647DC">
        <w:t xml:space="preserve">maximum daytime </w:t>
      </w:r>
      <w:r w:rsidRPr="00C516DD">
        <w:t xml:space="preserve">temperature regimes for three simulated wetlands representing </w:t>
      </w:r>
      <w:r w:rsidR="00930325">
        <w:t>‘</w:t>
      </w:r>
      <w:r w:rsidRPr="00C516DD">
        <w:t>cold</w:t>
      </w:r>
      <w:r w:rsidR="00930325">
        <w:t>’</w:t>
      </w:r>
      <w:r w:rsidRPr="00C516DD">
        <w:t xml:space="preserve">, </w:t>
      </w:r>
      <w:r w:rsidR="00930325">
        <w:t>‘</w:t>
      </w:r>
      <w:r w:rsidRPr="00C516DD">
        <w:t>warm</w:t>
      </w:r>
      <w:r w:rsidR="00930325">
        <w:t>’</w:t>
      </w:r>
      <w:r w:rsidRPr="00C516DD">
        <w:t xml:space="preserve"> and </w:t>
      </w:r>
      <w:r w:rsidR="00930325">
        <w:t>‘</w:t>
      </w:r>
      <w:r w:rsidRPr="00C516DD">
        <w:t>hot</w:t>
      </w:r>
      <w:r w:rsidR="00930325">
        <w:t>’</w:t>
      </w:r>
      <w:r w:rsidRPr="00C516DD">
        <w:t xml:space="preserve"> thermal environments.</w:t>
      </w:r>
      <w:bookmarkEnd w:id="107"/>
      <w:r w:rsidRPr="00C516DD">
        <w:t xml:space="preserve"> </w:t>
      </w:r>
    </w:p>
    <w:p w14:paraId="3E755882" w14:textId="77777777" w:rsidR="00C516DD" w:rsidRPr="00C516DD" w:rsidRDefault="00C516DD" w:rsidP="00DA5824"/>
    <w:p w14:paraId="36D1499F" w14:textId="77777777" w:rsidR="00C516DD" w:rsidRPr="00C516DD" w:rsidRDefault="00C516DD" w:rsidP="00C516DD">
      <w:pPr>
        <w:pStyle w:val="Heading4"/>
      </w:pPr>
      <w:r w:rsidRPr="00C516DD">
        <w:t>Results</w:t>
      </w:r>
    </w:p>
    <w:p w14:paraId="16021CCD" w14:textId="27DFAE03" w:rsidR="00C516DD" w:rsidRPr="00270D41" w:rsidRDefault="00C516DD" w:rsidP="00270D41">
      <w:pPr>
        <w:rPr>
          <w:rFonts w:eastAsiaTheme="minorEastAsia"/>
        </w:rPr>
      </w:pPr>
      <w:r w:rsidRPr="00270D41">
        <w:rPr>
          <w:rFonts w:eastAsiaTheme="minorEastAsia"/>
        </w:rPr>
        <w:t xml:space="preserve">For the baseline </w:t>
      </w:r>
      <w:r w:rsidR="00930325">
        <w:rPr>
          <w:rFonts w:eastAsiaTheme="minorEastAsia"/>
        </w:rPr>
        <w:t>‘</w:t>
      </w:r>
      <w:r w:rsidRPr="00270D41">
        <w:rPr>
          <w:rFonts w:eastAsiaTheme="minorEastAsia"/>
        </w:rPr>
        <w:t>cold</w:t>
      </w:r>
      <w:r w:rsidR="00930325">
        <w:rPr>
          <w:rFonts w:eastAsiaTheme="minorEastAsia"/>
        </w:rPr>
        <w:t>’</w:t>
      </w:r>
      <w:r w:rsidRPr="00270D41">
        <w:rPr>
          <w:rFonts w:eastAsiaTheme="minorEastAsia"/>
        </w:rPr>
        <w:t xml:space="preserve"> thermal environment, the introduction of </w:t>
      </w:r>
      <w:r w:rsidRPr="00A0449E">
        <w:rPr>
          <w:rFonts w:eastAsiaTheme="minorEastAsia"/>
          <w:i/>
          <w:iCs/>
        </w:rPr>
        <w:t>Bd</w:t>
      </w:r>
      <w:r w:rsidRPr="00270D41">
        <w:rPr>
          <w:rFonts w:eastAsiaTheme="minorEastAsia"/>
        </w:rPr>
        <w:t xml:space="preserve"> resulted in rapid population declines</w:t>
      </w:r>
      <w:r w:rsidR="00930325">
        <w:rPr>
          <w:rFonts w:eastAsiaTheme="minorEastAsia"/>
        </w:rPr>
        <w:t>,</w:t>
      </w:r>
      <w:r w:rsidRPr="00270D41">
        <w:rPr>
          <w:rFonts w:eastAsiaTheme="minorEastAsia"/>
        </w:rPr>
        <w:t xml:space="preserve"> with the population extirpated within around 10 years (Figure </w:t>
      </w:r>
      <w:r w:rsidR="00932D78">
        <w:rPr>
          <w:rFonts w:eastAsiaTheme="minorEastAsia"/>
        </w:rPr>
        <w:t>2</w:t>
      </w:r>
      <w:r w:rsidR="00EC669C">
        <w:rPr>
          <w:rFonts w:eastAsiaTheme="minorEastAsia"/>
        </w:rPr>
        <w:t>3</w:t>
      </w:r>
      <w:r w:rsidRPr="00270D41">
        <w:rPr>
          <w:rFonts w:eastAsiaTheme="minorEastAsia"/>
        </w:rPr>
        <w:t>).</w:t>
      </w:r>
      <w:r w:rsidR="00BE3EC4">
        <w:rPr>
          <w:rFonts w:eastAsiaTheme="minorEastAsia"/>
        </w:rPr>
        <w:t xml:space="preserve"> </w:t>
      </w:r>
      <w:r w:rsidR="002C3176" w:rsidRPr="002C3176">
        <w:rPr>
          <w:rFonts w:eastAsiaTheme="minorEastAsia"/>
          <w:i/>
          <w:iCs/>
        </w:rPr>
        <w:t>Bd</w:t>
      </w:r>
      <w:r w:rsidRPr="00270D41">
        <w:rPr>
          <w:rFonts w:eastAsiaTheme="minorEastAsia"/>
        </w:rPr>
        <w:t xml:space="preserve"> prevalence rapidly reached around </w:t>
      </w:r>
      <w:r w:rsidR="007647DC">
        <w:rPr>
          <w:rFonts w:eastAsiaTheme="minorEastAsia"/>
        </w:rPr>
        <w:t>9</w:t>
      </w:r>
      <w:r w:rsidRPr="00270D41">
        <w:rPr>
          <w:rFonts w:eastAsiaTheme="minorEastAsia"/>
        </w:rPr>
        <w:t xml:space="preserve">0% within one year of </w:t>
      </w:r>
      <w:r w:rsidR="002C3176" w:rsidRPr="002C3176">
        <w:rPr>
          <w:rFonts w:eastAsiaTheme="minorEastAsia"/>
          <w:i/>
          <w:iCs/>
        </w:rPr>
        <w:t>Bd</w:t>
      </w:r>
      <w:r w:rsidRPr="00270D41">
        <w:rPr>
          <w:rFonts w:eastAsiaTheme="minorEastAsia"/>
        </w:rPr>
        <w:t xml:space="preserve"> introduction and fluctuated seasonally thereafter due to frog recruitment.</w:t>
      </w:r>
      <w:r w:rsidR="00BE3EC4">
        <w:rPr>
          <w:rFonts w:eastAsiaTheme="minorEastAsia"/>
        </w:rPr>
        <w:t xml:space="preserve"> </w:t>
      </w:r>
      <w:r w:rsidRPr="00270D41">
        <w:rPr>
          <w:rFonts w:eastAsiaTheme="minorEastAsia"/>
        </w:rPr>
        <w:t xml:space="preserve">Simulations for the </w:t>
      </w:r>
      <w:r w:rsidR="00930325">
        <w:rPr>
          <w:rFonts w:eastAsiaTheme="minorEastAsia"/>
        </w:rPr>
        <w:t>‘</w:t>
      </w:r>
      <w:r w:rsidRPr="00270D41">
        <w:rPr>
          <w:rFonts w:eastAsiaTheme="minorEastAsia"/>
        </w:rPr>
        <w:t>warm</w:t>
      </w:r>
      <w:r w:rsidR="00930325">
        <w:rPr>
          <w:rFonts w:eastAsiaTheme="minorEastAsia"/>
        </w:rPr>
        <w:t>’</w:t>
      </w:r>
      <w:r w:rsidRPr="00270D41">
        <w:rPr>
          <w:rFonts w:eastAsiaTheme="minorEastAsia"/>
        </w:rPr>
        <w:t xml:space="preserve"> thermal environment resulted in around 75% declines in frog abundance over 20 years.</w:t>
      </w:r>
      <w:r w:rsidR="00BE3EC4">
        <w:rPr>
          <w:rFonts w:eastAsiaTheme="minorEastAsia"/>
        </w:rPr>
        <w:t xml:space="preserve"> </w:t>
      </w:r>
      <w:r w:rsidRPr="00270D41">
        <w:rPr>
          <w:rFonts w:eastAsiaTheme="minorEastAsia"/>
        </w:rPr>
        <w:t>Due to the warmer thermal environment, frogs were able to potentially recover fr</w:t>
      </w:r>
      <w:r w:rsidR="002C3176">
        <w:rPr>
          <w:rFonts w:eastAsiaTheme="minorEastAsia"/>
        </w:rPr>
        <w:t>o</w:t>
      </w:r>
      <w:r w:rsidRPr="00270D41">
        <w:rPr>
          <w:rFonts w:eastAsiaTheme="minorEastAsia"/>
        </w:rPr>
        <w:t xml:space="preserve">m </w:t>
      </w:r>
      <w:r w:rsidR="002C3176" w:rsidRPr="002C3176">
        <w:rPr>
          <w:rFonts w:eastAsiaTheme="minorEastAsia"/>
          <w:i/>
          <w:iCs/>
        </w:rPr>
        <w:t>Bd</w:t>
      </w:r>
      <w:r w:rsidRPr="00270D41">
        <w:rPr>
          <w:rFonts w:eastAsiaTheme="minorEastAsia"/>
        </w:rPr>
        <w:t xml:space="preserve"> infection during periods when wetland temperatures exceeded 25</w:t>
      </w:r>
      <w:r w:rsidR="00930325">
        <w:rPr>
          <w:rFonts w:eastAsiaTheme="minorEastAsia"/>
          <w:vertAlign w:val="superscript"/>
        </w:rPr>
        <w:t>°</w:t>
      </w:r>
      <w:r w:rsidRPr="00270D41">
        <w:rPr>
          <w:rFonts w:eastAsiaTheme="minorEastAsia"/>
        </w:rPr>
        <w:t xml:space="preserve">C (Figure </w:t>
      </w:r>
      <w:r w:rsidR="00964F59">
        <w:rPr>
          <w:rFonts w:eastAsiaTheme="minorEastAsia"/>
        </w:rPr>
        <w:t>2</w:t>
      </w:r>
      <w:r w:rsidR="00EC669C">
        <w:rPr>
          <w:rFonts w:eastAsiaTheme="minorEastAsia"/>
        </w:rPr>
        <w:t>4</w:t>
      </w:r>
      <w:r w:rsidRPr="00270D41">
        <w:rPr>
          <w:rFonts w:eastAsiaTheme="minorEastAsia"/>
        </w:rPr>
        <w:t>).</w:t>
      </w:r>
      <w:r w:rsidR="00BE3EC4">
        <w:rPr>
          <w:rFonts w:eastAsiaTheme="minorEastAsia"/>
        </w:rPr>
        <w:t xml:space="preserve"> </w:t>
      </w:r>
      <w:r w:rsidRPr="00270D41">
        <w:rPr>
          <w:rFonts w:eastAsiaTheme="minorEastAsia"/>
        </w:rPr>
        <w:t xml:space="preserve">As a result, </w:t>
      </w:r>
      <w:r w:rsidR="002C3176" w:rsidRPr="002C3176">
        <w:rPr>
          <w:rFonts w:eastAsiaTheme="minorEastAsia"/>
          <w:i/>
          <w:iCs/>
        </w:rPr>
        <w:t>Bd</w:t>
      </w:r>
      <w:r w:rsidRPr="00270D41">
        <w:rPr>
          <w:rFonts w:eastAsiaTheme="minorEastAsia"/>
        </w:rPr>
        <w:t xml:space="preserve"> prevalence was more seasonably variable fluctuating between 20% and 40% (Figure </w:t>
      </w:r>
      <w:r w:rsidR="00964F59">
        <w:rPr>
          <w:rFonts w:eastAsiaTheme="minorEastAsia"/>
        </w:rPr>
        <w:t>2</w:t>
      </w:r>
      <w:r w:rsidR="00EC669C">
        <w:rPr>
          <w:rFonts w:eastAsiaTheme="minorEastAsia"/>
        </w:rPr>
        <w:t>4</w:t>
      </w:r>
      <w:r w:rsidRPr="00270D41">
        <w:rPr>
          <w:rFonts w:eastAsiaTheme="minorEastAsia"/>
        </w:rPr>
        <w:t>).</w:t>
      </w:r>
      <w:r w:rsidR="00BE3EC4">
        <w:rPr>
          <w:rFonts w:eastAsiaTheme="minorEastAsia"/>
        </w:rPr>
        <w:t xml:space="preserve"> </w:t>
      </w:r>
      <w:r w:rsidRPr="00270D41">
        <w:rPr>
          <w:rFonts w:eastAsiaTheme="minorEastAsia"/>
        </w:rPr>
        <w:t xml:space="preserve">For frogs inhabiting the </w:t>
      </w:r>
      <w:r w:rsidR="00930325">
        <w:rPr>
          <w:rFonts w:eastAsiaTheme="minorEastAsia"/>
        </w:rPr>
        <w:t>‘</w:t>
      </w:r>
      <w:r w:rsidRPr="00270D41">
        <w:rPr>
          <w:rFonts w:eastAsiaTheme="minorEastAsia"/>
        </w:rPr>
        <w:t>hot</w:t>
      </w:r>
      <w:r w:rsidR="00930325">
        <w:rPr>
          <w:rFonts w:eastAsiaTheme="minorEastAsia"/>
        </w:rPr>
        <w:t>’</w:t>
      </w:r>
      <w:r w:rsidRPr="00270D41">
        <w:rPr>
          <w:rFonts w:eastAsiaTheme="minorEastAsia"/>
        </w:rPr>
        <w:t xml:space="preserve"> thermal environment, the introduction of </w:t>
      </w:r>
      <w:r w:rsidR="002C3176" w:rsidRPr="002C3176">
        <w:rPr>
          <w:rFonts w:eastAsiaTheme="minorEastAsia"/>
          <w:i/>
          <w:iCs/>
        </w:rPr>
        <w:t>Bd</w:t>
      </w:r>
      <w:r w:rsidRPr="00270D41">
        <w:rPr>
          <w:rFonts w:eastAsiaTheme="minorEastAsia"/>
        </w:rPr>
        <w:t xml:space="preserve"> resulted in small declines of around 20</w:t>
      </w:r>
      <w:r w:rsidR="00C07197">
        <w:rPr>
          <w:rFonts w:eastAsiaTheme="minorEastAsia"/>
        </w:rPr>
        <w:t>%</w:t>
      </w:r>
      <w:r w:rsidR="00930325">
        <w:rPr>
          <w:rFonts w:eastAsiaTheme="minorEastAsia"/>
        </w:rPr>
        <w:t>,</w:t>
      </w:r>
      <w:r w:rsidR="007A08B3">
        <w:rPr>
          <w:rFonts w:eastAsiaTheme="minorEastAsia"/>
        </w:rPr>
        <w:t xml:space="preserve"> with </w:t>
      </w:r>
      <w:r w:rsidR="002C3176" w:rsidRPr="002C3176">
        <w:rPr>
          <w:rFonts w:eastAsiaTheme="minorEastAsia"/>
          <w:i/>
          <w:iCs/>
        </w:rPr>
        <w:t>Bd</w:t>
      </w:r>
      <w:r w:rsidR="007A08B3">
        <w:rPr>
          <w:rFonts w:eastAsiaTheme="minorEastAsia"/>
        </w:rPr>
        <w:t xml:space="preserve"> prevalence </w:t>
      </w:r>
      <w:r w:rsidR="0069671B">
        <w:rPr>
          <w:rFonts w:eastAsiaTheme="minorEastAsia"/>
        </w:rPr>
        <w:t xml:space="preserve">varying between 15% </w:t>
      </w:r>
      <w:r w:rsidR="00930325">
        <w:rPr>
          <w:rFonts w:eastAsiaTheme="minorEastAsia"/>
        </w:rPr>
        <w:t>and</w:t>
      </w:r>
      <w:r w:rsidR="0069671B">
        <w:rPr>
          <w:rFonts w:eastAsiaTheme="minorEastAsia"/>
        </w:rPr>
        <w:t xml:space="preserve"> 20% (Figure </w:t>
      </w:r>
      <w:r w:rsidR="00964F59">
        <w:rPr>
          <w:rFonts w:eastAsiaTheme="minorEastAsia"/>
        </w:rPr>
        <w:t>2</w:t>
      </w:r>
      <w:r w:rsidR="00EC669C">
        <w:rPr>
          <w:rFonts w:eastAsiaTheme="minorEastAsia"/>
        </w:rPr>
        <w:t>5</w:t>
      </w:r>
      <w:r w:rsidR="0069671B">
        <w:rPr>
          <w:rFonts w:eastAsiaTheme="minorEastAsia"/>
        </w:rPr>
        <w:t>)</w:t>
      </w:r>
      <w:r w:rsidR="00931E32">
        <w:rPr>
          <w:rFonts w:eastAsiaTheme="minorEastAsia"/>
        </w:rPr>
        <w:t>.</w:t>
      </w:r>
      <w:r w:rsidR="00BE3EC4">
        <w:rPr>
          <w:rFonts w:eastAsiaTheme="minorEastAsia"/>
        </w:rPr>
        <w:t xml:space="preserve"> </w:t>
      </w:r>
      <w:r w:rsidRPr="00270D41">
        <w:rPr>
          <w:rFonts w:eastAsiaTheme="minorEastAsia"/>
        </w:rPr>
        <w:t xml:space="preserve">This was due to the increased time where frogs were warmed above the </w:t>
      </w:r>
      <w:r w:rsidR="002C3176">
        <w:rPr>
          <w:rFonts w:eastAsiaTheme="minorEastAsia"/>
        </w:rPr>
        <w:t>C</w:t>
      </w:r>
      <w:r w:rsidRPr="00270D41">
        <w:rPr>
          <w:rFonts w:eastAsiaTheme="minorEastAsia"/>
        </w:rPr>
        <w:t>hytrid</w:t>
      </w:r>
      <w:r w:rsidR="002C3176">
        <w:rPr>
          <w:rFonts w:eastAsiaTheme="minorEastAsia"/>
        </w:rPr>
        <w:t>iomycosis</w:t>
      </w:r>
      <w:r w:rsidRPr="00270D41">
        <w:rPr>
          <w:rFonts w:eastAsiaTheme="minorEastAsia"/>
        </w:rPr>
        <w:t xml:space="preserve"> recovery threshold of 25</w:t>
      </w:r>
      <w:r w:rsidR="00930325">
        <w:rPr>
          <w:rFonts w:eastAsiaTheme="minorEastAsia"/>
        </w:rPr>
        <w:t>°</w:t>
      </w:r>
      <w:r w:rsidRPr="00270D41">
        <w:rPr>
          <w:rFonts w:eastAsiaTheme="minorEastAsia"/>
        </w:rPr>
        <w:t xml:space="preserve">C compared with frogs in the </w:t>
      </w:r>
      <w:r w:rsidR="00930325">
        <w:rPr>
          <w:rFonts w:eastAsiaTheme="minorEastAsia"/>
        </w:rPr>
        <w:t>‘</w:t>
      </w:r>
      <w:r w:rsidRPr="00270D41">
        <w:rPr>
          <w:rFonts w:eastAsiaTheme="minorEastAsia"/>
        </w:rPr>
        <w:t>warm</w:t>
      </w:r>
      <w:r w:rsidR="00930325">
        <w:rPr>
          <w:rFonts w:eastAsiaTheme="minorEastAsia"/>
        </w:rPr>
        <w:t>’</w:t>
      </w:r>
      <w:r w:rsidRPr="00270D41">
        <w:rPr>
          <w:rFonts w:eastAsiaTheme="minorEastAsia"/>
        </w:rPr>
        <w:t xml:space="preserve"> thermal environment</w:t>
      </w:r>
      <w:r w:rsidR="00931E32">
        <w:rPr>
          <w:rFonts w:eastAsiaTheme="minorEastAsia"/>
        </w:rPr>
        <w:t>,</w:t>
      </w:r>
      <w:r w:rsidRPr="00270D41">
        <w:rPr>
          <w:rFonts w:eastAsiaTheme="minorEastAsia"/>
        </w:rPr>
        <w:t xml:space="preserve"> allowing more frogs to enter the prior exposure class </w:t>
      </w:r>
      <m:oMath>
        <m:d>
          <m:dPr>
            <m:ctrlPr>
              <w:rPr>
                <w:rFonts w:ascii="Cambria Math" w:eastAsiaTheme="minorEastAsia" w:hAnsi="Cambria Math"/>
              </w:rPr>
            </m:ctrlPr>
          </m:dPr>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r</m:t>
                </m:r>
              </m:sub>
            </m:sSub>
          </m:e>
        </m:d>
      </m:oMath>
      <w:r w:rsidRPr="00270D41">
        <w:rPr>
          <w:rFonts w:eastAsiaTheme="minorEastAsia"/>
        </w:rPr>
        <w:t>.</w:t>
      </w:r>
    </w:p>
    <w:p w14:paraId="6A179540" w14:textId="1380576C" w:rsidR="00C516DD" w:rsidRPr="00C516DD" w:rsidRDefault="00500FA9" w:rsidP="00DA5824">
      <w:r>
        <w:rPr>
          <w:noProof/>
        </w:rPr>
        <w:lastRenderedPageBreak/>
        <w:drawing>
          <wp:inline distT="0" distB="0" distL="0" distR="0" wp14:anchorId="3DA680B5" wp14:editId="2A28D1CE">
            <wp:extent cx="5468400" cy="3632400"/>
            <wp:effectExtent l="0" t="0" r="0" b="6350"/>
            <wp:docPr id="1200462613" name="Picture 15" descr="A graph showing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62613" name="Picture 15" descr="A graph showing a graph of a graph&#10;&#10;AI-generated content may be incorrect."/>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5468400" cy="3632400"/>
                    </a:xfrm>
                    <a:prstGeom prst="rect">
                      <a:avLst/>
                    </a:prstGeom>
                  </pic:spPr>
                </pic:pic>
              </a:graphicData>
            </a:graphic>
          </wp:inline>
        </w:drawing>
      </w:r>
    </w:p>
    <w:p w14:paraId="25C59B9B" w14:textId="63377D4D" w:rsidR="00C516DD" w:rsidRPr="00C516DD" w:rsidRDefault="00C516DD" w:rsidP="00270D41">
      <w:pPr>
        <w:pStyle w:val="Caption-Figure"/>
      </w:pPr>
      <w:bookmarkStart w:id="108" w:name="_Toc198634175"/>
      <w:r w:rsidRPr="00C516DD">
        <w:t xml:space="preserve">Figure </w:t>
      </w:r>
      <w:r w:rsidR="001B440E">
        <w:t>2</w:t>
      </w:r>
      <w:r w:rsidR="00EC669C">
        <w:t>3</w:t>
      </w:r>
      <w:r w:rsidRPr="00C516DD">
        <w:t>.</w:t>
      </w:r>
      <w:r w:rsidR="00BE3EC4">
        <w:t xml:space="preserve"> </w:t>
      </w:r>
      <w:r w:rsidR="009C0810">
        <w:t>Relative population size</w:t>
      </w:r>
      <w:r w:rsidRPr="00C516DD">
        <w:t xml:space="preserve"> for </w:t>
      </w:r>
      <w:r w:rsidR="00B84722">
        <w:t>Bell Frogs</w:t>
      </w:r>
      <w:r w:rsidRPr="00C516DD">
        <w:t xml:space="preserve"> following the introduction of </w:t>
      </w:r>
      <w:r w:rsidR="002C3176" w:rsidRPr="002C3176">
        <w:rPr>
          <w:i/>
          <w:iCs/>
        </w:rPr>
        <w:t>Bd</w:t>
      </w:r>
      <w:r w:rsidRPr="00C516DD">
        <w:t xml:space="preserve"> for frogs inhabiting the </w:t>
      </w:r>
      <w:r w:rsidR="00547071">
        <w:t>‘</w:t>
      </w:r>
      <w:r w:rsidRPr="00C516DD">
        <w:t>cold</w:t>
      </w:r>
      <w:r w:rsidR="00547071">
        <w:t>’</w:t>
      </w:r>
      <w:r w:rsidRPr="00C516DD">
        <w:t xml:space="preserve"> thermal environment.</w:t>
      </w:r>
      <w:r w:rsidR="00BE3EC4">
        <w:t xml:space="preserve"> </w:t>
      </w:r>
      <w:r w:rsidRPr="00C516DD">
        <w:t xml:space="preserve">Black line – </w:t>
      </w:r>
      <w:r w:rsidR="00500FA9">
        <w:t>relative</w:t>
      </w:r>
      <w:r w:rsidRPr="00C516DD">
        <w:t xml:space="preserve"> population</w:t>
      </w:r>
      <w:r w:rsidR="00500FA9">
        <w:t xml:space="preserve"> size</w:t>
      </w:r>
      <w:r w:rsidRPr="00C516DD">
        <w:t xml:space="preserve">; red line – </w:t>
      </w:r>
      <w:r w:rsidR="002C3176" w:rsidRPr="002C3176">
        <w:rPr>
          <w:i/>
          <w:iCs/>
        </w:rPr>
        <w:t>Bd</w:t>
      </w:r>
      <w:r w:rsidRPr="00C516DD">
        <w:t xml:space="preserve"> prevalence.</w:t>
      </w:r>
      <w:r w:rsidR="00BE3EC4">
        <w:t xml:space="preserve"> </w:t>
      </w:r>
      <w:r w:rsidRPr="00C516DD">
        <w:t>Shading represents 95% uncertainty intervals.</w:t>
      </w:r>
      <w:bookmarkEnd w:id="108"/>
    </w:p>
    <w:p w14:paraId="28EF5D9B" w14:textId="77777777" w:rsidR="00C516DD" w:rsidRPr="00C516DD" w:rsidRDefault="00C516DD" w:rsidP="00DA5824"/>
    <w:p w14:paraId="01E6C40D" w14:textId="16403206" w:rsidR="00C516DD" w:rsidRPr="00C516DD" w:rsidRDefault="002942AC" w:rsidP="00DA5824">
      <w:r>
        <w:rPr>
          <w:noProof/>
        </w:rPr>
        <w:drawing>
          <wp:inline distT="0" distB="0" distL="0" distR="0" wp14:anchorId="37CBCD8C" wp14:editId="52B94F6C">
            <wp:extent cx="5468400" cy="3632400"/>
            <wp:effectExtent l="0" t="0" r="0" b="6350"/>
            <wp:docPr id="13945886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88632" name="Picture 1394588632"/>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5468400" cy="3632400"/>
                    </a:xfrm>
                    <a:prstGeom prst="rect">
                      <a:avLst/>
                    </a:prstGeom>
                  </pic:spPr>
                </pic:pic>
              </a:graphicData>
            </a:graphic>
          </wp:inline>
        </w:drawing>
      </w:r>
    </w:p>
    <w:p w14:paraId="0CFBD7CE" w14:textId="2311BC99" w:rsidR="00C516DD" w:rsidRDefault="00C516DD" w:rsidP="00A2165F">
      <w:pPr>
        <w:pStyle w:val="Caption-Figure"/>
      </w:pPr>
      <w:bookmarkStart w:id="109" w:name="_Toc198634176"/>
      <w:r w:rsidRPr="00C516DD">
        <w:t xml:space="preserve">Figure </w:t>
      </w:r>
      <w:r w:rsidR="001B440E">
        <w:t>2</w:t>
      </w:r>
      <w:r w:rsidR="00EC669C">
        <w:t>4</w:t>
      </w:r>
      <w:r w:rsidRPr="00C516DD">
        <w:t>.</w:t>
      </w:r>
      <w:r w:rsidR="00BE3EC4">
        <w:t xml:space="preserve"> </w:t>
      </w:r>
      <w:r w:rsidR="009C0810">
        <w:t>Relative population size</w:t>
      </w:r>
      <w:r w:rsidRPr="00C516DD">
        <w:t xml:space="preserve"> for </w:t>
      </w:r>
      <w:r w:rsidR="00B84722">
        <w:t>Bell Frogs</w:t>
      </w:r>
      <w:r w:rsidRPr="00C516DD">
        <w:t xml:space="preserve"> following the introduction of </w:t>
      </w:r>
      <w:r w:rsidR="002C3176" w:rsidRPr="002C3176">
        <w:rPr>
          <w:i/>
          <w:iCs/>
        </w:rPr>
        <w:t>Bd</w:t>
      </w:r>
      <w:r w:rsidRPr="00C516DD">
        <w:t xml:space="preserve"> for frogs inhabiting the </w:t>
      </w:r>
      <w:r w:rsidR="00547071">
        <w:t>‘</w:t>
      </w:r>
      <w:r w:rsidRPr="00C516DD">
        <w:t>warm</w:t>
      </w:r>
      <w:r w:rsidR="00547071">
        <w:t>’</w:t>
      </w:r>
      <w:r w:rsidRPr="00C516DD">
        <w:t xml:space="preserve"> thermal environment.</w:t>
      </w:r>
      <w:r w:rsidR="00BE3EC4">
        <w:t xml:space="preserve"> </w:t>
      </w:r>
      <w:r w:rsidRPr="00C516DD">
        <w:t xml:space="preserve">Black line – total population; red line – </w:t>
      </w:r>
      <w:r w:rsidR="002C3176" w:rsidRPr="002C3176">
        <w:rPr>
          <w:i/>
          <w:iCs/>
        </w:rPr>
        <w:t>Bd</w:t>
      </w:r>
      <w:r w:rsidRPr="00C516DD">
        <w:t xml:space="preserve"> prevalence.</w:t>
      </w:r>
      <w:r w:rsidR="00BE3EC4">
        <w:t xml:space="preserve"> </w:t>
      </w:r>
      <w:r w:rsidRPr="00C516DD">
        <w:t>Shading represents 95% uncertainty intervals.</w:t>
      </w:r>
      <w:bookmarkEnd w:id="109"/>
    </w:p>
    <w:p w14:paraId="03466BE7" w14:textId="77777777" w:rsidR="00A2165F" w:rsidRPr="00A2165F" w:rsidRDefault="00A2165F" w:rsidP="00270D41"/>
    <w:p w14:paraId="3492AC57" w14:textId="58EE471E" w:rsidR="00C516DD" w:rsidRPr="00C516DD" w:rsidRDefault="00732560" w:rsidP="00DA5824">
      <w:r>
        <w:rPr>
          <w:noProof/>
        </w:rPr>
        <w:lastRenderedPageBreak/>
        <w:drawing>
          <wp:inline distT="0" distB="0" distL="0" distR="0" wp14:anchorId="482B20F7" wp14:editId="1EE1AD12">
            <wp:extent cx="5468400" cy="3632400"/>
            <wp:effectExtent l="0" t="0" r="0" b="6350"/>
            <wp:docPr id="9973706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70640" name="Picture 997370640"/>
                    <pic:cNvPicPr/>
                  </pic:nvPicPr>
                  <pic:blipFill>
                    <a:blip r:embed="rId67" cstate="screen">
                      <a:extLst>
                        <a:ext uri="{28A0092B-C50C-407E-A947-70E740481C1C}">
                          <a14:useLocalDpi xmlns:a14="http://schemas.microsoft.com/office/drawing/2010/main" val="0"/>
                        </a:ext>
                      </a:extLst>
                    </a:blip>
                    <a:stretch>
                      <a:fillRect/>
                    </a:stretch>
                  </pic:blipFill>
                  <pic:spPr>
                    <a:xfrm>
                      <a:off x="0" y="0"/>
                      <a:ext cx="5468400" cy="3632400"/>
                    </a:xfrm>
                    <a:prstGeom prst="rect">
                      <a:avLst/>
                    </a:prstGeom>
                  </pic:spPr>
                </pic:pic>
              </a:graphicData>
            </a:graphic>
          </wp:inline>
        </w:drawing>
      </w:r>
    </w:p>
    <w:p w14:paraId="79EA6068" w14:textId="7194D42D" w:rsidR="00C516DD" w:rsidRPr="00C516DD" w:rsidRDefault="00C516DD" w:rsidP="00270D41">
      <w:pPr>
        <w:pStyle w:val="Caption-Figure"/>
      </w:pPr>
      <w:bookmarkStart w:id="110" w:name="_Toc198634177"/>
      <w:r w:rsidRPr="00C516DD">
        <w:t xml:space="preserve">Figure </w:t>
      </w:r>
      <w:r w:rsidR="001B440E">
        <w:t>2</w:t>
      </w:r>
      <w:r w:rsidR="00EC669C">
        <w:t>5</w:t>
      </w:r>
      <w:r w:rsidRPr="00C516DD">
        <w:t>.</w:t>
      </w:r>
      <w:r w:rsidR="00BE3EC4">
        <w:t xml:space="preserve"> </w:t>
      </w:r>
      <w:r w:rsidR="009C0810">
        <w:t>Relative population size</w:t>
      </w:r>
      <w:r w:rsidRPr="00C516DD">
        <w:t xml:space="preserve"> for </w:t>
      </w:r>
      <w:r w:rsidR="00B84722">
        <w:t>Bell Frogs</w:t>
      </w:r>
      <w:r w:rsidRPr="00C516DD">
        <w:t xml:space="preserve"> following the introduction of </w:t>
      </w:r>
      <w:r w:rsidR="002C3176" w:rsidRPr="002C3176">
        <w:rPr>
          <w:i/>
          <w:iCs/>
        </w:rPr>
        <w:t>Bd</w:t>
      </w:r>
      <w:r w:rsidRPr="00C516DD">
        <w:t xml:space="preserve"> for frogs inhabiting the </w:t>
      </w:r>
      <w:r w:rsidR="00547071">
        <w:t>‘</w:t>
      </w:r>
      <w:r w:rsidRPr="00C516DD">
        <w:t>hot</w:t>
      </w:r>
      <w:r w:rsidR="00547071">
        <w:t>’</w:t>
      </w:r>
      <w:r w:rsidRPr="00C516DD">
        <w:t xml:space="preserve"> thermal environment.</w:t>
      </w:r>
      <w:r w:rsidR="00BE3EC4">
        <w:t xml:space="preserve"> </w:t>
      </w:r>
      <w:r w:rsidRPr="00C516DD">
        <w:t xml:space="preserve">Black line – total population; red line – </w:t>
      </w:r>
      <w:r w:rsidR="002C3176" w:rsidRPr="002C3176">
        <w:rPr>
          <w:i/>
          <w:iCs/>
        </w:rPr>
        <w:t>Bd</w:t>
      </w:r>
      <w:r w:rsidRPr="00C516DD">
        <w:t xml:space="preserve"> prevalence.</w:t>
      </w:r>
      <w:r w:rsidR="00BE3EC4">
        <w:t xml:space="preserve"> </w:t>
      </w:r>
      <w:r w:rsidRPr="00C516DD">
        <w:t>Shading represents 95% uncertainty intervals.</w:t>
      </w:r>
      <w:bookmarkEnd w:id="110"/>
    </w:p>
    <w:p w14:paraId="2F816C6E" w14:textId="77777777" w:rsidR="00C516DD" w:rsidRDefault="00C516DD" w:rsidP="00DA5824"/>
    <w:p w14:paraId="132996C0" w14:textId="77777777" w:rsidR="00C516DD" w:rsidRPr="00C516DD" w:rsidRDefault="00C516DD" w:rsidP="00C516DD">
      <w:pPr>
        <w:pStyle w:val="Heading4"/>
      </w:pPr>
      <w:r w:rsidRPr="00C516DD">
        <w:t>Impacts of thermal shelters</w:t>
      </w:r>
    </w:p>
    <w:p w14:paraId="3D88EE9C" w14:textId="2BC986C8" w:rsidR="00C516DD" w:rsidRPr="00270D41" w:rsidRDefault="00C516DD" w:rsidP="00270D41">
      <w:pPr>
        <w:rPr>
          <w:rFonts w:eastAsiaTheme="minorEastAsia"/>
        </w:rPr>
      </w:pPr>
      <w:r w:rsidRPr="00270D41">
        <w:rPr>
          <w:rFonts w:eastAsiaTheme="minorEastAsia"/>
        </w:rPr>
        <w:t xml:space="preserve">Initially we examined the impacts of adding thermal shelters to the </w:t>
      </w:r>
      <w:r w:rsidR="0022442B">
        <w:rPr>
          <w:rFonts w:eastAsiaTheme="minorEastAsia"/>
        </w:rPr>
        <w:t>‘</w:t>
      </w:r>
      <w:r w:rsidRPr="00270D41">
        <w:rPr>
          <w:rFonts w:eastAsiaTheme="minorEastAsia"/>
        </w:rPr>
        <w:t>warm</w:t>
      </w:r>
      <w:r w:rsidR="0022442B">
        <w:rPr>
          <w:rFonts w:eastAsiaTheme="minorEastAsia"/>
        </w:rPr>
        <w:t>’</w:t>
      </w:r>
      <w:r w:rsidRPr="00270D41">
        <w:rPr>
          <w:rFonts w:eastAsiaTheme="minorEastAsia"/>
        </w:rPr>
        <w:t xml:space="preserve"> thermal environment to determine whether the addition of shelters aided frog population recovery.</w:t>
      </w:r>
      <w:r w:rsidR="00BE3EC4">
        <w:rPr>
          <w:rFonts w:eastAsiaTheme="minorEastAsia"/>
        </w:rPr>
        <w:t xml:space="preserve"> </w:t>
      </w:r>
      <w:r w:rsidRPr="00270D41">
        <w:rPr>
          <w:rFonts w:eastAsiaTheme="minorEastAsia"/>
        </w:rPr>
        <w:t xml:space="preserve">Here thermal shelters increased frog temperatures by </w:t>
      </w:r>
      <w:r w:rsidR="005D2A27" w:rsidRPr="005D2A27">
        <w:rPr>
          <w:rFonts w:eastAsiaTheme="minorEastAsia"/>
        </w:rPr>
        <w:t xml:space="preserve">4°C </w:t>
      </w:r>
      <w:r w:rsidRPr="00270D41">
        <w:rPr>
          <w:rFonts w:eastAsiaTheme="minorEastAsia"/>
        </w:rPr>
        <w:t>compared to the background thermal environment. Thermal shelters added at year 20 that had a probability of use of 50% resulted in populations stabilising at around 40%</w:t>
      </w:r>
      <w:r w:rsidR="005F03F3">
        <w:rPr>
          <w:rFonts w:eastAsiaTheme="minorEastAsia"/>
        </w:rPr>
        <w:t xml:space="preserve"> of carrying capacity</w:t>
      </w:r>
      <w:r w:rsidRPr="00270D41">
        <w:rPr>
          <w:rFonts w:eastAsiaTheme="minorEastAsia"/>
        </w:rPr>
        <w:t xml:space="preserve"> (Figure </w:t>
      </w:r>
      <w:r w:rsidR="00474932">
        <w:rPr>
          <w:rFonts w:eastAsiaTheme="minorEastAsia"/>
        </w:rPr>
        <w:t>2</w:t>
      </w:r>
      <w:r w:rsidR="00EC669C">
        <w:rPr>
          <w:rFonts w:eastAsiaTheme="minorEastAsia"/>
        </w:rPr>
        <w:t>6</w:t>
      </w:r>
      <w:r w:rsidRPr="00270D41">
        <w:rPr>
          <w:rFonts w:eastAsiaTheme="minorEastAsia"/>
        </w:rPr>
        <w:t>).</w:t>
      </w:r>
      <w:r w:rsidR="00BE3EC4">
        <w:rPr>
          <w:rFonts w:eastAsiaTheme="minorEastAsia"/>
        </w:rPr>
        <w:t xml:space="preserve"> </w:t>
      </w:r>
      <w:r w:rsidRPr="00270D41">
        <w:rPr>
          <w:rFonts w:eastAsiaTheme="minorEastAsia"/>
        </w:rPr>
        <w:t xml:space="preserve">If the probability of shelter use was 90%, populations recovered to around 60% of carrying capacity over 20 years (Figure </w:t>
      </w:r>
      <w:r w:rsidR="00474932">
        <w:rPr>
          <w:rFonts w:eastAsiaTheme="minorEastAsia"/>
        </w:rPr>
        <w:t>2</w:t>
      </w:r>
      <w:r w:rsidR="00EC669C">
        <w:rPr>
          <w:rFonts w:eastAsiaTheme="minorEastAsia"/>
        </w:rPr>
        <w:t>6</w:t>
      </w:r>
      <w:r w:rsidRPr="00270D41">
        <w:rPr>
          <w:rFonts w:eastAsiaTheme="minorEastAsia"/>
        </w:rPr>
        <w:t>).</w:t>
      </w:r>
    </w:p>
    <w:p w14:paraId="4936AC9D" w14:textId="035E75D4" w:rsidR="00C516DD" w:rsidRPr="00270D41" w:rsidRDefault="00C516DD" w:rsidP="00270D41">
      <w:pPr>
        <w:rPr>
          <w:rFonts w:eastAsiaTheme="minorEastAsia"/>
        </w:rPr>
      </w:pPr>
      <w:r w:rsidRPr="00270D41">
        <w:rPr>
          <w:rFonts w:eastAsiaTheme="minorEastAsia"/>
        </w:rPr>
        <w:t xml:space="preserve">For the </w:t>
      </w:r>
      <w:r w:rsidR="0022442B">
        <w:rPr>
          <w:rFonts w:eastAsiaTheme="minorEastAsia"/>
        </w:rPr>
        <w:t>‘</w:t>
      </w:r>
      <w:r w:rsidRPr="00270D41">
        <w:rPr>
          <w:rFonts w:eastAsiaTheme="minorEastAsia"/>
        </w:rPr>
        <w:t>cold</w:t>
      </w:r>
      <w:r w:rsidR="0022442B">
        <w:rPr>
          <w:rFonts w:eastAsiaTheme="minorEastAsia"/>
        </w:rPr>
        <w:t>’</w:t>
      </w:r>
      <w:r w:rsidRPr="00270D41">
        <w:rPr>
          <w:rFonts w:eastAsiaTheme="minorEastAsia"/>
        </w:rPr>
        <w:t xml:space="preserve"> thermal environment, re-introducing 50 </w:t>
      </w:r>
      <w:r w:rsidR="002C3176" w:rsidRPr="002C3176">
        <w:rPr>
          <w:rFonts w:eastAsiaTheme="minorEastAsia"/>
          <w:i/>
          <w:iCs/>
        </w:rPr>
        <w:t>Bd</w:t>
      </w:r>
      <w:r w:rsidRPr="00270D41">
        <w:rPr>
          <w:rFonts w:eastAsiaTheme="minorEastAsia"/>
        </w:rPr>
        <w:t>-resistant frogs at year 20 did not result in population recovery</w:t>
      </w:r>
      <w:r w:rsidR="0022442B">
        <w:rPr>
          <w:rFonts w:eastAsiaTheme="minorEastAsia"/>
        </w:rPr>
        <w:t>,</w:t>
      </w:r>
      <w:r w:rsidRPr="00270D41">
        <w:rPr>
          <w:rFonts w:eastAsiaTheme="minorEastAsia"/>
        </w:rPr>
        <w:t xml:space="preserve"> with all frogs disappearing within 10 years (Figure </w:t>
      </w:r>
      <w:r w:rsidR="006B72DA">
        <w:rPr>
          <w:rFonts w:eastAsiaTheme="minorEastAsia"/>
        </w:rPr>
        <w:t>2</w:t>
      </w:r>
      <w:r w:rsidR="00EC669C">
        <w:rPr>
          <w:rFonts w:eastAsiaTheme="minorEastAsia"/>
        </w:rPr>
        <w:t>7</w:t>
      </w:r>
      <w:r w:rsidRPr="00270D41">
        <w:rPr>
          <w:rFonts w:eastAsiaTheme="minorEastAsia"/>
        </w:rPr>
        <w:t>).</w:t>
      </w:r>
      <w:r w:rsidR="00BE3EC4">
        <w:rPr>
          <w:rFonts w:eastAsiaTheme="minorEastAsia"/>
        </w:rPr>
        <w:t xml:space="preserve"> </w:t>
      </w:r>
      <w:r w:rsidRPr="00270D41">
        <w:rPr>
          <w:rFonts w:eastAsiaTheme="minorEastAsia"/>
        </w:rPr>
        <w:t>Providing thermal shelters for the re-introduced frogs that raised body temperatures by 4</w:t>
      </w:r>
      <w:r w:rsidR="0022442B" w:rsidRPr="0022442B">
        <w:rPr>
          <w:rFonts w:eastAsiaTheme="minorEastAsia"/>
        </w:rPr>
        <w:t xml:space="preserve">°C </w:t>
      </w:r>
      <w:r w:rsidRPr="00270D41">
        <w:rPr>
          <w:rFonts w:eastAsiaTheme="minorEastAsia"/>
        </w:rPr>
        <w:t xml:space="preserve">also did not result in population recovery for scenarios where shelter use was 50% or 90% (Figure </w:t>
      </w:r>
      <w:r w:rsidR="006B72DA">
        <w:rPr>
          <w:rFonts w:eastAsiaTheme="minorEastAsia"/>
        </w:rPr>
        <w:t>2</w:t>
      </w:r>
      <w:r w:rsidR="00EC669C">
        <w:rPr>
          <w:rFonts w:eastAsiaTheme="minorEastAsia"/>
        </w:rPr>
        <w:t>7</w:t>
      </w:r>
      <w:r w:rsidRPr="00270D41">
        <w:rPr>
          <w:rFonts w:eastAsiaTheme="minorEastAsia"/>
        </w:rPr>
        <w:t>).</w:t>
      </w:r>
      <w:r w:rsidR="00BE3EC4">
        <w:rPr>
          <w:rFonts w:eastAsiaTheme="minorEastAsia"/>
        </w:rPr>
        <w:t xml:space="preserve"> </w:t>
      </w:r>
      <w:r w:rsidRPr="00270D41">
        <w:rPr>
          <w:rFonts w:eastAsiaTheme="minorEastAsia"/>
        </w:rPr>
        <w:t>Scenarios where thermal shelters could raise frog body temperatures by 8</w:t>
      </w:r>
      <w:r w:rsidR="0022442B" w:rsidRPr="0022442B">
        <w:rPr>
          <w:rFonts w:eastAsiaTheme="minorEastAsia"/>
        </w:rPr>
        <w:t>°C</w:t>
      </w:r>
      <w:r w:rsidRPr="00270D41">
        <w:rPr>
          <w:rFonts w:eastAsiaTheme="minorEastAsia"/>
        </w:rPr>
        <w:t xml:space="preserve"> were more successful at recovering frog populations in cold thermal environments</w:t>
      </w:r>
      <w:r w:rsidR="0022442B">
        <w:rPr>
          <w:rFonts w:eastAsiaTheme="minorEastAsia"/>
        </w:rPr>
        <w:t>,</w:t>
      </w:r>
      <w:r w:rsidRPr="00270D41">
        <w:rPr>
          <w:rFonts w:eastAsiaTheme="minorEastAsia"/>
        </w:rPr>
        <w:t xml:space="preserve"> but only when 90% of frogs had access to thermal shelters (Figure </w:t>
      </w:r>
      <w:r w:rsidR="006B72DA">
        <w:rPr>
          <w:rFonts w:eastAsiaTheme="minorEastAsia"/>
        </w:rPr>
        <w:t>2</w:t>
      </w:r>
      <w:r w:rsidR="00EC669C">
        <w:rPr>
          <w:rFonts w:eastAsiaTheme="minorEastAsia"/>
        </w:rPr>
        <w:t>8</w:t>
      </w:r>
      <w:r w:rsidRPr="00270D41">
        <w:rPr>
          <w:rFonts w:eastAsiaTheme="minorEastAsia"/>
        </w:rPr>
        <w:t>)</w:t>
      </w:r>
      <w:r w:rsidR="00431AF7">
        <w:rPr>
          <w:rFonts w:eastAsiaTheme="minorEastAsia"/>
        </w:rPr>
        <w:t>.</w:t>
      </w:r>
    </w:p>
    <w:p w14:paraId="5188E9FC" w14:textId="1CA42AEC" w:rsidR="00C516DD" w:rsidRPr="00C516DD" w:rsidRDefault="00E77FCD" w:rsidP="00DA5824">
      <w:r>
        <w:rPr>
          <w:noProof/>
        </w:rPr>
        <w:lastRenderedPageBreak/>
        <w:drawing>
          <wp:inline distT="0" distB="0" distL="0" distR="0" wp14:anchorId="610F6CAF" wp14:editId="66BDEAB2">
            <wp:extent cx="6120765" cy="6683375"/>
            <wp:effectExtent l="0" t="0" r="0" b="3175"/>
            <wp:docPr id="16779596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959651" name="Picture 1677959651"/>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6120765" cy="6683375"/>
                    </a:xfrm>
                    <a:prstGeom prst="rect">
                      <a:avLst/>
                    </a:prstGeom>
                  </pic:spPr>
                </pic:pic>
              </a:graphicData>
            </a:graphic>
          </wp:inline>
        </w:drawing>
      </w:r>
    </w:p>
    <w:p w14:paraId="0C85586B" w14:textId="1D628D52" w:rsidR="00C516DD" w:rsidRPr="00C516DD" w:rsidRDefault="00C516DD" w:rsidP="00270D41">
      <w:pPr>
        <w:pStyle w:val="Caption-Figure"/>
      </w:pPr>
      <w:bookmarkStart w:id="111" w:name="_Toc198634178"/>
      <w:r w:rsidRPr="00C516DD">
        <w:t xml:space="preserve">Figure </w:t>
      </w:r>
      <w:r w:rsidR="001B440E">
        <w:t>2</w:t>
      </w:r>
      <w:r w:rsidR="00EC669C">
        <w:t>6</w:t>
      </w:r>
      <w:r w:rsidRPr="00C516DD">
        <w:t>.</w:t>
      </w:r>
      <w:r w:rsidR="00BE3EC4">
        <w:t xml:space="preserve"> </w:t>
      </w:r>
      <w:r w:rsidR="004707E6">
        <w:t>Relative population size</w:t>
      </w:r>
      <w:r w:rsidRPr="00C516DD">
        <w:t xml:space="preserve"> for </w:t>
      </w:r>
      <w:r w:rsidR="00B84722">
        <w:t>Bell Frogs</w:t>
      </w:r>
      <w:r w:rsidRPr="00C516DD">
        <w:t xml:space="preserve"> following the introduction of </w:t>
      </w:r>
      <w:r w:rsidR="002C3176" w:rsidRPr="002C3176">
        <w:rPr>
          <w:i/>
          <w:iCs/>
        </w:rPr>
        <w:t>Bd</w:t>
      </w:r>
      <w:r w:rsidRPr="00C516DD">
        <w:t xml:space="preserve"> for frogs inhabiting the </w:t>
      </w:r>
      <w:r w:rsidR="0022442B">
        <w:t>‘</w:t>
      </w:r>
      <w:r w:rsidRPr="00C516DD">
        <w:t>warm</w:t>
      </w:r>
      <w:r w:rsidR="0022442B">
        <w:t>’</w:t>
      </w:r>
      <w:r w:rsidRPr="00C516DD">
        <w:t xml:space="preserve"> thermal environment before and after the introduction of thermal shelters (vertical dashed line) where the percentage of the population using shelters was 50% or 90%. Each shelter had a thermal delta of 4</w:t>
      </w:r>
      <w:r w:rsidR="005D2A27">
        <w:t>°</w:t>
      </w:r>
      <w:r w:rsidR="0022442B" w:rsidRPr="0022442B">
        <w:t>C</w:t>
      </w:r>
      <w:r w:rsidR="009B5D6C">
        <w:t xml:space="preserve">. </w:t>
      </w:r>
      <w:r w:rsidR="004707E6" w:rsidRPr="00C516DD">
        <w:t>Shading represents 95% uncertainty intervals</w:t>
      </w:r>
      <w:r w:rsidR="004707E6">
        <w:t>.</w:t>
      </w:r>
      <w:bookmarkEnd w:id="111"/>
    </w:p>
    <w:p w14:paraId="729DBB9D" w14:textId="77777777" w:rsidR="00C516DD" w:rsidRPr="00C516DD" w:rsidRDefault="00C516DD" w:rsidP="00DA5824"/>
    <w:p w14:paraId="28335F76" w14:textId="24E64FA2" w:rsidR="00C516DD" w:rsidRPr="00C516DD" w:rsidRDefault="00877FBF" w:rsidP="00DA5824">
      <w:r>
        <w:rPr>
          <w:noProof/>
        </w:rPr>
        <w:drawing>
          <wp:inline distT="0" distB="0" distL="0" distR="0" wp14:anchorId="3289BC04" wp14:editId="7B221CF5">
            <wp:extent cx="6120765" cy="6683375"/>
            <wp:effectExtent l="0" t="0" r="0" b="3175"/>
            <wp:docPr id="659835296" name="Picture 20"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35296" name="Picture 20" descr="A graph of a graph of a graph&#10;&#10;AI-generated content may be incorrect."/>
                    <pic:cNvPicPr/>
                  </pic:nvPicPr>
                  <pic:blipFill>
                    <a:blip r:embed="rId69" cstate="screen">
                      <a:extLst>
                        <a:ext uri="{28A0092B-C50C-407E-A947-70E740481C1C}">
                          <a14:useLocalDpi xmlns:a14="http://schemas.microsoft.com/office/drawing/2010/main" val="0"/>
                        </a:ext>
                      </a:extLst>
                    </a:blip>
                    <a:stretch>
                      <a:fillRect/>
                    </a:stretch>
                  </pic:blipFill>
                  <pic:spPr>
                    <a:xfrm>
                      <a:off x="0" y="0"/>
                      <a:ext cx="6120765" cy="6683375"/>
                    </a:xfrm>
                    <a:prstGeom prst="rect">
                      <a:avLst/>
                    </a:prstGeom>
                  </pic:spPr>
                </pic:pic>
              </a:graphicData>
            </a:graphic>
          </wp:inline>
        </w:drawing>
      </w:r>
    </w:p>
    <w:p w14:paraId="55E1FB39" w14:textId="391A15AF" w:rsidR="00C516DD" w:rsidRPr="00C516DD" w:rsidRDefault="00C516DD" w:rsidP="00270D41">
      <w:pPr>
        <w:pStyle w:val="Caption-Figure"/>
      </w:pPr>
      <w:bookmarkStart w:id="112" w:name="_Toc198634179"/>
      <w:r w:rsidRPr="00C516DD">
        <w:t xml:space="preserve">Figure </w:t>
      </w:r>
      <w:r w:rsidR="001B440E">
        <w:t>2</w:t>
      </w:r>
      <w:r w:rsidR="00EC669C">
        <w:t>7</w:t>
      </w:r>
      <w:r w:rsidRPr="00C516DD">
        <w:t xml:space="preserve">. </w:t>
      </w:r>
      <w:r w:rsidR="00C478E5">
        <w:t>Relative population size</w:t>
      </w:r>
      <w:r w:rsidR="00C478E5" w:rsidRPr="00C516DD">
        <w:t xml:space="preserve"> </w:t>
      </w:r>
      <w:r w:rsidRPr="00C516DD">
        <w:t xml:space="preserve">for </w:t>
      </w:r>
      <w:r w:rsidR="00B84722">
        <w:t>Bell Frogs</w:t>
      </w:r>
      <w:r w:rsidRPr="00C516DD">
        <w:t xml:space="preserve"> following the introduction of </w:t>
      </w:r>
      <w:r w:rsidR="002C3176" w:rsidRPr="002C3176">
        <w:rPr>
          <w:i/>
          <w:iCs/>
        </w:rPr>
        <w:t>Bd</w:t>
      </w:r>
      <w:r w:rsidRPr="00C516DD">
        <w:t xml:space="preserve"> for frogs inhabiting the </w:t>
      </w:r>
      <w:r w:rsidR="0022442B">
        <w:t>‘</w:t>
      </w:r>
      <w:r w:rsidRPr="00C516DD">
        <w:t>cold</w:t>
      </w:r>
      <w:r w:rsidR="0022442B">
        <w:t>’</w:t>
      </w:r>
      <w:r w:rsidRPr="00C516DD">
        <w:t xml:space="preserve"> thermal environment.</w:t>
      </w:r>
      <w:r w:rsidR="00BE3EC4">
        <w:t xml:space="preserve"> </w:t>
      </w:r>
      <w:r w:rsidRPr="00C516DD">
        <w:t>Following extirpation</w:t>
      </w:r>
      <w:r w:rsidR="0022442B">
        <w:t>,</w:t>
      </w:r>
      <w:r w:rsidRPr="00C516DD">
        <w:t xml:space="preserve"> 50 heat treated </w:t>
      </w:r>
      <w:r w:rsidR="002C3176" w:rsidRPr="002C3176">
        <w:rPr>
          <w:i/>
          <w:iCs/>
        </w:rPr>
        <w:t>Bd</w:t>
      </w:r>
      <w:r w:rsidRPr="00C516DD">
        <w:t xml:space="preserve"> resistant frogs were re-introduced in year 20 (vertical dashed line).</w:t>
      </w:r>
      <w:r w:rsidR="00BE3EC4">
        <w:t xml:space="preserve"> </w:t>
      </w:r>
      <w:r w:rsidRPr="00C516DD">
        <w:t>Plots show the percentage of the re-introduced population using shelters.</w:t>
      </w:r>
      <w:r w:rsidR="00BE3EC4">
        <w:t xml:space="preserve"> </w:t>
      </w:r>
      <w:r w:rsidRPr="00C516DD">
        <w:t>Each shelter had a thermal delta of 4</w:t>
      </w:r>
      <w:r w:rsidR="005D2A27" w:rsidRPr="00DA5824">
        <w:t>°</w:t>
      </w:r>
      <w:r w:rsidRPr="00C516DD">
        <w:t>C.</w:t>
      </w:r>
      <w:bookmarkEnd w:id="112"/>
      <w:r w:rsidR="009B5D6C">
        <w:t xml:space="preserve"> </w:t>
      </w:r>
    </w:p>
    <w:p w14:paraId="596F8CE0" w14:textId="48E1E95C" w:rsidR="00C516DD" w:rsidRPr="00C516DD" w:rsidRDefault="00C478E5" w:rsidP="00DA5824">
      <w:r>
        <w:rPr>
          <w:noProof/>
        </w:rPr>
        <w:drawing>
          <wp:inline distT="0" distB="0" distL="0" distR="0" wp14:anchorId="1DC243EB" wp14:editId="6C9DC1D6">
            <wp:extent cx="6120765" cy="6683375"/>
            <wp:effectExtent l="0" t="0" r="0" b="3175"/>
            <wp:docPr id="50707581" name="Picture 2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7581" name="Picture 21" descr="A graph of a graph of a graph&#10;&#10;AI-generated content may be incorrect."/>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6120765" cy="6683375"/>
                    </a:xfrm>
                    <a:prstGeom prst="rect">
                      <a:avLst/>
                    </a:prstGeom>
                  </pic:spPr>
                </pic:pic>
              </a:graphicData>
            </a:graphic>
          </wp:inline>
        </w:drawing>
      </w:r>
    </w:p>
    <w:p w14:paraId="277C5F0B" w14:textId="55E7602B" w:rsidR="00C516DD" w:rsidRPr="00C516DD" w:rsidRDefault="00C516DD" w:rsidP="00270D41">
      <w:pPr>
        <w:pStyle w:val="Caption-Figure"/>
      </w:pPr>
      <w:bookmarkStart w:id="113" w:name="_Toc198634180"/>
      <w:r w:rsidRPr="00C516DD">
        <w:t xml:space="preserve">Figure </w:t>
      </w:r>
      <w:r w:rsidR="001B440E">
        <w:t>2</w:t>
      </w:r>
      <w:r w:rsidR="00EC669C">
        <w:t>8</w:t>
      </w:r>
      <w:r w:rsidRPr="00C516DD">
        <w:t xml:space="preserve">. </w:t>
      </w:r>
      <w:r w:rsidR="00C478E5">
        <w:t>Relative population size</w:t>
      </w:r>
      <w:r w:rsidR="00C478E5" w:rsidRPr="00C516DD">
        <w:t xml:space="preserve"> </w:t>
      </w:r>
      <w:r w:rsidRPr="00C516DD">
        <w:t xml:space="preserve">for </w:t>
      </w:r>
      <w:r w:rsidR="00B84722">
        <w:t>Bell Frogs</w:t>
      </w:r>
      <w:r w:rsidRPr="00C516DD">
        <w:t xml:space="preserve"> following the introduction of </w:t>
      </w:r>
      <w:r w:rsidR="002C3176" w:rsidRPr="002C3176">
        <w:rPr>
          <w:i/>
          <w:iCs/>
        </w:rPr>
        <w:t>Bd</w:t>
      </w:r>
      <w:r w:rsidRPr="00C516DD">
        <w:t xml:space="preserve"> for frogs inhabiting the </w:t>
      </w:r>
      <w:r w:rsidR="0022442B">
        <w:t>‘</w:t>
      </w:r>
      <w:r w:rsidRPr="00C516DD">
        <w:t>cold</w:t>
      </w:r>
      <w:r w:rsidR="0022442B">
        <w:t>’</w:t>
      </w:r>
      <w:r w:rsidRPr="00C516DD">
        <w:t xml:space="preserve"> thermal environment.</w:t>
      </w:r>
      <w:r w:rsidR="00BE3EC4">
        <w:t xml:space="preserve"> </w:t>
      </w:r>
      <w:r w:rsidRPr="00C516DD">
        <w:t>Following extirpation</w:t>
      </w:r>
      <w:r w:rsidR="0022442B">
        <w:t>,</w:t>
      </w:r>
      <w:r w:rsidRPr="00C516DD">
        <w:t xml:space="preserve"> 50 heat treated </w:t>
      </w:r>
      <w:r w:rsidR="002C3176" w:rsidRPr="002C3176">
        <w:rPr>
          <w:i/>
          <w:iCs/>
        </w:rPr>
        <w:t>Bd</w:t>
      </w:r>
      <w:r w:rsidRPr="00C516DD">
        <w:t xml:space="preserve"> resistant frogs were re-introduced in year 20 (vertical dashed line).</w:t>
      </w:r>
      <w:r w:rsidR="00BE3EC4">
        <w:t xml:space="preserve"> </w:t>
      </w:r>
      <w:r w:rsidRPr="00C516DD">
        <w:t>Plots show the percentage of the re-introduced population using shelters.</w:t>
      </w:r>
      <w:r w:rsidR="00BE3EC4">
        <w:t xml:space="preserve"> </w:t>
      </w:r>
      <w:r w:rsidRPr="00C516DD">
        <w:t>Each shelter had a thermal delta of 8</w:t>
      </w:r>
      <w:r w:rsidR="0022442B" w:rsidRPr="00DA5824">
        <w:t>°</w:t>
      </w:r>
      <w:r w:rsidRPr="00C516DD">
        <w:t>C</w:t>
      </w:r>
      <w:r w:rsidR="00431AF7">
        <w:t>.</w:t>
      </w:r>
      <w:bookmarkEnd w:id="113"/>
      <w:r w:rsidR="00431AF7">
        <w:t xml:space="preserve"> </w:t>
      </w:r>
    </w:p>
    <w:p w14:paraId="6956F186" w14:textId="77777777" w:rsidR="00C516DD" w:rsidRPr="00C516DD" w:rsidRDefault="00C516DD" w:rsidP="00DA5824"/>
    <w:p w14:paraId="477C9B4A" w14:textId="77777777" w:rsidR="00C516DD" w:rsidRPr="00C516DD" w:rsidRDefault="00C516DD" w:rsidP="00C516DD">
      <w:pPr>
        <w:pStyle w:val="Heading4"/>
      </w:pPr>
      <w:r w:rsidRPr="00C516DD">
        <w:t>Conclusions</w:t>
      </w:r>
    </w:p>
    <w:p w14:paraId="125E3828" w14:textId="64AF29B4" w:rsidR="00C516DD" w:rsidRPr="00270D41" w:rsidRDefault="00C516DD" w:rsidP="00270D41">
      <w:pPr>
        <w:rPr>
          <w:rFonts w:eastAsiaTheme="minorEastAsia"/>
        </w:rPr>
      </w:pPr>
      <w:r w:rsidRPr="00270D41">
        <w:rPr>
          <w:rFonts w:eastAsiaTheme="minorEastAsia"/>
        </w:rPr>
        <w:t xml:space="preserve">Recent studies have established that the provision of thermal shelters for </w:t>
      </w:r>
      <w:r w:rsidR="009B5D6C">
        <w:rPr>
          <w:rFonts w:eastAsiaTheme="minorEastAsia"/>
        </w:rPr>
        <w:t>G</w:t>
      </w:r>
      <w:r w:rsidRPr="00270D41">
        <w:rPr>
          <w:rFonts w:eastAsiaTheme="minorEastAsia"/>
        </w:rPr>
        <w:t xml:space="preserve">reen and </w:t>
      </w:r>
      <w:r w:rsidR="009B5D6C">
        <w:rPr>
          <w:rFonts w:eastAsiaTheme="minorEastAsia"/>
        </w:rPr>
        <w:t>G</w:t>
      </w:r>
      <w:r w:rsidRPr="00270D41">
        <w:rPr>
          <w:rFonts w:eastAsiaTheme="minorEastAsia"/>
        </w:rPr>
        <w:t xml:space="preserve">olden </w:t>
      </w:r>
      <w:r w:rsidR="00B84722">
        <w:rPr>
          <w:rFonts w:eastAsiaTheme="minorEastAsia"/>
        </w:rPr>
        <w:t>Bell Frogs</w:t>
      </w:r>
      <w:r w:rsidRPr="00270D41">
        <w:rPr>
          <w:rFonts w:eastAsiaTheme="minorEastAsia"/>
        </w:rPr>
        <w:t xml:space="preserve"> increase</w:t>
      </w:r>
      <w:r w:rsidR="009C07AE">
        <w:rPr>
          <w:rFonts w:eastAsiaTheme="minorEastAsia"/>
        </w:rPr>
        <w:t>d</w:t>
      </w:r>
      <w:r w:rsidRPr="00270D41">
        <w:rPr>
          <w:rFonts w:eastAsiaTheme="minorEastAsia"/>
        </w:rPr>
        <w:t xml:space="preserve"> the survival rates of frogs by allowing frogs to clear </w:t>
      </w:r>
      <w:r w:rsidR="002C3176" w:rsidRPr="002C3176">
        <w:rPr>
          <w:rFonts w:eastAsiaTheme="minorEastAsia"/>
          <w:i/>
          <w:iCs/>
        </w:rPr>
        <w:t>Bd</w:t>
      </w:r>
      <w:r w:rsidRPr="00270D41">
        <w:rPr>
          <w:rFonts w:eastAsiaTheme="minorEastAsia"/>
        </w:rPr>
        <w:t xml:space="preserve"> infections.</w:t>
      </w:r>
      <w:r w:rsidR="00BE3EC4">
        <w:rPr>
          <w:rFonts w:eastAsiaTheme="minorEastAsia"/>
        </w:rPr>
        <w:t xml:space="preserve"> </w:t>
      </w:r>
      <w:r w:rsidRPr="00270D41">
        <w:rPr>
          <w:rFonts w:eastAsiaTheme="minorEastAsia"/>
        </w:rPr>
        <w:t xml:space="preserve">Once recovered by heat treatments, individuals were subsequently resistant to further </w:t>
      </w:r>
      <w:r w:rsidR="002C3176" w:rsidRPr="002C3176">
        <w:rPr>
          <w:rFonts w:eastAsiaTheme="minorEastAsia"/>
          <w:i/>
          <w:iCs/>
        </w:rPr>
        <w:t>Bd</w:t>
      </w:r>
      <w:r w:rsidRPr="00270D41">
        <w:rPr>
          <w:rFonts w:eastAsiaTheme="minorEastAsia"/>
        </w:rPr>
        <w:t xml:space="preserve"> infections, even under cooler thermal environments suitable for </w:t>
      </w:r>
      <w:r w:rsidR="002C3176" w:rsidRPr="002C3176">
        <w:rPr>
          <w:rFonts w:eastAsiaTheme="minorEastAsia"/>
          <w:i/>
          <w:iCs/>
        </w:rPr>
        <w:t>Bd</w:t>
      </w:r>
      <w:r w:rsidRPr="00270D41">
        <w:rPr>
          <w:rFonts w:eastAsiaTheme="minorEastAsia"/>
        </w:rPr>
        <w:t xml:space="preserve"> growth </w:t>
      </w:r>
      <w:r w:rsidRPr="00270D41">
        <w:rPr>
          <w:rFonts w:eastAsiaTheme="minorEastAsia"/>
        </w:rPr>
        <w:fldChar w:fldCharType="begin"/>
      </w:r>
      <w:r w:rsidR="009F541F">
        <w:rPr>
          <w:rFonts w:eastAsiaTheme="minorEastAsia"/>
        </w:rPr>
        <w:instrText xml:space="preserve"> ADDIN ZOTERO_ITEM CSL_CITATION {"citationID":"2p3YMl9v","properties":{"formattedCitation":"(Waddle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270D41">
        <w:rPr>
          <w:rFonts w:eastAsiaTheme="minorEastAsia"/>
        </w:rPr>
        <w:fldChar w:fldCharType="separate"/>
      </w:r>
      <w:r w:rsidR="009F541F" w:rsidRPr="009F541F">
        <w:t xml:space="preserve">(Waddle </w:t>
      </w:r>
      <w:r w:rsidR="009F541F" w:rsidRPr="00DA5824">
        <w:t>et al</w:t>
      </w:r>
      <w:r w:rsidR="009F541F" w:rsidRPr="009F541F">
        <w:rPr>
          <w:i/>
          <w:iCs/>
        </w:rPr>
        <w:t>.</w:t>
      </w:r>
      <w:r w:rsidR="009F541F" w:rsidRPr="009F541F">
        <w:t xml:space="preserve"> 2024)</w:t>
      </w:r>
      <w:r w:rsidRPr="00270D41">
        <w:rPr>
          <w:rFonts w:eastAsiaTheme="minorEastAsia"/>
        </w:rPr>
        <w:fldChar w:fldCharType="end"/>
      </w:r>
      <w:r w:rsidRPr="00270D41">
        <w:rPr>
          <w:rFonts w:eastAsiaTheme="minorEastAsia"/>
        </w:rPr>
        <w:t>.</w:t>
      </w:r>
      <w:r w:rsidR="00BE3EC4">
        <w:rPr>
          <w:rFonts w:eastAsiaTheme="minorEastAsia"/>
        </w:rPr>
        <w:t xml:space="preserve"> </w:t>
      </w:r>
      <w:r w:rsidRPr="00270D41">
        <w:rPr>
          <w:rFonts w:eastAsiaTheme="minorEastAsia"/>
        </w:rPr>
        <w:t xml:space="preserve">The model developed here allowed the exploration of these recent findings on the likely outcomes at the population level for </w:t>
      </w:r>
      <w:r w:rsidR="00B84722">
        <w:rPr>
          <w:rFonts w:eastAsiaTheme="minorEastAsia"/>
        </w:rPr>
        <w:t>Bell Frogs</w:t>
      </w:r>
      <w:r w:rsidRPr="00270D41">
        <w:rPr>
          <w:rFonts w:eastAsiaTheme="minorEastAsia"/>
        </w:rPr>
        <w:t xml:space="preserve"> managed with the use of thermal shelters.</w:t>
      </w:r>
      <w:r w:rsidR="00BE3EC4">
        <w:rPr>
          <w:rFonts w:eastAsiaTheme="minorEastAsia"/>
        </w:rPr>
        <w:t xml:space="preserve"> </w:t>
      </w:r>
      <w:r w:rsidRPr="00270D41">
        <w:rPr>
          <w:rFonts w:eastAsiaTheme="minorEastAsia"/>
        </w:rPr>
        <w:t xml:space="preserve">Results suggest positive outcomes for frog populations managed by the provision of thermal shelters that allow </w:t>
      </w:r>
      <w:proofErr w:type="gramStart"/>
      <w:r w:rsidRPr="00270D41">
        <w:rPr>
          <w:rFonts w:eastAsiaTheme="minorEastAsia"/>
        </w:rPr>
        <w:t>the majority of</w:t>
      </w:r>
      <w:proofErr w:type="gramEnd"/>
      <w:r w:rsidRPr="00270D41">
        <w:rPr>
          <w:rFonts w:eastAsiaTheme="minorEastAsia"/>
        </w:rPr>
        <w:t xml:space="preserve"> the population (</w:t>
      </w:r>
      <m:oMath>
        <m:r>
          <m:rPr>
            <m:sty m:val="p"/>
          </m:rPr>
          <w:rPr>
            <w:rFonts w:ascii="Cambria Math" w:eastAsiaTheme="minorEastAsia" w:hAnsi="Cambria Math"/>
          </w:rPr>
          <m:t>≥</m:t>
        </m:r>
      </m:oMath>
      <w:r w:rsidRPr="00270D41">
        <w:rPr>
          <w:rFonts w:eastAsiaTheme="minorEastAsia"/>
        </w:rPr>
        <w:t xml:space="preserve"> 90%) to utilise them.</w:t>
      </w:r>
      <w:r w:rsidR="00BE3EC4">
        <w:rPr>
          <w:rFonts w:eastAsiaTheme="minorEastAsia"/>
        </w:rPr>
        <w:t xml:space="preserve"> </w:t>
      </w:r>
      <w:r w:rsidRPr="00270D41">
        <w:rPr>
          <w:rFonts w:eastAsiaTheme="minorEastAsia"/>
        </w:rPr>
        <w:t>However, the results tend to depend on the prevailing thermal environment.</w:t>
      </w:r>
      <w:r w:rsidR="00BE3EC4">
        <w:rPr>
          <w:rFonts w:eastAsiaTheme="minorEastAsia"/>
        </w:rPr>
        <w:t xml:space="preserve"> </w:t>
      </w:r>
      <w:r w:rsidRPr="00270D41">
        <w:rPr>
          <w:rFonts w:eastAsiaTheme="minorEastAsia"/>
        </w:rPr>
        <w:t xml:space="preserve">Frogs inhabiting </w:t>
      </w:r>
      <w:r w:rsidR="0022442B">
        <w:rPr>
          <w:rFonts w:eastAsiaTheme="minorEastAsia"/>
        </w:rPr>
        <w:t>‘</w:t>
      </w:r>
      <w:r w:rsidRPr="00270D41">
        <w:rPr>
          <w:rFonts w:eastAsiaTheme="minorEastAsia"/>
        </w:rPr>
        <w:t>warm</w:t>
      </w:r>
      <w:r w:rsidR="0022442B">
        <w:rPr>
          <w:rFonts w:eastAsiaTheme="minorEastAsia"/>
        </w:rPr>
        <w:t>’</w:t>
      </w:r>
      <w:r w:rsidRPr="00270D41">
        <w:rPr>
          <w:rFonts w:eastAsiaTheme="minorEastAsia"/>
        </w:rPr>
        <w:t xml:space="preserve"> thermal environments where </w:t>
      </w:r>
      <w:r w:rsidR="002C3176" w:rsidRPr="002C3176">
        <w:rPr>
          <w:rFonts w:eastAsiaTheme="minorEastAsia"/>
          <w:i/>
          <w:iCs/>
        </w:rPr>
        <w:t>Bd</w:t>
      </w:r>
      <w:r w:rsidRPr="00270D41">
        <w:rPr>
          <w:rFonts w:eastAsiaTheme="minorEastAsia"/>
        </w:rPr>
        <w:t xml:space="preserve"> infections had reduced populations by ~75% benefited by the provision of thermal shelters that raised frog body temperatures by 4</w:t>
      </w:r>
      <w:r w:rsidR="00412222" w:rsidRPr="00DA5824">
        <w:rPr>
          <w:rFonts w:eastAsiaTheme="minorEastAsia"/>
        </w:rPr>
        <w:t>°</w:t>
      </w:r>
      <w:r w:rsidRPr="00270D41">
        <w:rPr>
          <w:rFonts w:eastAsiaTheme="minorEastAsia"/>
        </w:rPr>
        <w:t>C.</w:t>
      </w:r>
      <w:r w:rsidR="00BE3EC4">
        <w:rPr>
          <w:rFonts w:eastAsiaTheme="minorEastAsia"/>
        </w:rPr>
        <w:t xml:space="preserve"> </w:t>
      </w:r>
      <w:r w:rsidRPr="00270D41">
        <w:rPr>
          <w:rFonts w:eastAsiaTheme="minorEastAsia"/>
        </w:rPr>
        <w:t>Provided the probability of shelter use was high (</w:t>
      </w:r>
      <m:oMath>
        <m:r>
          <m:rPr>
            <m:sty m:val="p"/>
          </m:rPr>
          <w:rPr>
            <w:rFonts w:ascii="Cambria Math" w:eastAsiaTheme="minorEastAsia" w:hAnsi="Cambria Math"/>
          </w:rPr>
          <m:t>≥</m:t>
        </m:r>
      </m:oMath>
      <w:r w:rsidRPr="00270D41">
        <w:rPr>
          <w:rFonts w:eastAsiaTheme="minorEastAsia"/>
        </w:rPr>
        <w:t xml:space="preserve">90%), frog populations could recover to around 60% of carrying-capacity within around 20 years. </w:t>
      </w:r>
    </w:p>
    <w:p w14:paraId="439D1AF1" w14:textId="6B7D1320" w:rsidR="00C516DD" w:rsidRPr="00270D41" w:rsidRDefault="00C516DD" w:rsidP="00270D41">
      <w:pPr>
        <w:rPr>
          <w:rFonts w:eastAsiaTheme="minorEastAsia"/>
        </w:rPr>
      </w:pPr>
      <w:r w:rsidRPr="00270D41">
        <w:rPr>
          <w:rFonts w:eastAsiaTheme="minorEastAsia"/>
        </w:rPr>
        <w:t xml:space="preserve">For colder parts of the former range of </w:t>
      </w:r>
      <w:r w:rsidR="00B84722">
        <w:rPr>
          <w:rFonts w:eastAsiaTheme="minorEastAsia"/>
        </w:rPr>
        <w:t>Bell Frogs</w:t>
      </w:r>
      <w:r w:rsidRPr="00270D41">
        <w:rPr>
          <w:rFonts w:eastAsiaTheme="minorEastAsia"/>
        </w:rPr>
        <w:t xml:space="preserve"> where </w:t>
      </w:r>
      <w:r w:rsidR="002C3176" w:rsidRPr="002C3176">
        <w:rPr>
          <w:rFonts w:eastAsiaTheme="minorEastAsia"/>
          <w:i/>
          <w:iCs/>
        </w:rPr>
        <w:t>Bd</w:t>
      </w:r>
      <w:r w:rsidRPr="00270D41">
        <w:rPr>
          <w:rFonts w:eastAsiaTheme="minorEastAsia"/>
        </w:rPr>
        <w:t xml:space="preserve"> had previously extirpated populations, population recovery would need to rely on a program of re-introductions.</w:t>
      </w:r>
      <w:r w:rsidR="00BE3EC4">
        <w:rPr>
          <w:rFonts w:eastAsiaTheme="minorEastAsia"/>
        </w:rPr>
        <w:t xml:space="preserve"> </w:t>
      </w:r>
      <w:r w:rsidRPr="00270D41">
        <w:rPr>
          <w:rFonts w:eastAsiaTheme="minorEastAsia"/>
        </w:rPr>
        <w:t xml:space="preserve">However, even if re-introduced frogs had been treated to convey increased resistance to </w:t>
      </w:r>
      <w:r w:rsidR="00F20D9F" w:rsidRPr="00F20D9F">
        <w:rPr>
          <w:rFonts w:eastAsiaTheme="minorEastAsia"/>
          <w:i/>
          <w:iCs/>
        </w:rPr>
        <w:t>Bd</w:t>
      </w:r>
      <w:r w:rsidRPr="00270D41">
        <w:rPr>
          <w:rFonts w:eastAsiaTheme="minorEastAsia"/>
        </w:rPr>
        <w:t xml:space="preserve"> infections, modelling results suggest that these have a high probability of failure unless thermal shelters are also provided as thermal refugia.</w:t>
      </w:r>
      <w:r w:rsidR="00BE3EC4">
        <w:rPr>
          <w:rFonts w:eastAsiaTheme="minorEastAsia"/>
        </w:rPr>
        <w:t xml:space="preserve"> </w:t>
      </w:r>
      <w:r w:rsidRPr="00270D41">
        <w:rPr>
          <w:rFonts w:eastAsiaTheme="minorEastAsia"/>
        </w:rPr>
        <w:t xml:space="preserve">However, to enable a high probability of population recovery, thermal shelters would need to raise frog body </w:t>
      </w:r>
      <w:r w:rsidR="00FB1F79" w:rsidRPr="00270D41">
        <w:rPr>
          <w:rFonts w:eastAsiaTheme="minorEastAsia"/>
        </w:rPr>
        <w:t>temp</w:t>
      </w:r>
      <w:r w:rsidR="00FB1F79">
        <w:rPr>
          <w:rFonts w:eastAsiaTheme="minorEastAsia"/>
        </w:rPr>
        <w:t>erature</w:t>
      </w:r>
      <w:r w:rsidR="00FB1F79" w:rsidRPr="00270D41">
        <w:rPr>
          <w:rFonts w:eastAsiaTheme="minorEastAsia"/>
        </w:rPr>
        <w:t>s</w:t>
      </w:r>
      <w:r w:rsidRPr="00270D41">
        <w:rPr>
          <w:rFonts w:eastAsiaTheme="minorEastAsia"/>
        </w:rPr>
        <w:t xml:space="preserve"> by at least 8</w:t>
      </w:r>
      <w:r w:rsidR="006A7B4E" w:rsidRPr="006A7B4E">
        <w:rPr>
          <w:rFonts w:eastAsiaTheme="minorEastAsia"/>
        </w:rPr>
        <w:t>°C</w:t>
      </w:r>
      <w:r w:rsidRPr="00270D41">
        <w:rPr>
          <w:rFonts w:eastAsiaTheme="minorEastAsia"/>
        </w:rPr>
        <w:t xml:space="preserve"> and be utilised by </w:t>
      </w:r>
      <w:proofErr w:type="gramStart"/>
      <w:r w:rsidRPr="00270D41">
        <w:rPr>
          <w:rFonts w:eastAsiaTheme="minorEastAsia"/>
        </w:rPr>
        <w:t>the majority of</w:t>
      </w:r>
      <w:proofErr w:type="gramEnd"/>
      <w:r w:rsidRPr="00270D41">
        <w:rPr>
          <w:rFonts w:eastAsiaTheme="minorEastAsia"/>
        </w:rPr>
        <w:t xml:space="preserve"> the population.</w:t>
      </w:r>
    </w:p>
    <w:p w14:paraId="7D1F632B" w14:textId="3F6589B3" w:rsidR="00C516DD" w:rsidRPr="00270D41" w:rsidRDefault="00C516DD" w:rsidP="00270D41">
      <w:pPr>
        <w:rPr>
          <w:rFonts w:eastAsiaTheme="minorEastAsia"/>
        </w:rPr>
      </w:pPr>
      <w:r w:rsidRPr="00270D41">
        <w:rPr>
          <w:rFonts w:eastAsiaTheme="minorEastAsia"/>
        </w:rPr>
        <w:t xml:space="preserve">Although these results appear encouraging for designing potential management actions for the recovery of </w:t>
      </w:r>
      <w:r w:rsidR="009B5D6C">
        <w:rPr>
          <w:rFonts w:eastAsiaTheme="minorEastAsia"/>
        </w:rPr>
        <w:t>B</w:t>
      </w:r>
      <w:r w:rsidRPr="00270D41">
        <w:rPr>
          <w:rFonts w:eastAsiaTheme="minorEastAsia"/>
        </w:rPr>
        <w:t xml:space="preserve">ell frog populations to parts of their former range, it is unknown whether these results can be generalised to other </w:t>
      </w:r>
      <w:r w:rsidR="00C156B8">
        <w:rPr>
          <w:rFonts w:eastAsiaTheme="minorEastAsia"/>
        </w:rPr>
        <w:t xml:space="preserve">south-eastern Australian </w:t>
      </w:r>
      <w:r w:rsidRPr="00270D41">
        <w:rPr>
          <w:rFonts w:eastAsiaTheme="minorEastAsia"/>
        </w:rPr>
        <w:t xml:space="preserve">frog species decimated by the impacts of </w:t>
      </w:r>
      <w:r w:rsidR="00F20D9F" w:rsidRPr="00F20D9F">
        <w:rPr>
          <w:rFonts w:eastAsiaTheme="minorEastAsia"/>
          <w:i/>
          <w:iCs/>
        </w:rPr>
        <w:t>Bd</w:t>
      </w:r>
      <w:r w:rsidRPr="00270D41">
        <w:rPr>
          <w:rFonts w:eastAsiaTheme="minorEastAsia"/>
        </w:rPr>
        <w:t>.</w:t>
      </w:r>
      <w:r w:rsidR="00BE3EC4">
        <w:rPr>
          <w:rFonts w:eastAsiaTheme="minorEastAsia"/>
        </w:rPr>
        <w:t xml:space="preserve"> </w:t>
      </w:r>
      <w:r w:rsidRPr="00270D41">
        <w:rPr>
          <w:rFonts w:eastAsiaTheme="minorEastAsia"/>
        </w:rPr>
        <w:t xml:space="preserve">For example, unlike </w:t>
      </w:r>
      <w:r w:rsidR="00B84722">
        <w:rPr>
          <w:rFonts w:eastAsiaTheme="minorEastAsia"/>
        </w:rPr>
        <w:t>Bell Frogs</w:t>
      </w:r>
      <w:r w:rsidR="006A7B4E">
        <w:rPr>
          <w:rFonts w:eastAsiaTheme="minorEastAsia"/>
        </w:rPr>
        <w:t xml:space="preserve">, </w:t>
      </w:r>
      <w:r w:rsidRPr="00270D41">
        <w:rPr>
          <w:rFonts w:eastAsiaTheme="minorEastAsia"/>
        </w:rPr>
        <w:t xml:space="preserve">the </w:t>
      </w:r>
      <w:proofErr w:type="gramStart"/>
      <w:r w:rsidRPr="00270D41">
        <w:rPr>
          <w:rFonts w:eastAsiaTheme="minorEastAsia"/>
        </w:rPr>
        <w:t>critically-endangered</w:t>
      </w:r>
      <w:proofErr w:type="gramEnd"/>
      <w:r w:rsidRPr="00270D41">
        <w:rPr>
          <w:rFonts w:eastAsiaTheme="minorEastAsia"/>
        </w:rPr>
        <w:t xml:space="preserve"> Baw </w:t>
      </w:r>
      <w:proofErr w:type="spellStart"/>
      <w:r w:rsidRPr="00270D41">
        <w:rPr>
          <w:rFonts w:eastAsiaTheme="minorEastAsia"/>
        </w:rPr>
        <w:t>Baw</w:t>
      </w:r>
      <w:proofErr w:type="spellEnd"/>
      <w:r w:rsidRPr="00270D41">
        <w:rPr>
          <w:rFonts w:eastAsiaTheme="minorEastAsia"/>
        </w:rPr>
        <w:t xml:space="preserve"> frog does not seek out thermal refugia and spends </w:t>
      </w:r>
      <w:proofErr w:type="gramStart"/>
      <w:r w:rsidRPr="00270D41">
        <w:rPr>
          <w:rFonts w:eastAsiaTheme="minorEastAsia"/>
        </w:rPr>
        <w:t>the majority of</w:t>
      </w:r>
      <w:proofErr w:type="gramEnd"/>
      <w:r w:rsidRPr="00270D41">
        <w:rPr>
          <w:rFonts w:eastAsiaTheme="minorEastAsia"/>
        </w:rPr>
        <w:t xml:space="preserve"> </w:t>
      </w:r>
      <w:r w:rsidR="006A7B4E">
        <w:rPr>
          <w:rFonts w:eastAsiaTheme="minorEastAsia"/>
        </w:rPr>
        <w:t>its</w:t>
      </w:r>
      <w:r w:rsidR="006A7B4E" w:rsidRPr="00270D41">
        <w:rPr>
          <w:rFonts w:eastAsiaTheme="minorEastAsia"/>
        </w:rPr>
        <w:t xml:space="preserve"> </w:t>
      </w:r>
      <w:r w:rsidRPr="00270D41">
        <w:rPr>
          <w:rFonts w:eastAsiaTheme="minorEastAsia"/>
        </w:rPr>
        <w:t>life living among soil cavities and damp vegetation.</w:t>
      </w:r>
      <w:r w:rsidR="00BE3EC4">
        <w:rPr>
          <w:rFonts w:eastAsiaTheme="minorEastAsia"/>
        </w:rPr>
        <w:t xml:space="preserve"> </w:t>
      </w:r>
      <w:r w:rsidR="00FB1F79">
        <w:rPr>
          <w:rFonts w:eastAsiaTheme="minorEastAsia"/>
        </w:rPr>
        <w:t>Consequently</w:t>
      </w:r>
      <w:r w:rsidRPr="00270D41">
        <w:rPr>
          <w:rFonts w:eastAsiaTheme="minorEastAsia"/>
        </w:rPr>
        <w:t xml:space="preserve">, the provision of thermal shelters is </w:t>
      </w:r>
      <w:r w:rsidR="00C156B8">
        <w:rPr>
          <w:rFonts w:eastAsiaTheme="minorEastAsia"/>
        </w:rPr>
        <w:t xml:space="preserve">only likely to be a successful means of mitigating the impacts of </w:t>
      </w:r>
      <w:r w:rsidR="00F20D9F" w:rsidRPr="00F20D9F">
        <w:rPr>
          <w:rFonts w:eastAsiaTheme="minorEastAsia"/>
          <w:i/>
          <w:iCs/>
        </w:rPr>
        <w:t>Bd</w:t>
      </w:r>
      <w:r w:rsidR="00C156B8">
        <w:rPr>
          <w:rFonts w:eastAsiaTheme="minorEastAsia"/>
        </w:rPr>
        <w:t xml:space="preserve"> for species which have a natural tendency to seek out warm microhabitats</w:t>
      </w:r>
      <w:r w:rsidRPr="00270D41">
        <w:rPr>
          <w:rFonts w:eastAsiaTheme="minorEastAsia"/>
        </w:rPr>
        <w:t>.</w:t>
      </w:r>
      <w:r w:rsidR="00BE3EC4">
        <w:rPr>
          <w:rFonts w:eastAsiaTheme="minorEastAsia"/>
        </w:rPr>
        <w:t xml:space="preserve"> </w:t>
      </w:r>
    </w:p>
    <w:p w14:paraId="190C30E2" w14:textId="44AC58FF" w:rsidR="00C516DD" w:rsidRPr="00270D41" w:rsidRDefault="00C516DD" w:rsidP="00270D41">
      <w:pPr>
        <w:rPr>
          <w:rFonts w:eastAsiaTheme="minorEastAsia"/>
        </w:rPr>
      </w:pPr>
      <w:r w:rsidRPr="00270D41">
        <w:rPr>
          <w:rFonts w:eastAsiaTheme="minorEastAsia"/>
        </w:rPr>
        <w:t xml:space="preserve">The individual-based model developed here to model the impact of </w:t>
      </w:r>
      <w:r w:rsidR="00F20D9F" w:rsidRPr="00F20D9F">
        <w:rPr>
          <w:rFonts w:eastAsiaTheme="minorEastAsia"/>
          <w:i/>
          <w:iCs/>
        </w:rPr>
        <w:t>Bd</w:t>
      </w:r>
      <w:r w:rsidRPr="00270D41">
        <w:rPr>
          <w:rFonts w:eastAsiaTheme="minorEastAsia"/>
        </w:rPr>
        <w:t xml:space="preserve"> on </w:t>
      </w:r>
      <w:r w:rsidR="00B84722">
        <w:rPr>
          <w:rFonts w:eastAsiaTheme="minorEastAsia"/>
        </w:rPr>
        <w:t>Bell Frogs</w:t>
      </w:r>
      <w:r w:rsidR="00AC0EE4">
        <w:rPr>
          <w:rFonts w:eastAsiaTheme="minorEastAsia"/>
        </w:rPr>
        <w:t>,</w:t>
      </w:r>
      <w:r w:rsidRPr="00270D41">
        <w:rPr>
          <w:rFonts w:eastAsiaTheme="minorEastAsia"/>
        </w:rPr>
        <w:t xml:space="preserve"> has </w:t>
      </w:r>
      <w:proofErr w:type="gramStart"/>
      <w:r w:rsidRPr="00270D41">
        <w:rPr>
          <w:rFonts w:eastAsiaTheme="minorEastAsia"/>
        </w:rPr>
        <w:t>a number of</w:t>
      </w:r>
      <w:proofErr w:type="gramEnd"/>
      <w:r w:rsidRPr="00270D41">
        <w:rPr>
          <w:rFonts w:eastAsiaTheme="minorEastAsia"/>
        </w:rPr>
        <w:t xml:space="preserve"> interacting processes that are thought to be critical to the epidemiology of </w:t>
      </w:r>
      <w:r w:rsidR="00F20D9F" w:rsidRPr="00F20D9F">
        <w:rPr>
          <w:rFonts w:eastAsiaTheme="minorEastAsia"/>
          <w:i/>
          <w:iCs/>
        </w:rPr>
        <w:t>Bd</w:t>
      </w:r>
      <w:r w:rsidRPr="00270D41">
        <w:rPr>
          <w:rFonts w:eastAsiaTheme="minorEastAsia"/>
        </w:rPr>
        <w:t xml:space="preserve"> in these species.</w:t>
      </w:r>
      <w:r w:rsidR="00BE3EC4">
        <w:rPr>
          <w:rFonts w:eastAsiaTheme="minorEastAsia"/>
        </w:rPr>
        <w:t xml:space="preserve"> </w:t>
      </w:r>
      <w:r w:rsidRPr="00270D41">
        <w:rPr>
          <w:rFonts w:eastAsiaTheme="minorEastAsia"/>
        </w:rPr>
        <w:t xml:space="preserve">Although parametrisation of these process was mostly based on published studies, they necessarily contain </w:t>
      </w:r>
      <w:proofErr w:type="gramStart"/>
      <w:r w:rsidRPr="00270D41">
        <w:rPr>
          <w:rFonts w:eastAsiaTheme="minorEastAsia"/>
        </w:rPr>
        <w:t>a number of</w:t>
      </w:r>
      <w:proofErr w:type="gramEnd"/>
      <w:r w:rsidRPr="00270D41">
        <w:rPr>
          <w:rFonts w:eastAsiaTheme="minorEastAsia"/>
        </w:rPr>
        <w:t xml:space="preserve"> assumptions which influence model behaviour. Chief among these was the assumption that </w:t>
      </w:r>
      <w:r w:rsidR="00B84722">
        <w:rPr>
          <w:rFonts w:eastAsiaTheme="minorEastAsia"/>
        </w:rPr>
        <w:t>Bell Frogs</w:t>
      </w:r>
      <w:r w:rsidRPr="00270D41">
        <w:rPr>
          <w:rFonts w:eastAsiaTheme="minorEastAsia"/>
        </w:rPr>
        <w:t xml:space="preserve"> were able to recover from </w:t>
      </w:r>
      <w:r w:rsidR="001D4E10">
        <w:rPr>
          <w:rFonts w:eastAsiaTheme="minorEastAsia"/>
        </w:rPr>
        <w:t>c</w:t>
      </w:r>
      <w:r w:rsidRPr="00270D41">
        <w:rPr>
          <w:rFonts w:eastAsiaTheme="minorEastAsia"/>
        </w:rPr>
        <w:t>hytrid</w:t>
      </w:r>
      <w:r w:rsidR="00F20D9F">
        <w:rPr>
          <w:rFonts w:eastAsiaTheme="minorEastAsia"/>
        </w:rPr>
        <w:t>iomycosis</w:t>
      </w:r>
      <w:r w:rsidRPr="00270D41">
        <w:rPr>
          <w:rFonts w:eastAsiaTheme="minorEastAsia"/>
        </w:rPr>
        <w:t xml:space="preserve"> once their body temperature exceeded 25</w:t>
      </w:r>
      <w:r w:rsidR="00AC0EE4" w:rsidRPr="00DA5824">
        <w:rPr>
          <w:rFonts w:eastAsiaTheme="minorEastAsia"/>
        </w:rPr>
        <w:t>°</w:t>
      </w:r>
      <w:r w:rsidRPr="00270D41">
        <w:rPr>
          <w:rFonts w:eastAsiaTheme="minorEastAsia"/>
        </w:rPr>
        <w:t>C</w:t>
      </w:r>
      <w:r w:rsidR="001A7CB3">
        <w:rPr>
          <w:rFonts w:eastAsiaTheme="minorEastAsia"/>
        </w:rPr>
        <w:t xml:space="preserve"> (i.e. parameter </w:t>
      </w:r>
      <m:oMath>
        <m:r>
          <w:rPr>
            <w:rFonts w:ascii="Cambria Math" w:eastAsiaTheme="minorEastAsia" w:hAnsi="Cambria Math"/>
          </w:rPr>
          <m:t>γ</m:t>
        </m:r>
        <m:d>
          <m:dPr>
            <m:ctrlPr>
              <w:rPr>
                <w:rFonts w:ascii="Cambria Math" w:eastAsiaTheme="minorEastAsia" w:hAnsi="Cambria Math"/>
                <w:i/>
              </w:rPr>
            </m:ctrlPr>
          </m:dPr>
          <m:e>
            <m:r>
              <w:rPr>
                <w:rFonts w:ascii="Cambria Math" w:eastAsiaTheme="minorEastAsia" w:hAnsi="Cambria Math"/>
              </w:rPr>
              <m:t>T</m:t>
            </m:r>
          </m:e>
        </m:d>
      </m:oMath>
      <w:r w:rsidR="001A7CB3">
        <w:rPr>
          <w:rFonts w:eastAsiaTheme="minorEastAsia"/>
        </w:rPr>
        <w:t>)</w:t>
      </w:r>
      <w:r w:rsidRPr="00270D41">
        <w:rPr>
          <w:rFonts w:eastAsiaTheme="minorEastAsia"/>
        </w:rPr>
        <w:t>.</w:t>
      </w:r>
      <w:r w:rsidR="00BE3EC4">
        <w:rPr>
          <w:rFonts w:eastAsiaTheme="minorEastAsia"/>
        </w:rPr>
        <w:t xml:space="preserve"> </w:t>
      </w:r>
      <w:r w:rsidRPr="00270D41">
        <w:rPr>
          <w:rFonts w:eastAsiaTheme="minorEastAsia"/>
        </w:rPr>
        <w:t xml:space="preserve">This assumption was largely drawn from </w:t>
      </w:r>
      <w:r w:rsidRPr="00AC0EE4">
        <w:rPr>
          <w:rFonts w:eastAsiaTheme="minorEastAsia"/>
        </w:rPr>
        <w:t xml:space="preserve">Kinney </w:t>
      </w:r>
      <w:r w:rsidRPr="00DA5824">
        <w:rPr>
          <w:rFonts w:eastAsiaTheme="minorEastAsia"/>
        </w:rPr>
        <w:t>et al</w:t>
      </w:r>
      <w:r w:rsidR="000E6B55" w:rsidRPr="00AC0EE4">
        <w:rPr>
          <w:rFonts w:eastAsiaTheme="minorEastAsia"/>
        </w:rPr>
        <w:t>.</w:t>
      </w:r>
      <w:r w:rsidRPr="00270D41">
        <w:rPr>
          <w:rFonts w:eastAsiaTheme="minorEastAsia"/>
        </w:rPr>
        <w:t xml:space="preserve"> (2011), citing other published work </w:t>
      </w:r>
      <w:proofErr w:type="gramStart"/>
      <w:r w:rsidRPr="00270D41">
        <w:rPr>
          <w:rFonts w:eastAsiaTheme="minorEastAsia"/>
        </w:rPr>
        <w:t>and also</w:t>
      </w:r>
      <w:proofErr w:type="gramEnd"/>
      <w:r w:rsidRPr="00270D41">
        <w:rPr>
          <w:rFonts w:eastAsiaTheme="minorEastAsia"/>
        </w:rPr>
        <w:t xml:space="preserve"> from the work on </w:t>
      </w:r>
      <w:r w:rsidR="00B84722">
        <w:rPr>
          <w:rFonts w:eastAsiaTheme="minorEastAsia"/>
        </w:rPr>
        <w:t>Bell Frogs</w:t>
      </w:r>
      <w:r w:rsidRPr="00270D41">
        <w:rPr>
          <w:rFonts w:eastAsiaTheme="minorEastAsia"/>
        </w:rPr>
        <w:t xml:space="preserve"> by Waddle </w:t>
      </w:r>
      <w:r w:rsidRPr="00DA5824">
        <w:rPr>
          <w:rFonts w:eastAsiaTheme="minorEastAsia"/>
        </w:rPr>
        <w:t>et al</w:t>
      </w:r>
      <w:r w:rsidRPr="00AC0EE4">
        <w:rPr>
          <w:rFonts w:eastAsiaTheme="minorEastAsia"/>
        </w:rPr>
        <w:t>.</w:t>
      </w:r>
      <w:r w:rsidRPr="00270D41">
        <w:rPr>
          <w:rFonts w:eastAsiaTheme="minorEastAsia"/>
        </w:rPr>
        <w:t xml:space="preserve"> (2024).</w:t>
      </w:r>
      <w:r w:rsidR="00BE3EC4">
        <w:rPr>
          <w:rFonts w:eastAsiaTheme="minorEastAsia"/>
        </w:rPr>
        <w:t xml:space="preserve"> </w:t>
      </w:r>
      <w:r w:rsidRPr="00270D41">
        <w:rPr>
          <w:rFonts w:eastAsiaTheme="minorEastAsia"/>
        </w:rPr>
        <w:t>Model results were sensitive to the selection of this threshold temperature</w:t>
      </w:r>
      <w:r w:rsidR="000E6B55">
        <w:rPr>
          <w:rFonts w:eastAsiaTheme="minorEastAsia"/>
        </w:rPr>
        <w:t xml:space="preserve"> (</w:t>
      </w:r>
      <w:r w:rsidR="001D4E10">
        <w:rPr>
          <w:rFonts w:eastAsiaTheme="minorEastAsia"/>
        </w:rPr>
        <w:t>s</w:t>
      </w:r>
      <w:r w:rsidR="000E6B55">
        <w:rPr>
          <w:rFonts w:eastAsiaTheme="minorEastAsia"/>
        </w:rPr>
        <w:t>ection 6.4)</w:t>
      </w:r>
      <w:r w:rsidRPr="00270D41">
        <w:rPr>
          <w:rFonts w:eastAsiaTheme="minorEastAsia"/>
        </w:rPr>
        <w:t>.</w:t>
      </w:r>
      <w:r w:rsidR="00BE3EC4">
        <w:rPr>
          <w:rFonts w:eastAsiaTheme="minorEastAsia"/>
        </w:rPr>
        <w:t xml:space="preserve"> </w:t>
      </w:r>
      <w:r w:rsidRPr="00270D41">
        <w:rPr>
          <w:rFonts w:eastAsiaTheme="minorEastAsia"/>
        </w:rPr>
        <w:t xml:space="preserve">Although frogs could recover from </w:t>
      </w:r>
      <w:r w:rsidR="001D4E10">
        <w:rPr>
          <w:rFonts w:eastAsiaTheme="minorEastAsia"/>
        </w:rPr>
        <w:t>c</w:t>
      </w:r>
      <w:r w:rsidRPr="00270D41">
        <w:rPr>
          <w:rFonts w:eastAsiaTheme="minorEastAsia"/>
        </w:rPr>
        <w:t>hytrid</w:t>
      </w:r>
      <w:r w:rsidR="00F20D9F">
        <w:rPr>
          <w:rFonts w:eastAsiaTheme="minorEastAsia"/>
        </w:rPr>
        <w:t>iomycosis</w:t>
      </w:r>
      <w:r w:rsidRPr="00270D41">
        <w:rPr>
          <w:rFonts w:eastAsiaTheme="minorEastAsia"/>
        </w:rPr>
        <w:t xml:space="preserve"> if their temperature exceeded this threshold, this did not occur deterministically </w:t>
      </w:r>
      <w:r w:rsidR="00AC0EE4">
        <w:rPr>
          <w:rFonts w:eastAsiaTheme="minorEastAsia"/>
        </w:rPr>
        <w:t xml:space="preserve">because </w:t>
      </w:r>
      <w:r w:rsidRPr="00270D41">
        <w:rPr>
          <w:rFonts w:eastAsiaTheme="minorEastAsia"/>
        </w:rPr>
        <w:t>recovery rate was a stochastic process dependent on the mean time to recovery</w:t>
      </w:r>
      <w:r w:rsidR="00AC0EE4">
        <w:rPr>
          <w:rFonts w:eastAsiaTheme="minorEastAsia"/>
        </w:rPr>
        <w:t xml:space="preserve"> (</w:t>
      </w:r>
      <w:r w:rsidRPr="00270D41">
        <w:rPr>
          <w:rFonts w:eastAsiaTheme="minorEastAsia"/>
        </w:rPr>
        <w:t xml:space="preserve">which was set at </w:t>
      </w:r>
      <w:r w:rsidR="000E6B55">
        <w:rPr>
          <w:rFonts w:eastAsiaTheme="minorEastAsia"/>
        </w:rPr>
        <w:t>27</w:t>
      </w:r>
      <w:r w:rsidRPr="00270D41">
        <w:rPr>
          <w:rFonts w:eastAsiaTheme="minorEastAsia"/>
        </w:rPr>
        <w:t xml:space="preserve"> days</w:t>
      </w:r>
      <w:r w:rsidR="00AC0EE4">
        <w:rPr>
          <w:rFonts w:eastAsiaTheme="minorEastAsia"/>
        </w:rPr>
        <w:t>)</w:t>
      </w:r>
      <w:r w:rsidRPr="00270D41">
        <w:rPr>
          <w:rFonts w:eastAsiaTheme="minorEastAsia"/>
        </w:rPr>
        <w:t xml:space="preserve">. </w:t>
      </w:r>
      <w:r w:rsidR="00AC0EE4">
        <w:rPr>
          <w:rFonts w:eastAsiaTheme="minorEastAsia"/>
        </w:rPr>
        <w:t>Therefore</w:t>
      </w:r>
      <w:r w:rsidRPr="00270D41">
        <w:rPr>
          <w:rFonts w:eastAsiaTheme="minorEastAsia"/>
        </w:rPr>
        <w:t xml:space="preserve">, on average, frogs needed to spend around this length of time above the temperature threshold </w:t>
      </w:r>
      <w:proofErr w:type="gramStart"/>
      <w:r w:rsidRPr="00270D41">
        <w:rPr>
          <w:rFonts w:eastAsiaTheme="minorEastAsia"/>
        </w:rPr>
        <w:t>in order to</w:t>
      </w:r>
      <w:proofErr w:type="gramEnd"/>
      <w:r w:rsidRPr="00270D41">
        <w:rPr>
          <w:rFonts w:eastAsiaTheme="minorEastAsia"/>
        </w:rPr>
        <w:t xml:space="preserve"> have a high probability of recovery. </w:t>
      </w:r>
    </w:p>
    <w:p w14:paraId="72AEE174" w14:textId="20B520E6" w:rsidR="00D601B9" w:rsidRPr="00BD12AF" w:rsidRDefault="00C516DD" w:rsidP="005C09C6">
      <w:pPr>
        <w:rPr>
          <w:rFonts w:eastAsiaTheme="minorEastAsia"/>
        </w:rPr>
      </w:pPr>
      <w:r w:rsidRPr="00270D41">
        <w:rPr>
          <w:rFonts w:eastAsiaTheme="minorEastAsia"/>
        </w:rPr>
        <w:t>Other critical processes included in the model structure related to rate of zoospore growth on individuals and its dependence of frog temperature</w:t>
      </w:r>
      <w:r w:rsidR="00AC0EE4">
        <w:rPr>
          <w:rFonts w:eastAsiaTheme="minorEastAsia"/>
        </w:rPr>
        <w:t>,</w:t>
      </w:r>
      <w:r w:rsidRPr="00270D41">
        <w:rPr>
          <w:rFonts w:eastAsiaTheme="minorEastAsia"/>
        </w:rPr>
        <w:t xml:space="preserve"> as well as the relationship between zoospore loads and frog mortality rates.</w:t>
      </w:r>
      <w:r w:rsidR="00BE3EC4">
        <w:rPr>
          <w:rFonts w:eastAsiaTheme="minorEastAsia"/>
        </w:rPr>
        <w:t xml:space="preserve"> </w:t>
      </w:r>
      <w:r w:rsidRPr="00270D41">
        <w:rPr>
          <w:rFonts w:eastAsiaTheme="minorEastAsia"/>
        </w:rPr>
        <w:t>Non-linear relationships were assumed between maximum zoospore loads and frog temperatures</w:t>
      </w:r>
      <w:r w:rsidR="00AC0EE4">
        <w:rPr>
          <w:rFonts w:eastAsiaTheme="minorEastAsia"/>
        </w:rPr>
        <w:t>,</w:t>
      </w:r>
      <w:r w:rsidRPr="00270D41">
        <w:rPr>
          <w:rFonts w:eastAsiaTheme="minorEastAsia"/>
        </w:rPr>
        <w:t xml:space="preserve"> with frog mortality from </w:t>
      </w:r>
      <w:r w:rsidR="001D4E10">
        <w:rPr>
          <w:rFonts w:eastAsiaTheme="minorEastAsia"/>
        </w:rPr>
        <w:t>c</w:t>
      </w:r>
      <w:r w:rsidRPr="00270D41">
        <w:rPr>
          <w:rFonts w:eastAsiaTheme="minorEastAsia"/>
        </w:rPr>
        <w:t>hytrid</w:t>
      </w:r>
      <w:r w:rsidR="00F20D9F">
        <w:rPr>
          <w:rFonts w:eastAsiaTheme="minorEastAsia"/>
        </w:rPr>
        <w:t>iomycosis</w:t>
      </w:r>
      <w:r w:rsidRPr="00270D41">
        <w:rPr>
          <w:rFonts w:eastAsiaTheme="minorEastAsia"/>
        </w:rPr>
        <w:t xml:space="preserve"> dependent on a threshold zoospore load.</w:t>
      </w:r>
      <w:r w:rsidR="00BE3EC4">
        <w:rPr>
          <w:rFonts w:eastAsiaTheme="minorEastAsia"/>
        </w:rPr>
        <w:t xml:space="preserve"> </w:t>
      </w:r>
      <w:r w:rsidRPr="00270D41">
        <w:rPr>
          <w:rFonts w:eastAsiaTheme="minorEastAsia"/>
        </w:rPr>
        <w:t xml:space="preserve">Maximum zoospore loads and frog temperatures were mostly based on Waddle </w:t>
      </w:r>
      <w:r w:rsidRPr="00DA5824">
        <w:rPr>
          <w:rFonts w:eastAsiaTheme="minorEastAsia"/>
        </w:rPr>
        <w:t>et al</w:t>
      </w:r>
      <w:r w:rsidR="001A7CB3" w:rsidRPr="00AC0EE4">
        <w:rPr>
          <w:rFonts w:eastAsiaTheme="minorEastAsia"/>
        </w:rPr>
        <w:t>.</w:t>
      </w:r>
      <w:r w:rsidRPr="00270D41">
        <w:rPr>
          <w:rFonts w:eastAsiaTheme="minorEastAsia"/>
        </w:rPr>
        <w:t xml:space="preserve"> (2024)</w:t>
      </w:r>
      <w:r w:rsidR="00AC0EE4">
        <w:rPr>
          <w:rFonts w:eastAsiaTheme="minorEastAsia"/>
        </w:rPr>
        <w:t xml:space="preserve">, </w:t>
      </w:r>
      <w:r w:rsidRPr="00270D41">
        <w:rPr>
          <w:rFonts w:eastAsiaTheme="minorEastAsia"/>
        </w:rPr>
        <w:t xml:space="preserve">while threshold zoospore loads initiating </w:t>
      </w:r>
      <w:r w:rsidR="001D4E10">
        <w:rPr>
          <w:rFonts w:eastAsiaTheme="minorEastAsia"/>
        </w:rPr>
        <w:t>c</w:t>
      </w:r>
      <w:r w:rsidRPr="00270D41">
        <w:rPr>
          <w:rFonts w:eastAsiaTheme="minorEastAsia"/>
        </w:rPr>
        <w:t>hytrid</w:t>
      </w:r>
      <w:r w:rsidR="00F20D9F">
        <w:rPr>
          <w:rFonts w:eastAsiaTheme="minorEastAsia"/>
        </w:rPr>
        <w:t xml:space="preserve">iomycosis </w:t>
      </w:r>
      <w:r w:rsidRPr="00270D41">
        <w:rPr>
          <w:rFonts w:eastAsiaTheme="minorEastAsia"/>
        </w:rPr>
        <w:t xml:space="preserve">mortality were also based on published estimates </w:t>
      </w:r>
      <w:r w:rsidRPr="00270D41">
        <w:rPr>
          <w:rFonts w:eastAsiaTheme="minorEastAsia"/>
        </w:rPr>
        <w:fldChar w:fldCharType="begin"/>
      </w:r>
      <w:r w:rsidR="009F541F">
        <w:rPr>
          <w:rFonts w:eastAsiaTheme="minorEastAsia"/>
        </w:rPr>
        <w:instrText xml:space="preserve"> ADDIN ZOTERO_ITEM CSL_CITATION {"citationID":"4zRbwHcH","properties":{"formattedCitation":"(Vredenburg {\\i{}et al.} 2010; Kinney {\\i{}et al.} 2011)","plainCitation":"(Vredenburg et al. 2010; Kinney et al. 2011)","noteIndex":0},"citationItems":[{"id":2807,"uris":["http://zotero.org/users/634364/items/M9E3T58H","http://zotero.org/users/634364/items/ARVEEZWS"],"itemData":{"id":2807,"type":"article-journal","container-title":"Proceedings of the National Academy of Sciences","ISSN":"0027-8424","issue":"21","note":"Citation Key: RN1418","page":"9689-9694","title":"Dynamics of an emerging disease drive large-scale amphibian population extinctions","volume":"107","author":[{"family":"Vredenburg","given":"Vance T"},{"family":"Knapp","given":"Roland A"},{"family":"Tunstall","given":"Tate S"},{"family":"Briggs","given":"Cheryl J"}],"issued":{"date-parts":[["2010"]]}}},{"id":9591,"uris":["http://zotero.org/users/634364/items/E2SUQXYQ"],"itemData":{"id":9591,"type":"article-journal","abstract":"To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J."}],"editor":[{"family":"Nielsen","given":"Kirsten"}],"issued":{"date-parts":[["2011",3,10]]}}}],"schema":"https://github.com/citation-style-language/schema/raw/master/csl-citation.json"} </w:instrText>
      </w:r>
      <w:r w:rsidRPr="00270D41">
        <w:rPr>
          <w:rFonts w:eastAsiaTheme="minorEastAsia"/>
        </w:rPr>
        <w:fldChar w:fldCharType="separate"/>
      </w:r>
      <w:r w:rsidR="009F541F" w:rsidRPr="009F541F">
        <w:t xml:space="preserve">(Vredenburg </w:t>
      </w:r>
      <w:r w:rsidR="009F541F" w:rsidRPr="00DA5824">
        <w:t>et al.</w:t>
      </w:r>
      <w:r w:rsidR="009F541F" w:rsidRPr="00AC0EE4">
        <w:t xml:space="preserve"> 2010; Kinney </w:t>
      </w:r>
      <w:r w:rsidR="009F541F" w:rsidRPr="00DA5824">
        <w:t>et al.</w:t>
      </w:r>
      <w:r w:rsidR="009F541F" w:rsidRPr="00AC0EE4">
        <w:t xml:space="preserve"> 2011)</w:t>
      </w:r>
      <w:r w:rsidRPr="00270D41">
        <w:rPr>
          <w:rFonts w:eastAsiaTheme="minorEastAsia"/>
        </w:rPr>
        <w:fldChar w:fldCharType="end"/>
      </w:r>
      <w:r w:rsidRPr="00270D41">
        <w:rPr>
          <w:rFonts w:eastAsiaTheme="minorEastAsia"/>
        </w:rPr>
        <w:t>.</w:t>
      </w:r>
      <w:r w:rsidR="00BE3EC4">
        <w:rPr>
          <w:rFonts w:eastAsiaTheme="minorEastAsia"/>
        </w:rPr>
        <w:t xml:space="preserve"> </w:t>
      </w:r>
      <w:r w:rsidRPr="00270D41">
        <w:rPr>
          <w:rFonts w:eastAsiaTheme="minorEastAsia"/>
        </w:rPr>
        <w:t>The zoospore growth relationships used in the current model were deterministic</w:t>
      </w:r>
      <w:r w:rsidR="00AC0EE4">
        <w:rPr>
          <w:rFonts w:eastAsiaTheme="minorEastAsia"/>
        </w:rPr>
        <w:t>;</w:t>
      </w:r>
      <w:r w:rsidRPr="00270D41">
        <w:rPr>
          <w:rFonts w:eastAsiaTheme="minorEastAsia"/>
        </w:rPr>
        <w:t xml:space="preserve"> however, these could easily be represented as random variables based on studies documenting individual variation on zoospore growth rates and temperature </w:t>
      </w:r>
      <w:r w:rsidRPr="00270D41">
        <w:rPr>
          <w:rFonts w:eastAsiaTheme="minorEastAsia"/>
        </w:rPr>
        <w:fldChar w:fldCharType="begin"/>
      </w:r>
      <w:r w:rsidR="009F541F">
        <w:rPr>
          <w:rFonts w:eastAsiaTheme="minorEastAsia"/>
        </w:rPr>
        <w:instrText xml:space="preserve"> ADDIN ZOTERO_ITEM CSL_CITATION {"citationID":"81GAlJzE","properties":{"formattedCitation":"(e.g., Waddle {\\i{}et al.} 2024)","plainCitation":"(e.g., 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F."},{"family":"Shine","given":"Richard"}],"issued":{"date-parts":[["2024",7,11]]}},"label":"page","prefix":"e.g.,  "}],"schema":"https://github.com/citation-style-language/schema/raw/master/csl-citation.json"} </w:instrText>
      </w:r>
      <w:r w:rsidRPr="00270D41">
        <w:rPr>
          <w:rFonts w:eastAsiaTheme="minorEastAsia"/>
        </w:rPr>
        <w:fldChar w:fldCharType="separate"/>
      </w:r>
      <w:r w:rsidR="009F541F" w:rsidRPr="009F541F">
        <w:t>(</w:t>
      </w:r>
      <w:r w:rsidR="005B24DC">
        <w:t xml:space="preserve">e.g. </w:t>
      </w:r>
      <w:r w:rsidR="009F541F" w:rsidRPr="009F541F">
        <w:t xml:space="preserve">Waddle </w:t>
      </w:r>
      <w:r w:rsidR="009F541F" w:rsidRPr="00DA5824">
        <w:t>et al.</w:t>
      </w:r>
      <w:r w:rsidR="009F541F" w:rsidRPr="00AC0EE4">
        <w:t xml:space="preserve"> </w:t>
      </w:r>
      <w:r w:rsidR="009F541F" w:rsidRPr="009F541F">
        <w:t>2024)</w:t>
      </w:r>
      <w:r w:rsidRPr="00270D41">
        <w:rPr>
          <w:rFonts w:eastAsiaTheme="minorEastAsia"/>
        </w:rPr>
        <w:fldChar w:fldCharType="end"/>
      </w:r>
      <w:r w:rsidRPr="00270D41">
        <w:rPr>
          <w:rFonts w:eastAsiaTheme="minorEastAsia"/>
        </w:rPr>
        <w:t>.</w:t>
      </w:r>
      <w:r w:rsidR="00BE3EC4">
        <w:rPr>
          <w:rFonts w:eastAsiaTheme="minorEastAsia"/>
        </w:rPr>
        <w:t xml:space="preserve"> </w:t>
      </w:r>
      <w:r w:rsidRPr="00270D41">
        <w:rPr>
          <w:rFonts w:eastAsiaTheme="minorEastAsia"/>
        </w:rPr>
        <w:t>In addition, it is suggested that alternative relationships between zoospore growth on individuals and frog body temperatures could also be explored to determine the sensitivity of our model results to different functional forms for these relationships</w:t>
      </w:r>
      <w:r w:rsidRPr="00C516DD">
        <w:t>.</w:t>
      </w:r>
    </w:p>
    <w:p w14:paraId="2CA30D48" w14:textId="60546E36" w:rsidR="00980E26" w:rsidRPr="00243764" w:rsidRDefault="005B531E" w:rsidP="004A4A5B">
      <w:pPr>
        <w:pStyle w:val="Heading1-Numbered"/>
      </w:pPr>
      <w:r w:rsidRPr="00BD12AF">
        <w:br w:type="page"/>
      </w:r>
      <w:bookmarkStart w:id="114" w:name="_Toc196540910"/>
      <w:bookmarkStart w:id="115" w:name="_Toc286018775"/>
      <w:bookmarkStart w:id="116" w:name="_Toc409798435"/>
      <w:bookmarkStart w:id="117" w:name="_Toc198634116"/>
      <w:bookmarkEnd w:id="71"/>
      <w:bookmarkEnd w:id="72"/>
      <w:bookmarkEnd w:id="73"/>
      <w:r w:rsidR="00980E26" w:rsidRPr="00243764">
        <w:t>Discussion</w:t>
      </w:r>
      <w:bookmarkEnd w:id="114"/>
      <w:bookmarkEnd w:id="115"/>
      <w:bookmarkEnd w:id="116"/>
      <w:bookmarkEnd w:id="117"/>
    </w:p>
    <w:p w14:paraId="3B12E2E0" w14:textId="4C963D1E" w:rsidR="0080583D" w:rsidRDefault="005030F6" w:rsidP="00107132">
      <w:pPr>
        <w:pStyle w:val="Heading2-Numbered"/>
      </w:pPr>
      <w:bookmarkStart w:id="118" w:name="_Toc198634117"/>
      <w:r>
        <w:t xml:space="preserve">General </w:t>
      </w:r>
      <w:r w:rsidR="001B1769">
        <w:t>c</w:t>
      </w:r>
      <w:r>
        <w:t>ommentary</w:t>
      </w:r>
      <w:bookmarkEnd w:id="118"/>
    </w:p>
    <w:p w14:paraId="7E168A06" w14:textId="0F63ECF7" w:rsidR="00107132" w:rsidRDefault="00107132" w:rsidP="00107132">
      <w:r>
        <w:t>The</w:t>
      </w:r>
      <w:r w:rsidR="000B189A">
        <w:t xml:space="preserve"> first component of this study involved using the</w:t>
      </w:r>
      <w:r>
        <w:t xml:space="preserve"> </w:t>
      </w:r>
      <w:r w:rsidR="001B1769">
        <w:t>W</w:t>
      </w:r>
      <w:r>
        <w:t>DRA methodology</w:t>
      </w:r>
      <w:r w:rsidR="000B189A">
        <w:t xml:space="preserve"> to identify </w:t>
      </w:r>
      <w:r w:rsidR="005073B6">
        <w:t>a suite of wildlife diseases that represent threats to the conservation</w:t>
      </w:r>
      <w:r w:rsidR="00525B59">
        <w:t xml:space="preserve"> </w:t>
      </w:r>
      <w:r w:rsidR="005073B6">
        <w:t>of wildlife in Victoria, and t</w:t>
      </w:r>
      <w:r w:rsidR="0073489A">
        <w:t>o</w:t>
      </w:r>
      <w:r w:rsidR="005073B6">
        <w:t xml:space="preserve"> the</w:t>
      </w:r>
      <w:r w:rsidR="0073489A">
        <w:t xml:space="preserve"> </w:t>
      </w:r>
      <w:r w:rsidR="005073B6">
        <w:t>state</w:t>
      </w:r>
      <w:r w:rsidR="0073489A">
        <w:t>’</w:t>
      </w:r>
      <w:r w:rsidR="005073B6">
        <w:t xml:space="preserve">s economy. </w:t>
      </w:r>
      <w:r w:rsidR="0073489A">
        <w:t>In most cases, the disease</w:t>
      </w:r>
      <w:r w:rsidR="00525B59">
        <w:t>s</w:t>
      </w:r>
      <w:r w:rsidR="0073489A">
        <w:t xml:space="preserve"> that were identified as being extreme or high risks were</w:t>
      </w:r>
      <w:r w:rsidR="00C5642F">
        <w:t xml:space="preserve"> already well-recognised for their conservation or economic impacts</w:t>
      </w:r>
      <w:r w:rsidR="00605D7C">
        <w:t xml:space="preserve"> on Victorian wildlife </w:t>
      </w:r>
      <w:r w:rsidR="00614962">
        <w:t>or domestic livestock</w:t>
      </w:r>
      <w:r w:rsidR="00605D7C">
        <w:t xml:space="preserve">. The qualitative </w:t>
      </w:r>
      <w:r w:rsidR="00E459DF">
        <w:t>risk assessments</w:t>
      </w:r>
      <w:r w:rsidR="00605D7C">
        <w:t xml:space="preserve"> that we have </w:t>
      </w:r>
      <w:r w:rsidR="00E459DF">
        <w:t>under</w:t>
      </w:r>
      <w:r w:rsidR="00605D7C">
        <w:t>taken here w</w:t>
      </w:r>
      <w:r w:rsidR="00E459DF">
        <w:t>ere</w:t>
      </w:r>
      <w:r w:rsidR="00605D7C">
        <w:t xml:space="preserve"> conducted </w:t>
      </w:r>
      <w:proofErr w:type="gramStart"/>
      <w:r w:rsidR="00605D7C">
        <w:t>on the basis of</w:t>
      </w:r>
      <w:proofErr w:type="gramEnd"/>
      <w:r w:rsidR="00605D7C">
        <w:t xml:space="preserve"> existing </w:t>
      </w:r>
      <w:r w:rsidR="001738E5">
        <w:t xml:space="preserve">published data and expert </w:t>
      </w:r>
      <w:proofErr w:type="gramStart"/>
      <w:r w:rsidR="001738E5">
        <w:t>opinion</w:t>
      </w:r>
      <w:r w:rsidR="001B1769">
        <w:t xml:space="preserve">, </w:t>
      </w:r>
      <w:r w:rsidR="001738E5">
        <w:t>and</w:t>
      </w:r>
      <w:proofErr w:type="gramEnd"/>
      <w:r w:rsidR="001738E5">
        <w:t xml:space="preserve"> </w:t>
      </w:r>
      <w:r w:rsidR="00605D7C">
        <w:t xml:space="preserve">provides a sound basis </w:t>
      </w:r>
      <w:r w:rsidR="001738E5">
        <w:t>for identifying and prioritising currently know</w:t>
      </w:r>
      <w:r w:rsidR="00FF2EB0">
        <w:t>n</w:t>
      </w:r>
      <w:r w:rsidR="001738E5">
        <w:t xml:space="preserve"> disease risks. </w:t>
      </w:r>
      <w:r w:rsidR="000D2740">
        <w:t xml:space="preserve">However, it is important to recognise that </w:t>
      </w:r>
      <w:r w:rsidR="00820F65">
        <w:t>this</w:t>
      </w:r>
      <w:r w:rsidR="000D2740">
        <w:t xml:space="preserve"> approach is inherently opinion-based, </w:t>
      </w:r>
      <w:r w:rsidR="0012344E">
        <w:t xml:space="preserve">which </w:t>
      </w:r>
      <w:r w:rsidR="00FC70C7">
        <w:t xml:space="preserve">means that it may underestimate the impacts of poorly known </w:t>
      </w:r>
      <w:proofErr w:type="gramStart"/>
      <w:r w:rsidR="00E1274C">
        <w:t>diseases</w:t>
      </w:r>
      <w:r w:rsidR="001B1769">
        <w:t>,</w:t>
      </w:r>
      <w:r w:rsidR="00E1274C">
        <w:t xml:space="preserve"> or</w:t>
      </w:r>
      <w:proofErr w:type="gramEnd"/>
      <w:r w:rsidR="00FC70C7">
        <w:t xml:space="preserve"> may incorrectly rank the </w:t>
      </w:r>
      <w:r w:rsidR="006F6BE8">
        <w:t xml:space="preserve">relative risks of diseases due to incomplete or </w:t>
      </w:r>
      <w:r w:rsidR="00E1274C">
        <w:t>incorrect</w:t>
      </w:r>
      <w:r w:rsidR="006F6BE8">
        <w:t xml:space="preserve"> knowledge.</w:t>
      </w:r>
      <w:r w:rsidR="00E254B1">
        <w:t xml:space="preserve"> </w:t>
      </w:r>
      <w:r w:rsidR="0042555F">
        <w:t xml:space="preserve">One thing to note is that each taxon group was assessed separately by different experts with different levels of information available and </w:t>
      </w:r>
      <w:r w:rsidR="00E459DF">
        <w:t>thus,</w:t>
      </w:r>
      <w:r w:rsidR="0042555F">
        <w:t xml:space="preserve"> may not be directly comparable. </w:t>
      </w:r>
      <w:r w:rsidR="00E459DF">
        <w:t>Hence,</w:t>
      </w:r>
      <w:r w:rsidR="0042555F">
        <w:t xml:space="preserve"> these assessments are most useful for prioritising risks within vertebrate groups. </w:t>
      </w:r>
      <w:r w:rsidR="00E254B1">
        <w:t>It is also not possible to predict risks associated with unknown disease hazards (i.e. Disease X).</w:t>
      </w:r>
      <w:r w:rsidR="006F6BE8">
        <w:t xml:space="preserve"> Ongoing re-assessment </w:t>
      </w:r>
      <w:proofErr w:type="gramStart"/>
      <w:r w:rsidR="00A865C6">
        <w:t>in light of</w:t>
      </w:r>
      <w:proofErr w:type="gramEnd"/>
      <w:r w:rsidR="00A865C6">
        <w:t xml:space="preserve"> new knowledge will be essential for maintaining the currency and usefulness of the </w:t>
      </w:r>
      <w:r w:rsidR="001B1769">
        <w:t>W</w:t>
      </w:r>
      <w:r w:rsidR="00A865C6">
        <w:t xml:space="preserve">DRA. </w:t>
      </w:r>
    </w:p>
    <w:p w14:paraId="5DDAC51E" w14:textId="378E61A8" w:rsidR="00A865C6" w:rsidRDefault="00AE7276" w:rsidP="00107132">
      <w:r>
        <w:t>T</w:t>
      </w:r>
      <w:r w:rsidRPr="00AE7276">
        <w:t>he second component of this</w:t>
      </w:r>
      <w:r>
        <w:t xml:space="preserve"> study</w:t>
      </w:r>
      <w:r w:rsidRPr="00AE7276">
        <w:t xml:space="preserve"> </w:t>
      </w:r>
      <w:r>
        <w:t>involve</w:t>
      </w:r>
      <w:r w:rsidR="000B189A">
        <w:t xml:space="preserve">d </w:t>
      </w:r>
      <w:r w:rsidR="007C3233" w:rsidRPr="007C3233">
        <w:t xml:space="preserve">using </w:t>
      </w:r>
      <w:r w:rsidR="00DF502F">
        <w:t>epidemiological</w:t>
      </w:r>
      <w:r w:rsidR="007C3233" w:rsidRPr="007C3233">
        <w:t xml:space="preserve"> modelling</w:t>
      </w:r>
      <w:r w:rsidR="007C3233">
        <w:t xml:space="preserve"> to undertake </w:t>
      </w:r>
      <w:r w:rsidR="000B189A">
        <w:t>a</w:t>
      </w:r>
      <w:r>
        <w:t xml:space="preserve"> m</w:t>
      </w:r>
      <w:r w:rsidR="00A865C6">
        <w:t xml:space="preserve">ore detailed </w:t>
      </w:r>
      <w:r w:rsidR="007C3233">
        <w:t xml:space="preserve">examination </w:t>
      </w:r>
      <w:r w:rsidR="00A865C6">
        <w:t xml:space="preserve">of certain high-risk </w:t>
      </w:r>
      <w:proofErr w:type="gramStart"/>
      <w:r w:rsidR="00A865C6">
        <w:t>diseases</w:t>
      </w:r>
      <w:r w:rsidR="007C3233">
        <w:t>,</w:t>
      </w:r>
      <w:r w:rsidR="00A865C6">
        <w:t xml:space="preserve"> </w:t>
      </w:r>
      <w:r w:rsidR="000B189A">
        <w:t>and</w:t>
      </w:r>
      <w:proofErr w:type="gramEnd"/>
      <w:r w:rsidR="00A865C6">
        <w:t xml:space="preserve"> </w:t>
      </w:r>
      <w:r w:rsidR="00692DB5">
        <w:t>provide</w:t>
      </w:r>
      <w:r w:rsidR="000B189A">
        <w:t>d</w:t>
      </w:r>
      <w:r w:rsidR="00692DB5">
        <w:t xml:space="preserve"> a far more focussed and data-driven assessment of risks</w:t>
      </w:r>
      <w:r w:rsidR="00912E96">
        <w:t xml:space="preserve"> and impacts</w:t>
      </w:r>
      <w:r w:rsidR="007C3233">
        <w:t xml:space="preserve">, </w:t>
      </w:r>
      <w:r w:rsidR="00692DB5">
        <w:t xml:space="preserve">and of the effectiveness of selected mitigation measures. The power of this approach </w:t>
      </w:r>
      <w:r w:rsidR="008F6194">
        <w:t>was demonstrated by the insights that the modelling provided into the effectiveness of various mitigation measures</w:t>
      </w:r>
      <w:r w:rsidR="00472A62">
        <w:t>, as well as through exploration</w:t>
      </w:r>
      <w:r w:rsidR="00615F7C">
        <w:t>s</w:t>
      </w:r>
      <w:r w:rsidR="00472A62">
        <w:t xml:space="preserve"> of the sensitivity of the modelling results to </w:t>
      </w:r>
      <w:r w:rsidR="00615F7C">
        <w:t xml:space="preserve">key </w:t>
      </w:r>
      <w:r w:rsidR="00472A62">
        <w:t xml:space="preserve">uncertainties. </w:t>
      </w:r>
      <w:r w:rsidR="00FE2D07">
        <w:t>The modelling framework proved to be adaptable to a wide variety of different diseases and mitigation measures</w:t>
      </w:r>
      <w:r w:rsidR="00EB304C">
        <w:t>,</w:t>
      </w:r>
      <w:r w:rsidR="00452364">
        <w:t xml:space="preserve"> meaning that it could be readily applied to other high priority diseases risks, or to provide insight into the effectiveness of additional mitigation approaches that may become available in the future. </w:t>
      </w:r>
      <w:r w:rsidR="008E1A85">
        <w:t>As arrival</w:t>
      </w:r>
      <w:r w:rsidR="006073F4">
        <w:t xml:space="preserve"> or emergence of new wildlife disease threats is a near-certainty</w:t>
      </w:r>
      <w:r w:rsidR="00F6662B">
        <w:t xml:space="preserve"> </w:t>
      </w:r>
      <w:r w:rsidR="00F6662B">
        <w:fldChar w:fldCharType="begin"/>
      </w:r>
      <w:r w:rsidR="009F541F">
        <w:instrText xml:space="preserve"> ADDIN ZOTERO_ITEM CSL_CITATION {"citationID":"12syJFFK","properties":{"formattedCitation":"(Daszak {\\i{}et al.} 2000; Cunningham {\\i{}et al.} 2017)","plainCitation":"(Daszak et al. 2000; Cunningham et al. 2017)","noteIndex":0},"citationItems":[{"id":3644,"uris":["http://zotero.org/users/634364/items/BBRACBHK"],"itemData":{"id":3644,"type":"article-journal","container-title":"Science","ISSN":"00368075","issue":"5452","note":"Citation Key: RN569","page":"443-449","title":"Emerging Infectious diseases of wildlife-threats to biodiversity and human health","volume":"287","author":[{"family":"Daszak","given":"Peter"},{"family":"Cunningham","given":"Andrew A"},{"family":"Hyatt","given":"Alex D"}],"issued":{"date-parts":[["2000"]]}}},{"id":9693,"uris":["http://zotero.org/users/634364/items/A9PXFBI4"],"itemData":{"id":9693,"type":"article-journal","abstract":"Infectious diseases affect people, domestic animals and wildlife alike, with many pathogens being able to infect multiple species. Fifty years ago, following the wide-scale manufacture and use of antibiotics and vaccines, it seemed that the battle against infections was being won for the human population. Since then, however, and in addition to increasing antimicrobial resistance among bacterial pathogens, there has been an increase in the emergence of, mostly viral, zoonotic diseases from wildlife, sometimes causing fatal outbreaks of epidemic proportions. Concurrently, infectious disease has been identified as an increasing threat to wildlife conservation. A synthesis published in 2000 showed common anthropogenic drivers of disease threats to biodiversity and human health, including encroachment and destruction of wildlife habitat and the human-assisted spread of pathogens. Almost two decades later, the situation has not changed and, despite improved knowledge of the underlying causes, little has been done at the policy level to address these threats. For the sake of public health and wellbeing, human-kind needs to work better to conserve nature and preserve the ecosystem services, including disease regulation, that biodiversity provides while also understanding and mitigating activities which lead to disease emergence. We consider that holistic, One Health approaches to the management and mitigation of the risks of emerging infectious diseases have the greatest chance of success.\n            This article is part of the themed issue ‘One Health for a changing world: zoonoses, ecosystems and human well-being’.","container-title":"Philosophical Transactions of the Royal Society B: Biological Sciences","DOI":"10.1098/rstb.2016.0167","ISSN":"0962-8436, 1471-2970","issue":"1725","journalAbbreviation":"Phil. Trans. R. Soc. B","language":"en","page":"20160167","source":"DOI.org (Crossref)","title":"One Health, emerging infectious diseases and wildlife: two decades of progress?","title-short":"One Health, emerging infectious diseases and wildlife","volume":"372","author":[{"family":"Cunningham","given":"Andrew A."},{"family":"Daszak","given":"Peter"},{"family":"Wood","given":"James L. N."}],"issued":{"date-parts":[["2017",7,19]]}}}],"schema":"https://github.com/citation-style-language/schema/raw/master/csl-citation.json"} </w:instrText>
      </w:r>
      <w:r w:rsidR="00F6662B">
        <w:fldChar w:fldCharType="separate"/>
      </w:r>
      <w:r w:rsidR="009F541F" w:rsidRPr="00EB304C">
        <w:t xml:space="preserve">(Daszak </w:t>
      </w:r>
      <w:r w:rsidR="009F541F" w:rsidRPr="00DA5824">
        <w:t>et al.</w:t>
      </w:r>
      <w:r w:rsidR="009F541F" w:rsidRPr="00EB304C">
        <w:t xml:space="preserve"> 2000; Cunningham </w:t>
      </w:r>
      <w:r w:rsidR="009F541F" w:rsidRPr="00DA5824">
        <w:t>et al.</w:t>
      </w:r>
      <w:r w:rsidR="009F541F" w:rsidRPr="00EB304C">
        <w:t xml:space="preserve"> </w:t>
      </w:r>
      <w:r w:rsidR="009F541F" w:rsidRPr="009F541F">
        <w:t>2017)</w:t>
      </w:r>
      <w:r w:rsidR="00F6662B">
        <w:fldChar w:fldCharType="end"/>
      </w:r>
      <w:r w:rsidR="008E5BD5">
        <w:t>,</w:t>
      </w:r>
      <w:r w:rsidR="00B664D1">
        <w:t xml:space="preserve"> the development of</w:t>
      </w:r>
      <w:r w:rsidR="006073F4">
        <w:t xml:space="preserve"> flexible modelling </w:t>
      </w:r>
      <w:r w:rsidR="00F44FCA">
        <w:t>approaches</w:t>
      </w:r>
      <w:r w:rsidR="006073F4">
        <w:t xml:space="preserve"> to guide </w:t>
      </w:r>
      <w:r w:rsidR="00B664D1">
        <w:t xml:space="preserve">response planning </w:t>
      </w:r>
      <w:r w:rsidR="00DB113C">
        <w:t xml:space="preserve">for </w:t>
      </w:r>
      <w:r w:rsidR="00040060">
        <w:t xml:space="preserve">current and future disease threats </w:t>
      </w:r>
      <w:r w:rsidR="0045455F">
        <w:t xml:space="preserve">is a </w:t>
      </w:r>
      <w:r w:rsidR="00116ED6">
        <w:t>durable</w:t>
      </w:r>
      <w:r w:rsidR="0045455F">
        <w:t xml:space="preserve"> achievement of this project. </w:t>
      </w:r>
    </w:p>
    <w:p w14:paraId="1E320BCF" w14:textId="62F70F4D" w:rsidR="00CD6AD4" w:rsidRDefault="00136DAC" w:rsidP="00107132">
      <w:pPr>
        <w:pStyle w:val="Heading3-Numbered"/>
      </w:pPr>
      <w:bookmarkStart w:id="119" w:name="_Toc198634118"/>
      <w:r>
        <w:t xml:space="preserve">WDRA results: </w:t>
      </w:r>
      <w:r w:rsidR="00CD6AD4">
        <w:t>Conservation</w:t>
      </w:r>
      <w:r w:rsidR="0089332D">
        <w:t xml:space="preserve"> risks</w:t>
      </w:r>
      <w:bookmarkEnd w:id="119"/>
      <w:r w:rsidR="0089332D">
        <w:t xml:space="preserve"> </w:t>
      </w:r>
    </w:p>
    <w:p w14:paraId="409A2A93" w14:textId="5937FA03" w:rsidR="00124582" w:rsidRDefault="00CD6AD4" w:rsidP="00DC3852">
      <w:r w:rsidRPr="00782B58">
        <w:t xml:space="preserve">A relatively small number of diseases were identified as representing </w:t>
      </w:r>
      <w:r w:rsidR="00E776DA">
        <w:t>E</w:t>
      </w:r>
      <w:r w:rsidRPr="00782B58">
        <w:t xml:space="preserve">xtreme or </w:t>
      </w:r>
      <w:r w:rsidR="00E776DA">
        <w:t>H</w:t>
      </w:r>
      <w:r w:rsidRPr="00782B58">
        <w:t xml:space="preserve">igh risks to the conservation status of Victorian wildlife. </w:t>
      </w:r>
      <w:r w:rsidR="008505CA" w:rsidRPr="00782B58">
        <w:t xml:space="preserve">Among these diseases, several are already known to be present in Victoria and are recognised as </w:t>
      </w:r>
      <w:r w:rsidR="00124582">
        <w:t xml:space="preserve">existing </w:t>
      </w:r>
      <w:r w:rsidR="008505CA" w:rsidRPr="00782B58">
        <w:t xml:space="preserve">threatening processes for </w:t>
      </w:r>
      <w:r w:rsidR="008C3DEB" w:rsidRPr="00782B58">
        <w:t xml:space="preserve">various Victorian wildlife species. Foremost </w:t>
      </w:r>
      <w:r w:rsidR="0071491B">
        <w:t>among</w:t>
      </w:r>
      <w:r w:rsidR="00782B58">
        <w:t xml:space="preserve"> this</w:t>
      </w:r>
      <w:r w:rsidR="008C3DEB" w:rsidRPr="00782B58">
        <w:t xml:space="preserve"> category are </w:t>
      </w:r>
      <w:r w:rsidR="0071491B">
        <w:t xml:space="preserve">the </w:t>
      </w:r>
      <w:r w:rsidR="008C3DEB" w:rsidRPr="00782B58">
        <w:t>amphibian chytrid fungus</w:t>
      </w:r>
      <w:r w:rsidR="00782BE0">
        <w:t xml:space="preserve"> in frogs</w:t>
      </w:r>
      <w:r w:rsidR="0023440B" w:rsidRPr="00782B58">
        <w:t xml:space="preserve"> and </w:t>
      </w:r>
      <w:r w:rsidR="00C17323">
        <w:t>Beak and Feather Disease</w:t>
      </w:r>
      <w:r w:rsidR="00782BE0">
        <w:t xml:space="preserve"> in </w:t>
      </w:r>
      <w:r w:rsidR="005D00AA">
        <w:t>parrots</w:t>
      </w:r>
      <w:r w:rsidR="003D725B">
        <w:t xml:space="preserve"> (Skerratt et al. 2016; </w:t>
      </w:r>
      <w:proofErr w:type="spellStart"/>
      <w:r w:rsidR="003D725B">
        <w:t>Raidal</w:t>
      </w:r>
      <w:proofErr w:type="spellEnd"/>
      <w:r w:rsidR="003D725B">
        <w:t xml:space="preserve"> et al. 2015)</w:t>
      </w:r>
      <w:r w:rsidR="0023440B" w:rsidRPr="00782B58">
        <w:t>.</w:t>
      </w:r>
      <w:r w:rsidR="002839F8" w:rsidRPr="00782B58">
        <w:t xml:space="preserve"> </w:t>
      </w:r>
    </w:p>
    <w:p w14:paraId="4B522F17" w14:textId="7E75368B" w:rsidR="006C4F43" w:rsidRPr="00782B58" w:rsidRDefault="002839F8" w:rsidP="00DC3852">
      <w:r w:rsidRPr="00782B58">
        <w:t xml:space="preserve">The impacts of these diseases </w:t>
      </w:r>
      <w:r w:rsidR="00412E95" w:rsidRPr="00782B58">
        <w:t xml:space="preserve">on wildlife population have already manifested themselves in </w:t>
      </w:r>
      <w:r w:rsidR="00782B58">
        <w:t>Victoria</w:t>
      </w:r>
      <w:r w:rsidR="0019296F">
        <w:t xml:space="preserve"> in </w:t>
      </w:r>
      <w:r w:rsidR="00CD4C1A">
        <w:t xml:space="preserve">amphibians in </w:t>
      </w:r>
      <w:r w:rsidR="0019296F">
        <w:t xml:space="preserve">the form of </w:t>
      </w:r>
      <w:r w:rsidR="00EC0E66">
        <w:t>documented declines or local extinctions</w:t>
      </w:r>
      <w:r w:rsidR="00E8595C">
        <w:t xml:space="preserve"> </w:t>
      </w:r>
      <w:r w:rsidR="00774C67">
        <w:fldChar w:fldCharType="begin"/>
      </w:r>
      <w:r w:rsidR="009F541F">
        <w:instrText xml:space="preserve"> ADDIN ZOTERO_ITEM CSL_CITATION {"citationID":"5nNL49nl","properties":{"formattedCitation":"(e.g., Raidal {\\i{}et al.} 2015; Scheele {\\i{}et al.} 2019)","plainCitation":"(e.g., Raidal et al. 2015; Scheele et al. 2019)","noteIndex":0},"citationItems":[{"id":9675,"uris":["http://zotero.org/users/634364/items/QWQDVD6E"],"itemData":{"id":9675,"type":"article-journal","abstract":"Background\n              \n                Since it was first described in the early 1980s, psittacine beak and feather disease (PBFD) has become recognised as the dominant viral pathogen of psittacine birds in\n                Australia\n                . Our aim was to evaluate and review the effect of PBFD and its position as a key threatening process to\n                Australian\n                psittacine bird species. We review the origin/evolutionary pathways and potential threat of PBFD to endangered psittacine bird populations and captive</w:instrText>
      </w:r>
      <w:r w:rsidR="009F541F">
        <w:rPr>
          <w:rFonts w:ascii="Cambria Math" w:hAnsi="Cambria Math" w:cs="Cambria Math"/>
        </w:rPr>
        <w:instrText>‐</w:instrText>
      </w:r>
      <w:r w:rsidR="009F541F">
        <w:instrText>breeding flocks.\n              \n            \n            \n              Conclusions\n              \n                The most recent beak and feather disease virus (BFDV) phylogenetic analyses indicate that all endangered\n                Australian\n                psittacine bird species are susceptible to, and equally likely to be infected by, BFDV genotypes from a range of host psittacine species. Management of the disease in captive</w:instrText>
      </w:r>
      <w:r w:rsidR="009F541F">
        <w:rPr>
          <w:rFonts w:ascii="Cambria Math" w:hAnsi="Cambria Math" w:cs="Cambria Math"/>
        </w:rPr>
        <w:instrText>‐</w:instrText>
      </w:r>
      <w:r w:rsidR="009F541F">
        <w:instrText>breeding programs has relied on testing and culling, which has proven costly. The risk of PBFD should be considered very carefully by management teams contemplating the establishment of captive</w:instrText>
      </w:r>
      <w:r w:rsidR="009F541F">
        <w:rPr>
          <w:rFonts w:ascii="Cambria Math" w:hAnsi="Cambria Math" w:cs="Cambria Math"/>
        </w:rPr>
        <w:instrText>‐</w:instrText>
      </w:r>
      <w:r w:rsidR="009F541F">
        <w:instrText xml:space="preserve">breeding flocks for endangered species. Alternative disease prevention tools, including vaccination, which are increasingly being used in wildlife health, should be considered more seriously for managing and preventing PBFD in captive flocks of critically endangered species.","container-title":"Australian Veterinary Journal","DOI":"10.1111/avj.12388","ISSN":"0005-0423, 1751-0813","issue":"12","journalAbbreviation":"Aust Veterinary J","language":"en","page":"466-470","source":"DOI.org (Crossref)","title":"Review of psittacine beak and feather disease and its effect on &lt;span style=\"font-variant:small-caps;\"&gt;Australian&lt;/span&gt; endangered species","title-short":"Review of psittacine beak and feather disease and its effect on &lt;span style=\"font-variant","volume":"93","author":[{"family":"Raidal","given":"Sr"},{"family":"Sarker","given":"S"},{"family":"Peters","given":"A"}],"issued":{"date-parts":[["2015",12]]}},"label":"page","prefix":"e.g., "},{"id":9613,"uris":["http://zotero.org/users/634364/items/WJV8CTC8"],"itemData":{"id":9613,"type":"article-journal","abstract":"Rapid spread of disease is a hazard in our interconnected world. The chytrid fungus Batrachochytrium dendrobatidis was identified in amphibian populations about 20 years ago and has caused death and species extinction at a global scale. Scheele et al. found that the fungus has caused declines in amphibian populations everywhere except at its origin in Asia (see the Perspective by Greenberg and Palen). A majority of species and populations are still experiencing decline, but there is evidence of limited recovery in some species. The analysis also suggests some conditions that predict resilience. Science, this issue p. 1459; see also p. 1386 A quantitative assessment reveals the effects of chytridiomycosis on amphibian communities worldwide. Anthropogenic trade and development have broken down dispersal barriers, facilitating the spread of diseases that threaten Earth’s biodiversity. We present a global, quantitative assessment of the amphibian chytridiomycosis panzootic, one of the most impactful examples of disease spread, and demonstrate its role in the decline of at least 501 amphibian species over the past half-century, including 90 presumed extinctions. The effects of chytridiomycosis have been greatest in large-bodied, range-restricted anurans in wet climates in the Americas and Australia. Declines peaked in the 1980s, and only 12% of declined species show signs of recovery, whereas 39% are experiencing ongoing decline. There is risk of further chytridiomycosis outbreaks in new areas. The chytridiomycosis panzootic represents the greatest recorded loss of biodiversity attributable to a disease.","container-title":"Science","DOI":"10.1126/science.aav0379","issue":"6434","note":"_eprint: https://www.science.org/doi/pdf/10.1126/science.aav0379","page":"1459-1463","title":"Amphibian fungal panzootic causes catastrophic and ongoing loss of biodiversity","volume":"363","author":[{"family":"Scheele","given":"Ben C."},{"family":"Pasmans","given":"Frank"},{"family":"Skerratt","given":"Lee F."},{"family":"Berger","given":"Lee"},{"family":"Martel","given":"An"},{"family":"Beukema","given":"Wouter"},{"family":"Acevedo","given":"Aldemar A."},{"family":"Burrowes","given":"Patricia A."},{"family":"Carvalho","given":"Tamilie"},{"family":"Catenazzi","given":"Alessandro"},{"family":"Riva","given":"Ignacio De","dropping-particle":"la"},{"family":"Fisher","given":"Matthew C."},{"family":"Flechas","given":"Sandra V."},{"family":"Foster","given":"Claire N."},{"family":"Frías-Álvarez","given":"Patricia"},{"family":"Garner","given":"Trenton W. J."},{"family":"Gratwicke","given":"Brian"},{"family":"Guayasamin","given":"Juan M."},{"family":"Hirschfeld","given":"Mareike"},{"family":"Kolby","given":"Jonathan E."},{"family":"Kosch","given":"Tiffany A."},{"family":"Marca","given":"Enrique La"},{"family":"Lindenmayer","given":"David B."},{"family":"Lips","given":"Karen R."},{"family":"Longo","given":"Ana V."},{"family":"Maneyro","given":"Raúl"},{"family":"McDonald","given":"Cait A."},{"family":"Mendelson","given":"Joseph"},{"family":"Palacios-Rodriguez","given":"Pablo"},{"family":"Parra-Olea","given":"Gabriela"},{"family":"Richards-Zawacki","given":"Corinne L."},{"family":"Rödel","given":"Mark-Oliver"},{"family":"Rovito","given":"Sean M."},{"family":"Soto-Azat","given":"Claudio"},{"family":"Toledo","given":"Luís Felipe"},{"family":"Voyles","given":"Jamie"},{"family":"Weldon","given":"Ché"},{"family":"Whitfield","given":"Steven M."},{"family":"Wilkinson","given":"Mark"},{"family":"Zamudio","given":"Kelly R."},{"family":"Canessa","given":"Stefano"}],"issued":{"date-parts":[["2019"]]}}}],"schema":"https://github.com/citation-style-language/schema/raw/master/csl-citation.json"} </w:instrText>
      </w:r>
      <w:r w:rsidR="00774C67">
        <w:fldChar w:fldCharType="separate"/>
      </w:r>
      <w:r w:rsidR="009F541F" w:rsidRPr="009F541F">
        <w:t>(</w:t>
      </w:r>
      <w:r w:rsidR="009F541F" w:rsidRPr="007675E8">
        <w:t xml:space="preserve">Scheele </w:t>
      </w:r>
      <w:r w:rsidR="009F541F" w:rsidRPr="00DA5824">
        <w:t>et al.</w:t>
      </w:r>
      <w:r w:rsidR="009F541F" w:rsidRPr="007675E8">
        <w:t xml:space="preserve"> </w:t>
      </w:r>
      <w:r w:rsidR="009F541F" w:rsidRPr="009F541F">
        <w:t>2019)</w:t>
      </w:r>
      <w:r w:rsidR="00774C67">
        <w:fldChar w:fldCharType="end"/>
      </w:r>
      <w:r w:rsidR="008B4F3E">
        <w:t>.</w:t>
      </w:r>
      <w:r w:rsidR="00EC0E66">
        <w:t xml:space="preserve"> </w:t>
      </w:r>
      <w:r w:rsidR="008B4F3E">
        <w:t xml:space="preserve">However, </w:t>
      </w:r>
      <w:r w:rsidR="00EC0E66">
        <w:t xml:space="preserve">impacts </w:t>
      </w:r>
      <w:r w:rsidR="008B4F3E">
        <w:t xml:space="preserve">of these diseases </w:t>
      </w:r>
      <w:r w:rsidR="00EC0E66">
        <w:t>are ongoing and</w:t>
      </w:r>
      <w:r w:rsidR="0084677D">
        <w:t xml:space="preserve"> may not yet be fully realised</w:t>
      </w:r>
      <w:r w:rsidR="00412E95" w:rsidRPr="00782B58">
        <w:t xml:space="preserve">. Given that eradication of established wildlife diseases is usually </w:t>
      </w:r>
      <w:r w:rsidR="006C4F43" w:rsidRPr="00782B58">
        <w:t xml:space="preserve">impossible </w:t>
      </w:r>
      <w:r w:rsidR="0084677D">
        <w:t>(</w:t>
      </w:r>
      <w:r w:rsidR="006C4F43" w:rsidRPr="00782B58">
        <w:t xml:space="preserve">or at least </w:t>
      </w:r>
      <w:r w:rsidR="00397128">
        <w:t>technically challenging</w:t>
      </w:r>
      <w:r w:rsidR="006C4F43" w:rsidRPr="00782B58">
        <w:t xml:space="preserve"> and resource-intensive</w:t>
      </w:r>
      <w:r w:rsidR="0084677D">
        <w:t>)</w:t>
      </w:r>
      <w:r w:rsidR="006C4F43" w:rsidRPr="00782B58">
        <w:t xml:space="preserve">, mitigation of the impacts of </w:t>
      </w:r>
      <w:r w:rsidR="0084677D">
        <w:t xml:space="preserve">such </w:t>
      </w:r>
      <w:r w:rsidR="006C4F43" w:rsidRPr="00782B58">
        <w:t xml:space="preserve">high conservation risk diseases </w:t>
      </w:r>
      <w:r w:rsidR="000A31D7" w:rsidRPr="00782B58">
        <w:t xml:space="preserve">is </w:t>
      </w:r>
      <w:r w:rsidR="0011583F">
        <w:t>likely</w:t>
      </w:r>
      <w:r w:rsidR="0084677D">
        <w:t xml:space="preserve"> </w:t>
      </w:r>
      <w:r w:rsidR="000A31D7" w:rsidRPr="00782B58">
        <w:t>the preferred</w:t>
      </w:r>
      <w:r w:rsidR="0084677D">
        <w:t xml:space="preserve"> (or only)</w:t>
      </w:r>
      <w:r w:rsidR="000A31D7" w:rsidRPr="00782B58">
        <w:t xml:space="preserve"> management approac</w:t>
      </w:r>
      <w:r w:rsidR="0084677D">
        <w:t>h</w:t>
      </w:r>
      <w:r w:rsidR="000A31D7" w:rsidRPr="00782B58">
        <w:t>.</w:t>
      </w:r>
      <w:r w:rsidR="00BE3EC4">
        <w:t xml:space="preserve"> </w:t>
      </w:r>
    </w:p>
    <w:p w14:paraId="3153122B" w14:textId="4BFC5A88" w:rsidR="00935209" w:rsidRPr="00782B58" w:rsidRDefault="0023440B" w:rsidP="00DC3852">
      <w:r w:rsidRPr="00782B58">
        <w:t xml:space="preserve">A second group of high conservation risk diseases are not </w:t>
      </w:r>
      <w:r w:rsidR="00397128">
        <w:t xml:space="preserve">currently </w:t>
      </w:r>
      <w:r w:rsidRPr="00782B58">
        <w:t xml:space="preserve">known to be present in </w:t>
      </w:r>
      <w:r w:rsidR="001F10DC">
        <w:t>Victoria</w:t>
      </w:r>
      <w:r w:rsidR="007B0C37">
        <w:t>,</w:t>
      </w:r>
      <w:r w:rsidR="002839F8" w:rsidRPr="00782B58">
        <w:t xml:space="preserve"> meaning that </w:t>
      </w:r>
      <w:r w:rsidR="00397128">
        <w:t xml:space="preserve">they have not yet had any impact on the conservation </w:t>
      </w:r>
      <w:r w:rsidR="007B0C37">
        <w:t xml:space="preserve">status </w:t>
      </w:r>
      <w:r w:rsidR="00397128">
        <w:t>of Victorian wildlife.</w:t>
      </w:r>
      <w:r w:rsidR="000A31D7" w:rsidRPr="00782B58">
        <w:t xml:space="preserve"> Examples of high</w:t>
      </w:r>
      <w:r w:rsidR="00397128">
        <w:t>-</w:t>
      </w:r>
      <w:r w:rsidR="000A31D7" w:rsidRPr="00782B58">
        <w:t>risk diseases that fall into this category include</w:t>
      </w:r>
      <w:r w:rsidR="00935209" w:rsidRPr="00782B58">
        <w:t>:</w:t>
      </w:r>
    </w:p>
    <w:p w14:paraId="73342FDD" w14:textId="7A79458B" w:rsidR="00935209" w:rsidRPr="00782B58" w:rsidRDefault="007675E8" w:rsidP="00DA5824">
      <w:pPr>
        <w:pStyle w:val="dotpointindented"/>
      </w:pPr>
      <w:r>
        <w:t>WNS</w:t>
      </w:r>
      <w:r w:rsidR="000A31D7" w:rsidRPr="00782B58">
        <w:t xml:space="preserve">, which infects cave-roosting bats </w:t>
      </w:r>
      <w:r w:rsidR="00397128">
        <w:t xml:space="preserve">and has </w:t>
      </w:r>
      <w:r w:rsidR="00B26626" w:rsidRPr="00782B58">
        <w:t>caus</w:t>
      </w:r>
      <w:r w:rsidR="00397128">
        <w:t>ed</w:t>
      </w:r>
      <w:r w:rsidR="00B26626" w:rsidRPr="00782B58">
        <w:t xml:space="preserve"> severe population declines and </w:t>
      </w:r>
      <w:r w:rsidR="00631029">
        <w:t xml:space="preserve">local </w:t>
      </w:r>
      <w:r w:rsidR="00B26626" w:rsidRPr="00782B58">
        <w:t>extinctions</w:t>
      </w:r>
      <w:r w:rsidR="00397128">
        <w:t xml:space="preserve"> in North America</w:t>
      </w:r>
      <w:r w:rsidR="007948D1">
        <w:t xml:space="preserve"> </w:t>
      </w:r>
      <w:r w:rsidR="007948D1">
        <w:fldChar w:fldCharType="begin"/>
      </w:r>
      <w:r w:rsidR="009F541F">
        <w:instrText xml:space="preserve"> ADDIN ZOTERO_ITEM CSL_CITATION {"citationID":"aIPQlWvQ","properties":{"formattedCitation":"(Hoyt {\\i{}et al.} 2021)","plainCitation":"(Hoyt et al. 2021)","noteIndex":0},"citationItems":[{"id":9697,"uris":["http://zotero.org/users/634364/items/34ZHDU4G"],"itemData":{"id":9697,"type":"article-journal","container-title":"Nature Reviews Microbiology","issue":"3","note":"publisher: Nature Publishing Group UK London","page":"196–210","title":"Ecology and impacts of white-nose syndrome on bats","volume":"19","author":[{"family":"Hoyt","given":"Joseph R"},{"family":"Kilpatrick","given":"A Marm"},{"family":"Langwig","given":"Kate E"}],"issued":{"date-parts":[["2021"]]}}}],"schema":"https://github.com/citation-style-language/schema/raw/master/csl-citation.json"} </w:instrText>
      </w:r>
      <w:r w:rsidR="007948D1">
        <w:fldChar w:fldCharType="separate"/>
      </w:r>
      <w:r w:rsidR="009F541F" w:rsidRPr="009F541F">
        <w:t xml:space="preserve">(Hoyt </w:t>
      </w:r>
      <w:r w:rsidR="009F541F" w:rsidRPr="00DA5824">
        <w:t>et al.</w:t>
      </w:r>
      <w:r w:rsidR="009F541F" w:rsidRPr="009F541F">
        <w:t xml:space="preserve"> 2021)</w:t>
      </w:r>
      <w:r w:rsidR="007948D1">
        <w:fldChar w:fldCharType="end"/>
      </w:r>
      <w:r w:rsidR="00B26626" w:rsidRPr="00782B58">
        <w:t>.</w:t>
      </w:r>
      <w:r w:rsidR="000A31D7" w:rsidRPr="00782B58">
        <w:t xml:space="preserve"> </w:t>
      </w:r>
      <w:r w:rsidR="000F7C3D">
        <w:t xml:space="preserve">The </w:t>
      </w:r>
      <w:r>
        <w:t>W</w:t>
      </w:r>
      <w:r w:rsidR="000F7C3D">
        <w:t xml:space="preserve">DRA identified WNS as a </w:t>
      </w:r>
      <w:r w:rsidR="004F30A0">
        <w:t>H</w:t>
      </w:r>
      <w:r w:rsidR="000F7C3D">
        <w:t xml:space="preserve">igh or </w:t>
      </w:r>
      <w:r w:rsidR="004F30A0">
        <w:t>E</w:t>
      </w:r>
      <w:r w:rsidR="000F7C3D">
        <w:t xml:space="preserve">xtreme </w:t>
      </w:r>
      <w:r w:rsidR="004F30A0">
        <w:t>risk</w:t>
      </w:r>
      <w:r w:rsidR="000F7C3D">
        <w:t xml:space="preserve"> to three species of cave-roosting bats in Victoria, including the critically endangered </w:t>
      </w:r>
      <w:r>
        <w:t>SBWB</w:t>
      </w:r>
      <w:r w:rsidR="000F7C3D">
        <w:t xml:space="preserve"> (Table</w:t>
      </w:r>
      <w:r w:rsidR="00023470">
        <w:t xml:space="preserve"> </w:t>
      </w:r>
      <w:r w:rsidR="004F30A0">
        <w:t>9</w:t>
      </w:r>
      <w:r w:rsidR="00023470">
        <w:t xml:space="preserve">). The likely impacts of this disease were further explored in </w:t>
      </w:r>
      <w:r w:rsidR="0081017E">
        <w:t xml:space="preserve">a modelling case study, </w:t>
      </w:r>
      <w:r w:rsidR="0017694D">
        <w:t>which is discussed further below</w:t>
      </w:r>
      <w:r w:rsidR="0081017E">
        <w:t xml:space="preserve">. </w:t>
      </w:r>
    </w:p>
    <w:p w14:paraId="5D0F109B" w14:textId="67EED9DC" w:rsidR="00935209" w:rsidRPr="00782B58" w:rsidRDefault="000A31D7" w:rsidP="00DA5824">
      <w:pPr>
        <w:pStyle w:val="dotpointindented"/>
      </w:pPr>
      <w:r w:rsidRPr="00782B58">
        <w:t xml:space="preserve">HPAI, which </w:t>
      </w:r>
      <w:r w:rsidR="00C23F09" w:rsidRPr="00782B58">
        <w:t xml:space="preserve">has caused devastating impacts on bird and mammal populations </w:t>
      </w:r>
      <w:r w:rsidR="003D36DC">
        <w:t>in Europe, South America and Antarctica,</w:t>
      </w:r>
      <w:r w:rsidR="00C23F09" w:rsidRPr="00782B58">
        <w:t xml:space="preserve"> and is </w:t>
      </w:r>
      <w:r w:rsidR="00631029">
        <w:t xml:space="preserve">considered </w:t>
      </w:r>
      <w:r w:rsidR="00C23F09" w:rsidRPr="00782B58">
        <w:t>likely to arrive in Australia</w:t>
      </w:r>
      <w:r w:rsidR="00661FF4">
        <w:t xml:space="preserve"> (most likely carried by migratory birds</w:t>
      </w:r>
      <w:r w:rsidR="00CD4C1A">
        <w:t xml:space="preserve"> or potentially marine mammals</w:t>
      </w:r>
      <w:r w:rsidR="00661FF4">
        <w:t xml:space="preserve">) </w:t>
      </w:r>
      <w:r w:rsidR="00631029">
        <w:t>in the near future</w:t>
      </w:r>
      <w:r w:rsidR="00F432F6">
        <w:t xml:space="preserve"> </w:t>
      </w:r>
      <w:r w:rsidR="00F6045A">
        <w:fldChar w:fldCharType="begin"/>
      </w:r>
      <w:r w:rsidR="009F541F">
        <w:instrText xml:space="preserve"> ADDIN ZOTERO_ITEM CSL_CITATION {"citationID":"xxjRr1xY","properties":{"formattedCitation":"(Leguia {\\i{}et al.} 2023; Bennison {\\i{}et al.} 2023)","plainCitation":"(Leguia et al. 2023; Bennison et al. 2023)","noteIndex":0},"citationItems":[{"id":9699,"uris":["http://zotero.org/users/634364/items/2HY28BJY"],"itemData":{"id":9699,"type":"article-journal","container-title":"Nature Communications","issue":"1","note":"publisher: Nature Publishing Group UK London","page":"5489","title":"Highly pathogenic avian influenza A (H5N1) in marine mammals and seabirds in Peru","volume":"14","author":[{"family":"Leguia","given":"Mariana"},{"family":"Garcia-Glaessner","given":"Alejandra"},{"family":"Muñoz-Saavedra","given":"Breno"},{"family":"Juarez","given":"Diana"},{"family":"Barrera","given":"Patricia"},{"family":"Calvo-Mac","given":"Carlos"},{"family":"Jara","given":"Javier"},{"family":"Silva","given":"Walter"},{"family":"Ploog","given":"Karl"},{"family":"Amaro","given":"Lady"},{"literal":"others"}],"issued":{"date-parts":[["2023"]]}}},{"id":9680,"uris":["http://zotero.org/users/634364/items/87UR47V5"],"itemData":{"id":9680,"type":"article-journal","container-title":"bioRxiv","note":"publisher: Cold Spring Harbor Laboratory","page":"2023–11","title":"Detection and spread of high pathogenicity avian influenza virus H5N1 in the Antarctic Region","author":[{"family":"Bennison","given":"Ashley"},{"family":"Byrne","given":"Alexander MP"},{"family":"Reid","given":"Scott M"},{"family":"Lynton-Jenkins","given":"Joshua G"},{"family":"Mollett","given":"Benjamin"},{"family":"Silva","given":"Dilhani De"},{"family":"Peers-Dent","given":"Jacob"},{"family":"Finlayson","given":"Kim"},{"family":"Hall","given":"Rosamund"},{"family":"Blockley","given":"Freya"},{"literal":"others"}],"issued":{"date-parts":[["2023"]]}}}],"schema":"https://github.com/citation-style-language/schema/raw/master/csl-citation.json"} </w:instrText>
      </w:r>
      <w:r w:rsidR="00F6045A">
        <w:fldChar w:fldCharType="separate"/>
      </w:r>
      <w:r w:rsidR="009F541F" w:rsidRPr="009F541F">
        <w:t xml:space="preserve">(Leguia </w:t>
      </w:r>
      <w:r w:rsidR="009F541F" w:rsidRPr="00DA5824">
        <w:t>et al.</w:t>
      </w:r>
      <w:r w:rsidR="009F541F" w:rsidRPr="007675E8">
        <w:t xml:space="preserve"> 2023; Bennison </w:t>
      </w:r>
      <w:r w:rsidR="009F541F" w:rsidRPr="00DA5824">
        <w:t>et al.</w:t>
      </w:r>
      <w:r w:rsidR="009F541F" w:rsidRPr="007675E8">
        <w:t xml:space="preserve"> </w:t>
      </w:r>
      <w:r w:rsidR="009F541F" w:rsidRPr="009F541F">
        <w:t>2023)</w:t>
      </w:r>
      <w:r w:rsidR="00F6045A">
        <w:fldChar w:fldCharType="end"/>
      </w:r>
      <w:r w:rsidR="00631029">
        <w:t xml:space="preserve">. </w:t>
      </w:r>
      <w:r w:rsidR="0081017E">
        <w:t xml:space="preserve">The </w:t>
      </w:r>
      <w:r w:rsidR="007675E8">
        <w:t>W</w:t>
      </w:r>
      <w:r w:rsidR="0081017E">
        <w:t xml:space="preserve">DRA suggests that this disease is likely to be an </w:t>
      </w:r>
      <w:r w:rsidR="004F30A0">
        <w:t>E</w:t>
      </w:r>
      <w:r w:rsidR="0081017E">
        <w:t xml:space="preserve">xtreme </w:t>
      </w:r>
      <w:r w:rsidR="00D62441">
        <w:t xml:space="preserve">or </w:t>
      </w:r>
      <w:r w:rsidR="004F30A0">
        <w:t>H</w:t>
      </w:r>
      <w:r w:rsidR="00D62441">
        <w:t xml:space="preserve">igh </w:t>
      </w:r>
      <w:r w:rsidR="0081017E">
        <w:t xml:space="preserve">conservation threat to several species of birds in Victoria, in particular seabirds, waders, </w:t>
      </w:r>
      <w:r w:rsidR="0089676A">
        <w:t>p</w:t>
      </w:r>
      <w:r w:rsidR="0081017E">
        <w:t>enguins and waterfow</w:t>
      </w:r>
      <w:r w:rsidR="00507D7A">
        <w:t>l</w:t>
      </w:r>
      <w:r w:rsidR="0090667A">
        <w:t xml:space="preserve"> as well as to a thre</w:t>
      </w:r>
      <w:r w:rsidR="00385C0F">
        <w:t>atened marine mammal, the Australian Sea Lion</w:t>
      </w:r>
      <w:r w:rsidR="007675E8">
        <w:t xml:space="preserve"> (</w:t>
      </w:r>
      <w:proofErr w:type="spellStart"/>
      <w:r w:rsidR="007675E8" w:rsidRPr="00DA5824">
        <w:rPr>
          <w:i/>
          <w:iCs/>
        </w:rPr>
        <w:t>Neophoca</w:t>
      </w:r>
      <w:proofErr w:type="spellEnd"/>
      <w:r w:rsidR="007675E8" w:rsidRPr="00DA5824">
        <w:rPr>
          <w:i/>
          <w:iCs/>
        </w:rPr>
        <w:t xml:space="preserve"> cinerea)</w:t>
      </w:r>
      <w:r w:rsidR="0081017E" w:rsidRPr="00DA5824">
        <w:rPr>
          <w:i/>
          <w:iCs/>
        </w:rPr>
        <w:t>.</w:t>
      </w:r>
      <w:r w:rsidR="00BE3EC4">
        <w:t xml:space="preserve"> </w:t>
      </w:r>
      <w:r w:rsidR="008A0AC8">
        <w:t xml:space="preserve">Options for mitigating the potential economic impacts of </w:t>
      </w:r>
      <w:r w:rsidR="000F5EF4">
        <w:t xml:space="preserve">HPAI on the Little Penguin </w:t>
      </w:r>
      <w:r w:rsidR="00246418">
        <w:t>P</w:t>
      </w:r>
      <w:r w:rsidR="000F5EF4">
        <w:t xml:space="preserve">arade on Phillip Island </w:t>
      </w:r>
      <w:r w:rsidR="008359E9">
        <w:t xml:space="preserve">were explored as a case </w:t>
      </w:r>
      <w:proofErr w:type="gramStart"/>
      <w:r w:rsidR="008359E9">
        <w:t>study</w:t>
      </w:r>
      <w:r w:rsidR="00A86064">
        <w:t xml:space="preserve">, </w:t>
      </w:r>
      <w:r w:rsidR="008359E9">
        <w:t>and</w:t>
      </w:r>
      <w:proofErr w:type="gramEnd"/>
      <w:r w:rsidR="008359E9">
        <w:t xml:space="preserve"> </w:t>
      </w:r>
      <w:r w:rsidR="00A86064">
        <w:t>are</w:t>
      </w:r>
      <w:r w:rsidR="008359E9">
        <w:t xml:space="preserve"> discussed further below.</w:t>
      </w:r>
      <w:r w:rsidR="0081017E">
        <w:t xml:space="preserve"> </w:t>
      </w:r>
    </w:p>
    <w:p w14:paraId="7B4B68A5" w14:textId="22717772" w:rsidR="000A31D7" w:rsidRPr="00782B58" w:rsidRDefault="00C17323" w:rsidP="00DA5824">
      <w:pPr>
        <w:pStyle w:val="dotpointindented"/>
      </w:pPr>
      <w:r>
        <w:t>Pacheco’s Disease</w:t>
      </w:r>
      <w:r w:rsidR="004A1F10">
        <w:t xml:space="preserve"> (</w:t>
      </w:r>
      <w:proofErr w:type="spellStart"/>
      <w:r w:rsidR="008556A9" w:rsidRPr="004F30A0">
        <w:rPr>
          <w:i/>
          <w:iCs/>
        </w:rPr>
        <w:t>Psittacid</w:t>
      </w:r>
      <w:proofErr w:type="spellEnd"/>
      <w:r w:rsidR="008556A9" w:rsidRPr="004F30A0">
        <w:rPr>
          <w:i/>
          <w:iCs/>
        </w:rPr>
        <w:t xml:space="preserve"> </w:t>
      </w:r>
      <w:proofErr w:type="spellStart"/>
      <w:r w:rsidR="008556A9" w:rsidRPr="004F30A0">
        <w:rPr>
          <w:i/>
          <w:iCs/>
        </w:rPr>
        <w:t>alphaherpesvirus</w:t>
      </w:r>
      <w:proofErr w:type="spellEnd"/>
      <w:r w:rsidR="00486780" w:rsidRPr="004F30A0">
        <w:rPr>
          <w:i/>
          <w:iCs/>
        </w:rPr>
        <w:t xml:space="preserve"> </w:t>
      </w:r>
      <w:r w:rsidR="00486780" w:rsidRPr="00DA5824">
        <w:t>1</w:t>
      </w:r>
      <w:r w:rsidR="008556A9">
        <w:t>)</w:t>
      </w:r>
      <w:r w:rsidR="00935209" w:rsidRPr="00782B58">
        <w:t xml:space="preserve">, which is a viral disease of parrots that </w:t>
      </w:r>
      <w:r w:rsidR="00836817">
        <w:t xml:space="preserve">has been detected at low prevalence in </w:t>
      </w:r>
      <w:r w:rsidR="001F10DC">
        <w:t xml:space="preserve">some </w:t>
      </w:r>
      <w:r w:rsidR="00424FAF" w:rsidRPr="00782B58">
        <w:t>Australia</w:t>
      </w:r>
      <w:r w:rsidR="00836817">
        <w:t>n parrot populations</w:t>
      </w:r>
      <w:r w:rsidR="001F10DC">
        <w:t xml:space="preserve"> but is not </w:t>
      </w:r>
      <w:r w:rsidR="00507D7A">
        <w:t xml:space="preserve">currently </w:t>
      </w:r>
      <w:r w:rsidR="001F10DC">
        <w:t>known to occur in Victoria.</w:t>
      </w:r>
      <w:r w:rsidR="00424FAF" w:rsidRPr="00782B58">
        <w:t xml:space="preserve"> </w:t>
      </w:r>
      <w:r w:rsidR="001F10DC">
        <w:t>This disease is</w:t>
      </w:r>
      <w:r w:rsidR="00424FAF" w:rsidRPr="00782B58">
        <w:t xml:space="preserve"> known to be capable of infecting numerous species of Australian parrots</w:t>
      </w:r>
      <w:r w:rsidR="00661FF4">
        <w:t xml:space="preserve">, based on documented </w:t>
      </w:r>
      <w:r w:rsidR="00DF6AE1">
        <w:t>cases in captive specimens of several Australian parrot species</w:t>
      </w:r>
      <w:r w:rsidR="00F432F6">
        <w:t xml:space="preserve"> </w:t>
      </w:r>
      <w:r w:rsidR="003929C7">
        <w:fldChar w:fldCharType="begin"/>
      </w:r>
      <w:r w:rsidR="009F541F">
        <w:instrText xml:space="preserve"> ADDIN ZOTERO_ITEM CSL_CITATION {"citationID":"XuC6jdpd","properties":{"formattedCitation":"(Kasimov {\\i{}et al.} 2023)","plainCitation":"(Kasimov et al. 2023)","noteIndex":0},"citationItems":[{"id":9677,"uris":["http://zotero.org/users/634364/items/6FSLJNMU"],"itemData":{"id":9677,"type":"article-journal","abstract":"Birds may act as hosts for numerous pathogens, including members of the family Chlamydiaceae, beak and feather disease virus (BFDV), avipoxviruses, Columbid alphaherpesvirus 1 (CoAHV1) and Psittacid alphaherpesvirus 1 (PsAHV1), all of which are a signiﬁcant biosecurity concern in Australia. While Chlamydiaceae and BFDV have previously been detected in Australian avian taxa, the prevalence and host range of avipoxviruses, CoAHV1 and PsAHV1 in Australian birds remain undetermined. To better understand the occurrence of these pathogens, we screened 486 wild birds (kingﬁsher, parrot, pigeon and raptor species) presented to two wildlife hospitals between May 2019 and December 2021. Utilising various qPCR assays, we detected PsAHV1 for the ﬁrst time in wild Australian birds (37/486; 7.61%), in addition to BFDV (163/468; 33.54%), Chlamydiaceae (98/468; 20.16%), avipoxviruses (46/486; 9.47%) and CoAHV1 (43/486; 8.85%). Phylogenetic analysis revealed that BFDV sequences detected from birds in this study cluster within two predominant superclades, infecting both psittacine and non-psittacine species. However, BFDV disease manifestation was only observed in psittacine species. All Avipoxvirus sequences clustered together and were identical to other global reference strains. Similarly, PsAHV1 sequences from this study were detected from a series of novel hosts (apart from psittacine species) and identical to sequences detected from Brazilian psittacine species, raising signiﬁcant biosecurity concerns, particularly for endangered parrot recovery programs. Overall, these results highlight the high pathogen diversity in wild Australian birds, the ecology of these pathogens in potential natural reservoirs, and the spillover potential of these pathogens into novel host species in which these agents cause disease.","container-title":"Viruses","DOI":"10.3390/v15010143","ISSN":"1999-4915","issue":"1","journalAbbreviation":"Viruses","language":"en","license":"https://creativecommons.org/licenses/by/4.0/","page":"143","source":"DOI.org (Crossref)","title":"Unexpected Pathogen Diversity Detected in Australian Avifauna Highlights Potential Biosecurity Challenges","volume":"15","author":[{"family":"Kasimov","given":"Vasilli"},{"family":"Wille","given":"Michelle"},{"family":"Sarker","given":"Subir"},{"family":"Dong","given":"Yalun"},{"family":"Shao","given":"Renfu"},{"family":"Hall","given":"Clancy"},{"family":"Potvin","given":"Dominique"},{"family":"Conroy","given":"Gabriel"},{"family":"Valenza","given":"Ludovica"},{"family":"Gillett","given":"Amber"},{"family":"Timms","given":"Peter"},{"family":"Jelocnik","given":"Martina"}],"issued":{"date-parts":[["2023",1,2]]}}}],"schema":"https://github.com/citation-style-language/schema/raw/master/csl-citation.json"} </w:instrText>
      </w:r>
      <w:r w:rsidR="003929C7">
        <w:fldChar w:fldCharType="separate"/>
      </w:r>
      <w:r w:rsidR="009F541F" w:rsidRPr="009F541F">
        <w:t xml:space="preserve">(Kasimov </w:t>
      </w:r>
      <w:r w:rsidR="009F541F" w:rsidRPr="00DA5824">
        <w:t>et al.</w:t>
      </w:r>
      <w:r w:rsidR="009F541F" w:rsidRPr="00A86064">
        <w:t xml:space="preserve"> 2023)</w:t>
      </w:r>
      <w:r w:rsidR="003929C7">
        <w:fldChar w:fldCharType="end"/>
      </w:r>
      <w:r w:rsidR="00424FAF" w:rsidRPr="00782B58">
        <w:t>.</w:t>
      </w:r>
      <w:r w:rsidR="00BE3EC4">
        <w:t xml:space="preserve"> </w:t>
      </w:r>
      <w:r>
        <w:t>Pacheco’s Disease</w:t>
      </w:r>
      <w:r w:rsidR="009010A7">
        <w:t xml:space="preserve"> is a highly lethal viral disease</w:t>
      </w:r>
      <w:r w:rsidR="00A86064">
        <w:t>,</w:t>
      </w:r>
      <w:r w:rsidR="00AB16AD">
        <w:t xml:space="preserve"> and i</w:t>
      </w:r>
      <w:r w:rsidR="00E8197F">
        <w:t xml:space="preserve">t has been considered that an outbreak of </w:t>
      </w:r>
      <w:r w:rsidR="00AB16AD">
        <w:t>the</w:t>
      </w:r>
      <w:r w:rsidR="00604AA8">
        <w:t xml:space="preserve"> disease in an endangered parrot species (e.g. Orange-bellied parrot)</w:t>
      </w:r>
      <w:r w:rsidR="008F021E">
        <w:t xml:space="preserve"> could result in severe loss or even extinction </w:t>
      </w:r>
      <w:r w:rsidR="008F021E">
        <w:fldChar w:fldCharType="begin"/>
      </w:r>
      <w:r w:rsidR="009F541F">
        <w:instrText xml:space="preserve"> ADDIN ZOTERO_ITEM CSL_CITATION {"citationID":"gziZia8h","properties":{"formattedCitation":"(Kasimov {\\i{}et al.} 2023)","plainCitation":"(Kasimov et al. 2023)","noteIndex":0},"citationItems":[{"id":9677,"uris":["http://zotero.org/users/634364/items/6FSLJNMU"],"itemData":{"id":9677,"type":"article-journal","abstract":"Birds may act as hosts for numerous pathogens, including members of the family Chlamydiaceae, beak and feather disease virus (BFDV), avipoxviruses, Columbid alphaherpesvirus 1 (CoAHV1) and Psittacid alphaherpesvirus 1 (PsAHV1), all of which are a signiﬁcant biosecurity concern in Australia. While Chlamydiaceae and BFDV have previously been detected in Australian avian taxa, the prevalence and host range of avipoxviruses, CoAHV1 and PsAHV1 in Australian birds remain undetermined. To better understand the occurrence of these pathogens, we screened 486 wild birds (kingﬁsher, parrot, pigeon and raptor species) presented to two wildlife hospitals between May 2019 and December 2021. Utilising various qPCR assays, we detected PsAHV1 for the ﬁrst time in wild Australian birds (37/486; 7.61%), in addition to BFDV (163/468; 33.54%), Chlamydiaceae (98/468; 20.16%), avipoxviruses (46/486; 9.47%) and CoAHV1 (43/486; 8.85%). Phylogenetic analysis revealed that BFDV sequences detected from birds in this study cluster within two predominant superclades, infecting both psittacine and non-psittacine species. However, BFDV disease manifestation was only observed in psittacine species. All Avipoxvirus sequences clustered together and were identical to other global reference strains. Similarly, PsAHV1 sequences from this study were detected from a series of novel hosts (apart from psittacine species) and identical to sequences detected from Brazilian psittacine species, raising signiﬁcant biosecurity concerns, particularly for endangered parrot recovery programs. Overall, these results highlight the high pathogen diversity in wild Australian birds, the ecology of these pathogens in potential natural reservoirs, and the spillover potential of these pathogens into novel host species in which these agents cause disease.","container-title":"Viruses","DOI":"10.3390/v15010143","ISSN":"1999-4915","issue":"1","journalAbbreviation":"Viruses","language":"en","license":"https://creativecommons.org/licenses/by/4.0/","page":"143","source":"DOI.org (Crossref)","title":"Unexpected Pathogen Diversity Detected in Australian Avifauna Highlights Potential Biosecurity Challenges","volume":"15","author":[{"family":"Kasimov","given":"Vasilli"},{"family":"Wille","given":"Michelle"},{"family":"Sarker","given":"Subir"},{"family":"Dong","given":"Yalun"},{"family":"Shao","given":"Renfu"},{"family":"Hall","given":"Clancy"},{"family":"Potvin","given":"Dominique"},{"family":"Conroy","given":"Gabriel"},{"family":"Valenza","given":"Ludovica"},{"family":"Gillett","given":"Amber"},{"family":"Timms","given":"Peter"},{"family":"Jelocnik","given":"Martina"}],"issued":{"date-parts":[["2023",1,2]]}}}],"schema":"https://github.com/citation-style-language/schema/raw/master/csl-citation.json"} </w:instrText>
      </w:r>
      <w:r w:rsidR="008F021E">
        <w:fldChar w:fldCharType="separate"/>
      </w:r>
      <w:r w:rsidR="009F541F" w:rsidRPr="009F541F">
        <w:t xml:space="preserve">(Kasimov </w:t>
      </w:r>
      <w:r w:rsidR="009F541F" w:rsidRPr="00DA5824">
        <w:t>et al.</w:t>
      </w:r>
      <w:r w:rsidR="009F541F" w:rsidRPr="009F541F">
        <w:t xml:space="preserve"> 2023)</w:t>
      </w:r>
      <w:r w:rsidR="008F021E">
        <w:fldChar w:fldCharType="end"/>
      </w:r>
      <w:r w:rsidR="00AB16AD">
        <w:t>.</w:t>
      </w:r>
    </w:p>
    <w:p w14:paraId="7313BC4A" w14:textId="0A043817" w:rsidR="00BF52F2" w:rsidRDefault="0023164E" w:rsidP="00DC3852">
      <w:r>
        <w:t xml:space="preserve">The </w:t>
      </w:r>
      <w:r w:rsidRPr="0023164E">
        <w:t>most effective means of mitigating disease impacts</w:t>
      </w:r>
      <w:r>
        <w:t xml:space="preserve"> will likely involve (where feasible) </w:t>
      </w:r>
      <w:r w:rsidR="005D2A27">
        <w:t xml:space="preserve">(i) </w:t>
      </w:r>
      <w:r w:rsidR="00631029">
        <w:t>p</w:t>
      </w:r>
      <w:r w:rsidR="000A31D7" w:rsidRPr="00782B58">
        <w:t xml:space="preserve">reventing the arrival of </w:t>
      </w:r>
      <w:r w:rsidR="00FE5769" w:rsidRPr="00782B58">
        <w:t>such</w:t>
      </w:r>
      <w:r w:rsidR="000A31D7" w:rsidRPr="00782B58">
        <w:t xml:space="preserve"> diseases </w:t>
      </w:r>
      <w:r w:rsidR="00D94222">
        <w:t xml:space="preserve">in Victoria </w:t>
      </w:r>
      <w:r w:rsidR="00FE5769" w:rsidRPr="00782B58">
        <w:t xml:space="preserve">through strong biosecurity measures, </w:t>
      </w:r>
      <w:r w:rsidR="005D2A27">
        <w:t>(ii) undertaking</w:t>
      </w:r>
      <w:r w:rsidR="00453873">
        <w:t xml:space="preserve"> systematic</w:t>
      </w:r>
      <w:r w:rsidR="00FE5769" w:rsidRPr="00782B58">
        <w:t xml:space="preserve"> surveillance to detect any outbreaks</w:t>
      </w:r>
      <w:r w:rsidR="005D2A27">
        <w:t xml:space="preserve">, </w:t>
      </w:r>
      <w:r w:rsidR="00FE5769" w:rsidRPr="00782B58">
        <w:t xml:space="preserve">and </w:t>
      </w:r>
      <w:r w:rsidR="005D2A27">
        <w:t xml:space="preserve">(iii) </w:t>
      </w:r>
      <w:r w:rsidR="00631029">
        <w:t>respond</w:t>
      </w:r>
      <w:r>
        <w:t>ing</w:t>
      </w:r>
      <w:r w:rsidR="00631029">
        <w:t xml:space="preserve"> aggressively to stamp the disease out</w:t>
      </w:r>
      <w:r w:rsidR="00891CFA">
        <w:t>. However, for some high-risk diseases</w:t>
      </w:r>
      <w:r w:rsidR="00746926">
        <w:t>,</w:t>
      </w:r>
      <w:r w:rsidR="00891CFA">
        <w:t xml:space="preserve"> such as</w:t>
      </w:r>
      <w:r w:rsidR="000A31D7" w:rsidRPr="00782B58">
        <w:t xml:space="preserve"> </w:t>
      </w:r>
      <w:r w:rsidR="00E739ED" w:rsidRPr="00782B58">
        <w:t>HPAI</w:t>
      </w:r>
      <w:r w:rsidR="00746926">
        <w:t>,</w:t>
      </w:r>
      <w:r w:rsidR="00E739ED" w:rsidRPr="00782B58">
        <w:t xml:space="preserve"> </w:t>
      </w:r>
      <w:r w:rsidR="00891CFA">
        <w:t>preventing the arrival of the disease in Australia is probably infeasible</w:t>
      </w:r>
      <w:r w:rsidR="00280C38">
        <w:t xml:space="preserve"> </w:t>
      </w:r>
      <w:r>
        <w:t>because</w:t>
      </w:r>
      <w:r w:rsidR="00280C38">
        <w:t xml:space="preserve"> </w:t>
      </w:r>
      <w:r w:rsidR="00D94222">
        <w:t>the pathogen</w:t>
      </w:r>
      <w:r w:rsidR="00280C38">
        <w:t xml:space="preserve"> is </w:t>
      </w:r>
      <w:r w:rsidR="00D94222">
        <w:t xml:space="preserve">highly </w:t>
      </w:r>
      <w:r w:rsidR="00280C38">
        <w:t>likely to be carried into the country by migratory birds</w:t>
      </w:r>
      <w:r>
        <w:t>,</w:t>
      </w:r>
      <w:r w:rsidR="00280C38">
        <w:t xml:space="preserve"> which will then pass the disease on to </w:t>
      </w:r>
      <w:r w:rsidR="00891895">
        <w:t>resident b</w:t>
      </w:r>
      <w:r w:rsidR="00940639">
        <w:t xml:space="preserve">ird </w:t>
      </w:r>
      <w:r w:rsidR="00280C38">
        <w:t>populations</w:t>
      </w:r>
      <w:r w:rsidR="00891895">
        <w:t xml:space="preserve"> in Victoria</w:t>
      </w:r>
      <w:r w:rsidR="00940639">
        <w:t xml:space="preserve">. </w:t>
      </w:r>
      <w:r w:rsidR="00890845">
        <w:t xml:space="preserve">In such cases, a prudent approach to risk-mitigation would involve </w:t>
      </w:r>
      <w:r w:rsidR="00383907">
        <w:t>surveillance</w:t>
      </w:r>
      <w:r w:rsidR="002C7381">
        <w:t xml:space="preserve"> to provide early warning of an incursion, as well as </w:t>
      </w:r>
      <w:r w:rsidR="00890845">
        <w:t>work</w:t>
      </w:r>
      <w:r>
        <w:t>ing</w:t>
      </w:r>
      <w:r w:rsidR="00890845">
        <w:t xml:space="preserve"> to prepare for </w:t>
      </w:r>
      <w:r w:rsidR="00891895">
        <w:t xml:space="preserve">the impacts of </w:t>
      </w:r>
      <w:r w:rsidR="00890845">
        <w:t>outbreaks</w:t>
      </w:r>
      <w:r w:rsidR="00CD4C1A">
        <w:t xml:space="preserve"> and their mitigation, where feasible</w:t>
      </w:r>
      <w:r w:rsidR="00CD64E7">
        <w:t>.</w:t>
      </w:r>
      <w:r w:rsidR="00BE3EC4">
        <w:t xml:space="preserve"> </w:t>
      </w:r>
      <w:r w:rsidR="00CD64E7">
        <w:t xml:space="preserve">The latter would include </w:t>
      </w:r>
      <w:r w:rsidR="00277694">
        <w:t xml:space="preserve">biosecurity measures to limit further spread </w:t>
      </w:r>
      <w:r w:rsidR="00297997">
        <w:t>and risk of infection</w:t>
      </w:r>
      <w:r w:rsidR="002A269E">
        <w:t>, espec</w:t>
      </w:r>
      <w:r w:rsidR="00B00177">
        <w:t>ially to domestic poultry</w:t>
      </w:r>
      <w:r w:rsidR="007B33CC">
        <w:t>,</w:t>
      </w:r>
      <w:r w:rsidR="00A173A7">
        <w:t xml:space="preserve"> and </w:t>
      </w:r>
      <w:r w:rsidR="00F432F6">
        <w:t xml:space="preserve">rigorous </w:t>
      </w:r>
      <w:r w:rsidR="00A173A7">
        <w:t xml:space="preserve">quarantine measures for </w:t>
      </w:r>
      <w:r w:rsidR="00F432F6">
        <w:t>captive populations of species</w:t>
      </w:r>
      <w:r w:rsidR="00891895">
        <w:t xml:space="preserve"> judged to be</w:t>
      </w:r>
      <w:r w:rsidR="00F432F6">
        <w:t xml:space="preserve"> at </w:t>
      </w:r>
      <w:r w:rsidR="00891895">
        <w:t xml:space="preserve">greatest conservation </w:t>
      </w:r>
      <w:r w:rsidR="00F432F6">
        <w:t xml:space="preserve">risk. </w:t>
      </w:r>
      <w:r w:rsidR="00CD4C1A">
        <w:t xml:space="preserve">Vaccination to mitigate impacts </w:t>
      </w:r>
      <w:r w:rsidR="00F75854">
        <w:t>is being considered for endangered wildlife species.</w:t>
      </w:r>
    </w:p>
    <w:p w14:paraId="54C32E8B" w14:textId="58713FD8" w:rsidR="00BF52F2" w:rsidRDefault="00136DAC" w:rsidP="00107132">
      <w:pPr>
        <w:pStyle w:val="Heading3-Numbered"/>
      </w:pPr>
      <w:bookmarkStart w:id="120" w:name="_Toc198634119"/>
      <w:r>
        <w:t xml:space="preserve">WDRA results: </w:t>
      </w:r>
      <w:r w:rsidR="00BF52F2">
        <w:t>Economic risks</w:t>
      </w:r>
      <w:bookmarkEnd w:id="120"/>
    </w:p>
    <w:p w14:paraId="33AEC197" w14:textId="377750B4" w:rsidR="00BF52F2" w:rsidRDefault="00BD3D42" w:rsidP="00BF52F2">
      <w:r>
        <w:t xml:space="preserve">Two pathogens </w:t>
      </w:r>
      <w:r w:rsidR="00C22E02">
        <w:t xml:space="preserve">were identified as having </w:t>
      </w:r>
      <w:r w:rsidR="004F30A0">
        <w:t>E</w:t>
      </w:r>
      <w:r w:rsidR="00C22E02">
        <w:t xml:space="preserve">xtreme economic risks, </w:t>
      </w:r>
      <w:r w:rsidR="00C719DB">
        <w:t>FMD</w:t>
      </w:r>
      <w:r w:rsidR="0023164E">
        <w:t xml:space="preserve"> </w:t>
      </w:r>
      <w:r w:rsidR="00761CEE">
        <w:t>and</w:t>
      </w:r>
      <w:r w:rsidR="0023164E">
        <w:t xml:space="preserve"> </w:t>
      </w:r>
      <w:r w:rsidR="00C719DB">
        <w:t>HPAI.</w:t>
      </w:r>
      <w:r w:rsidR="00BE3EC4">
        <w:t xml:space="preserve"> </w:t>
      </w:r>
      <w:r w:rsidR="00B04755">
        <w:t>Several other pathogens were</w:t>
      </w:r>
      <w:r w:rsidR="00575E02">
        <w:t xml:space="preserve"> identified as having </w:t>
      </w:r>
      <w:r w:rsidR="004F30A0">
        <w:t>H</w:t>
      </w:r>
      <w:r w:rsidR="00575E02">
        <w:t>igh risks of economic impacts</w:t>
      </w:r>
      <w:r w:rsidR="004B4FC6">
        <w:t xml:space="preserve">, </w:t>
      </w:r>
      <w:r w:rsidR="005E3071">
        <w:t xml:space="preserve">including pathogens affecting </w:t>
      </w:r>
      <w:r w:rsidR="00FF20B1">
        <w:t>ungulates</w:t>
      </w:r>
      <w:r w:rsidR="00084F31">
        <w:t xml:space="preserve"> (</w:t>
      </w:r>
      <w:r w:rsidR="004B4FC6">
        <w:t xml:space="preserve">Malignant </w:t>
      </w:r>
      <w:r w:rsidR="00EE15F6">
        <w:t>C</w:t>
      </w:r>
      <w:r w:rsidR="00EE15F6" w:rsidRPr="00EE15F6">
        <w:t xml:space="preserve">atarrhal </w:t>
      </w:r>
      <w:r w:rsidR="00EE15F6">
        <w:t>F</w:t>
      </w:r>
      <w:r w:rsidR="00EE15F6" w:rsidRPr="00EE15F6">
        <w:t>eve</w:t>
      </w:r>
      <w:r w:rsidR="00EE15F6">
        <w:t xml:space="preserve">r </w:t>
      </w:r>
      <w:r w:rsidR="00084F31">
        <w:t>[</w:t>
      </w:r>
      <w:r w:rsidR="00EE15F6">
        <w:t>MCF</w:t>
      </w:r>
      <w:r w:rsidR="00084F31">
        <w:t>],</w:t>
      </w:r>
      <w:r w:rsidR="00FF20B1">
        <w:t xml:space="preserve"> </w:t>
      </w:r>
      <w:r w:rsidR="00C50E2E">
        <w:t xml:space="preserve">Classical </w:t>
      </w:r>
      <w:r w:rsidR="00084F31">
        <w:t xml:space="preserve">Swine Fever </w:t>
      </w:r>
      <w:r w:rsidR="0025337E">
        <w:t>[</w:t>
      </w:r>
      <w:r w:rsidR="00084F31">
        <w:t>CS</w:t>
      </w:r>
      <w:r w:rsidR="0025337E">
        <w:t xml:space="preserve">F] </w:t>
      </w:r>
      <w:r w:rsidR="00C50E2E">
        <w:t>and African Swine Fever</w:t>
      </w:r>
      <w:r w:rsidR="0025337E">
        <w:t xml:space="preserve"> [ASF])</w:t>
      </w:r>
      <w:r w:rsidR="002C1587">
        <w:t>.</w:t>
      </w:r>
      <w:r w:rsidR="00BE3EC4">
        <w:t xml:space="preserve"> </w:t>
      </w:r>
      <w:r w:rsidR="00A32B91">
        <w:t xml:space="preserve">Avian </w:t>
      </w:r>
      <w:r w:rsidR="006B7267">
        <w:t>Coronavirus</w:t>
      </w:r>
      <w:r w:rsidR="00A32B91">
        <w:t>es</w:t>
      </w:r>
      <w:r w:rsidR="00A00566">
        <w:t>,</w:t>
      </w:r>
      <w:r w:rsidR="009C3418">
        <w:t xml:space="preserve"> in general</w:t>
      </w:r>
      <w:r w:rsidR="00A00566">
        <w:t>,</w:t>
      </w:r>
      <w:r w:rsidR="00744401">
        <w:t xml:space="preserve"> </w:t>
      </w:r>
      <w:r w:rsidR="006B7267">
        <w:t xml:space="preserve">were also identified as having a </w:t>
      </w:r>
      <w:proofErr w:type="gramStart"/>
      <w:r w:rsidR="004F30A0">
        <w:t>H</w:t>
      </w:r>
      <w:r w:rsidR="006B7267">
        <w:t>igh</w:t>
      </w:r>
      <w:proofErr w:type="gramEnd"/>
      <w:r w:rsidR="006B7267">
        <w:t xml:space="preserve"> risk of economic impacts.</w:t>
      </w:r>
      <w:r w:rsidR="00BE3EC4">
        <w:t xml:space="preserve"> </w:t>
      </w:r>
    </w:p>
    <w:p w14:paraId="7D8687AD" w14:textId="0F4F3FD1" w:rsidR="00761CEE" w:rsidRDefault="00761CEE" w:rsidP="002A3683">
      <w:pPr>
        <w:pStyle w:val="dotpointindented"/>
      </w:pPr>
      <w:r>
        <w:t xml:space="preserve">FMD – </w:t>
      </w:r>
      <w:r w:rsidR="0055325B">
        <w:t xml:space="preserve">An incursion of FMD in Victoria is most likely to occur </w:t>
      </w:r>
      <w:r w:rsidR="00D16B76">
        <w:t xml:space="preserve">initially </w:t>
      </w:r>
      <w:r w:rsidR="0055325B">
        <w:t xml:space="preserve">in domestic </w:t>
      </w:r>
      <w:proofErr w:type="gramStart"/>
      <w:r w:rsidR="0055325B">
        <w:t>livestock</w:t>
      </w:r>
      <w:r w:rsidR="00A00566">
        <w:t>,</w:t>
      </w:r>
      <w:r w:rsidR="00D16B76">
        <w:t xml:space="preserve"> and</w:t>
      </w:r>
      <w:proofErr w:type="gramEnd"/>
      <w:r w:rsidR="00D16B76">
        <w:t xml:space="preserve"> would mobilise a massive </w:t>
      </w:r>
      <w:r w:rsidR="006840D9">
        <w:t>response from government and industry to stamp out the dis</w:t>
      </w:r>
      <w:r w:rsidR="006F341E">
        <w:t>e</w:t>
      </w:r>
      <w:r w:rsidR="006840D9">
        <w:t>ase</w:t>
      </w:r>
      <w:r w:rsidR="00D16B76">
        <w:t>.</w:t>
      </w:r>
      <w:r w:rsidR="00BE3EC4">
        <w:t xml:space="preserve"> </w:t>
      </w:r>
      <w:r w:rsidR="00890056">
        <w:t xml:space="preserve">However, efforts to eradicate FMD from livestock would be hampered </w:t>
      </w:r>
      <w:r w:rsidR="00E06F6B">
        <w:t>by the spillover of disease into the wildlife population</w:t>
      </w:r>
      <w:r w:rsidR="00A00566">
        <w:t>, because</w:t>
      </w:r>
      <w:r w:rsidR="00FA29A7">
        <w:t xml:space="preserve"> </w:t>
      </w:r>
      <w:r w:rsidR="004B3D27">
        <w:t xml:space="preserve">wild ungulates such as </w:t>
      </w:r>
      <w:r w:rsidR="00E548AE">
        <w:t>Feral Pig</w:t>
      </w:r>
      <w:r w:rsidR="00FA29A7">
        <w:t xml:space="preserve">s and deer could potentially act as a reservoir of </w:t>
      </w:r>
      <w:r w:rsidR="008635A1">
        <w:t>FMD</w:t>
      </w:r>
      <w:r w:rsidR="007758DA">
        <w:t>, with the associated risk of spillback into domestic livestock.</w:t>
      </w:r>
      <w:r w:rsidR="00BE3EC4">
        <w:t xml:space="preserve"> </w:t>
      </w:r>
      <w:r w:rsidR="00A00566">
        <w:t>Therefore</w:t>
      </w:r>
      <w:r w:rsidR="009328D4">
        <w:t>, m</w:t>
      </w:r>
      <w:r w:rsidR="00675BAE">
        <w:t xml:space="preserve">anaging outbreaks </w:t>
      </w:r>
      <w:r w:rsidR="009328D4">
        <w:t xml:space="preserve">of FMD </w:t>
      </w:r>
      <w:r w:rsidR="00675BAE">
        <w:t>in wildlife</w:t>
      </w:r>
      <w:r w:rsidR="009328D4">
        <w:t>, if they occur, will</w:t>
      </w:r>
      <w:r w:rsidR="00675BAE">
        <w:t xml:space="preserve"> be critical for stamping out and preventing recurre</w:t>
      </w:r>
      <w:r w:rsidR="00357AB4">
        <w:t>nt outbreaks</w:t>
      </w:r>
      <w:r w:rsidR="00675BAE">
        <w:t xml:space="preserve"> in livestock.</w:t>
      </w:r>
      <w:r w:rsidR="00BE3EC4">
        <w:t xml:space="preserve"> </w:t>
      </w:r>
      <w:r w:rsidR="00043716">
        <w:t xml:space="preserve">Results from the detailed case study </w:t>
      </w:r>
      <w:r w:rsidR="002A3683">
        <w:t xml:space="preserve">identified the </w:t>
      </w:r>
      <w:r w:rsidR="00D208C6">
        <w:t xml:space="preserve">level and timing of population reduction required to eradicate FMD from </w:t>
      </w:r>
      <w:r w:rsidR="00E548AE">
        <w:t>Feral Pig</w:t>
      </w:r>
      <w:r w:rsidR="00D208C6">
        <w:t xml:space="preserve"> populations</w:t>
      </w:r>
      <w:r w:rsidR="00EC7945">
        <w:t>.</w:t>
      </w:r>
      <w:r w:rsidR="00BE3EC4">
        <w:t xml:space="preserve"> </w:t>
      </w:r>
    </w:p>
    <w:p w14:paraId="1EF6D887" w14:textId="295AA427" w:rsidR="00B145D9" w:rsidRDefault="0077266E" w:rsidP="006C3BDF">
      <w:pPr>
        <w:pStyle w:val="dotpointindented"/>
      </w:pPr>
      <w:r>
        <w:t xml:space="preserve">HPAI – </w:t>
      </w:r>
      <w:r w:rsidR="00B71140">
        <w:t>An incursion of HPAI in Victoria</w:t>
      </w:r>
      <w:r w:rsidR="00614D12">
        <w:t>, such as H5N1 clade</w:t>
      </w:r>
      <w:r w:rsidR="00AC745D">
        <w:t xml:space="preserve"> </w:t>
      </w:r>
      <w:r w:rsidR="00AC745D" w:rsidRPr="00AC745D">
        <w:t>2.3.4.4b</w:t>
      </w:r>
      <w:r w:rsidR="00641933">
        <w:t>,</w:t>
      </w:r>
      <w:r w:rsidR="00B71140">
        <w:t xml:space="preserve"> could potentially affect </w:t>
      </w:r>
      <w:r w:rsidR="00C148C0">
        <w:t>many</w:t>
      </w:r>
      <w:r w:rsidR="00116A77">
        <w:t xml:space="preserve"> </w:t>
      </w:r>
      <w:r w:rsidR="00A62D38">
        <w:t xml:space="preserve">avian </w:t>
      </w:r>
      <w:r w:rsidR="00116A77">
        <w:t>species</w:t>
      </w:r>
      <w:r w:rsidR="00A00566">
        <w:t xml:space="preserve"> (</w:t>
      </w:r>
      <w:r w:rsidR="00116A77">
        <w:t>especially ducks, geese and swans</w:t>
      </w:r>
      <w:r w:rsidR="00A00566">
        <w:t xml:space="preserve">, </w:t>
      </w:r>
      <w:r w:rsidR="00116A77">
        <w:t>as well as gulls, terns</w:t>
      </w:r>
      <w:r w:rsidR="00D4343C">
        <w:t>,</w:t>
      </w:r>
      <w:r w:rsidR="00116A77">
        <w:t xml:space="preserve"> waders</w:t>
      </w:r>
      <w:r w:rsidR="00D4343C">
        <w:t xml:space="preserve">, </w:t>
      </w:r>
      <w:r w:rsidR="00A00566">
        <w:t xml:space="preserve">and </w:t>
      </w:r>
      <w:r w:rsidR="00D4343C">
        <w:t>penguins</w:t>
      </w:r>
      <w:r w:rsidR="00A00566">
        <w:t>), and</w:t>
      </w:r>
      <w:r w:rsidR="00C148C0">
        <w:t xml:space="preserve"> man</w:t>
      </w:r>
      <w:r w:rsidR="00D4343C">
        <w:t>y species of mammals</w:t>
      </w:r>
      <w:r w:rsidR="00116A77">
        <w:t>.</w:t>
      </w:r>
      <w:r w:rsidR="009A5F75">
        <w:t xml:space="preserve"> H5N1 is characterised by its high pathogenicity, </w:t>
      </w:r>
      <w:r w:rsidR="002D7D0A">
        <w:t>high viral loads and wide host range,</w:t>
      </w:r>
      <w:r w:rsidR="00A62D38">
        <w:t xml:space="preserve"> and </w:t>
      </w:r>
      <w:r w:rsidR="00A00566">
        <w:t xml:space="preserve">therefore </w:t>
      </w:r>
      <w:r w:rsidR="00EB1739">
        <w:t xml:space="preserve">has an elevated level of risk compared with </w:t>
      </w:r>
      <w:r w:rsidR="00192252">
        <w:t xml:space="preserve">other </w:t>
      </w:r>
      <w:r w:rsidR="00EB1739">
        <w:t>highly pathogenic strains of AI.</w:t>
      </w:r>
      <w:r w:rsidR="00BE3EC4">
        <w:t xml:space="preserve"> </w:t>
      </w:r>
      <w:r w:rsidR="00992615">
        <w:t>Effective mitigation measures in wildlife for an incursion of H5N1 are</w:t>
      </w:r>
      <w:r w:rsidR="00720DEE">
        <w:t xml:space="preserve"> </w:t>
      </w:r>
      <w:r w:rsidR="00567B6B">
        <w:t xml:space="preserve">unlikely and </w:t>
      </w:r>
      <w:r w:rsidR="00A00566">
        <w:t>consequently</w:t>
      </w:r>
      <w:r w:rsidR="00567B6B">
        <w:t>, management will need to focus on</w:t>
      </w:r>
      <w:r w:rsidR="00B8466B">
        <w:t xml:space="preserve"> surveillance,</w:t>
      </w:r>
      <w:r w:rsidR="00567B6B">
        <w:t xml:space="preserve"> </w:t>
      </w:r>
      <w:r w:rsidR="00B85A2E">
        <w:t>biosecurity and containment</w:t>
      </w:r>
      <w:r w:rsidR="009B7E78">
        <w:t xml:space="preserve"> to</w:t>
      </w:r>
      <w:r w:rsidR="00B8466B">
        <w:t xml:space="preserve"> </w:t>
      </w:r>
      <w:r w:rsidR="00B85A2E">
        <w:t xml:space="preserve">limit spillover to domestic poultry and </w:t>
      </w:r>
      <w:r w:rsidR="00CB27A3">
        <w:t>humans.</w:t>
      </w:r>
      <w:r w:rsidR="00BE3EC4">
        <w:t xml:space="preserve"> </w:t>
      </w:r>
      <w:r w:rsidR="00CB27A3">
        <w:t xml:space="preserve">Results from the detailed case study examine </w:t>
      </w:r>
      <w:r w:rsidR="008B2C75">
        <w:t xml:space="preserve">the potential impacts of H5N1 on the Little Penguin population inhabiting Phillip Island, and the potential for vaccination </w:t>
      </w:r>
      <w:r w:rsidR="00AB11C9">
        <w:t>to mitigate impacts to the ecotourism industry based around the sub-colonies at Summerland Beach.</w:t>
      </w:r>
      <w:r w:rsidR="00BE3EC4">
        <w:t xml:space="preserve"> </w:t>
      </w:r>
    </w:p>
    <w:p w14:paraId="2FFC807C" w14:textId="01BF4791" w:rsidR="00BF52F2" w:rsidRPr="00782B58" w:rsidRDefault="00BF52F2" w:rsidP="00BF52F2">
      <w:pPr>
        <w:pStyle w:val="Heading2-Numbered"/>
      </w:pPr>
      <w:bookmarkStart w:id="121" w:name="_Toc198634120"/>
      <w:r>
        <w:t xml:space="preserve">Mitigation of </w:t>
      </w:r>
      <w:r w:rsidR="00B578FA">
        <w:t xml:space="preserve">wildlife </w:t>
      </w:r>
      <w:r>
        <w:t>disease risks</w:t>
      </w:r>
      <w:bookmarkEnd w:id="121"/>
    </w:p>
    <w:p w14:paraId="0F6A553E" w14:textId="46CAE190" w:rsidR="0073561E" w:rsidRDefault="0040537A" w:rsidP="007D39B6">
      <w:r>
        <w:t>T</w:t>
      </w:r>
      <w:r w:rsidR="0073561E">
        <w:t>he wildlife disease modelling undertaken here provided valuable insights into potential impacts of an incursion of exotic diseases such as FMD, HPAI and WNS.</w:t>
      </w:r>
      <w:r w:rsidR="00BE3EC4">
        <w:t xml:space="preserve"> </w:t>
      </w:r>
      <w:r w:rsidR="0073561E">
        <w:t xml:space="preserve">In the case of FMD, modelling revealed clear guidelines for managing </w:t>
      </w:r>
      <w:r w:rsidR="00E548AE">
        <w:t>Feral Pig</w:t>
      </w:r>
      <w:r w:rsidR="0073561E">
        <w:t xml:space="preserve"> populations that are in the vicinity of affected livestock properties in the process of FMD eradication.</w:t>
      </w:r>
      <w:r w:rsidR="00BE3EC4">
        <w:t xml:space="preserve"> </w:t>
      </w:r>
      <w:r w:rsidR="0073561E">
        <w:t xml:space="preserve">Modelling also revealed knowledge gaps around mapping the </w:t>
      </w:r>
      <w:r w:rsidR="0073561E" w:rsidRPr="00486780">
        <w:t xml:space="preserve">potential </w:t>
      </w:r>
      <w:r w:rsidR="00D00C42" w:rsidRPr="00486780">
        <w:t>FMD</w:t>
      </w:r>
      <w:r w:rsidR="00D00C42">
        <w:t xml:space="preserve"> </w:t>
      </w:r>
      <w:r w:rsidR="0073561E">
        <w:t>risk to farmed livestock posed by wildlife populations.</w:t>
      </w:r>
      <w:r w:rsidR="00BE3EC4">
        <w:t xml:space="preserve"> </w:t>
      </w:r>
      <w:r w:rsidR="0073561E">
        <w:t>In the case of HPAI, modelling also revealed the potential threat to the Little Penguin population inhabiting Phillip Island and the associated ecotourism industry.</w:t>
      </w:r>
      <w:r w:rsidR="00BE3EC4">
        <w:t xml:space="preserve"> </w:t>
      </w:r>
      <w:r w:rsidR="0073561E">
        <w:t xml:space="preserve">If Little Penguins prove to be susceptible to HPAI, then mortalities </w:t>
      </w:r>
      <w:r w:rsidR="000248C0">
        <w:t xml:space="preserve">of </w:t>
      </w:r>
      <w:r w:rsidR="0073561E">
        <w:t>up to 1</w:t>
      </w:r>
      <w:r w:rsidR="007D76CE">
        <w:t>6</w:t>
      </w:r>
      <w:r w:rsidR="0073561E">
        <w:t>,000 individuals could be expected.</w:t>
      </w:r>
      <w:r w:rsidR="00BE3EC4">
        <w:t xml:space="preserve"> </w:t>
      </w:r>
      <w:r w:rsidR="0073561E">
        <w:t>While unlikely to cause conservation concerns, this level of mortality would likely result in a considerable wildlife emergency, with associated animal welfare and human health concerns.</w:t>
      </w:r>
      <w:r w:rsidR="00BE3EC4">
        <w:t xml:space="preserve"> </w:t>
      </w:r>
      <w:r w:rsidR="0073561E">
        <w:t xml:space="preserve">For the sub-colonies inhabiting the Penguin Parade, modelling provided guidelines for vaccination strategies that would mitigate the impacts of HPAI </w:t>
      </w:r>
      <w:r w:rsidR="000248C0">
        <w:t>to</w:t>
      </w:r>
      <w:r w:rsidR="0073561E">
        <w:t xml:space="preserve"> help protect the associated ecotourism industry. For WNS, models were used to provide estimates of potential impacts of an incursion of this disease in </w:t>
      </w:r>
      <w:r w:rsidR="000248C0">
        <w:t>SBWB</w:t>
      </w:r>
      <w:r w:rsidR="00EF7335">
        <w:t>s</w:t>
      </w:r>
      <w:r w:rsidR="0073561E">
        <w:t>.</w:t>
      </w:r>
      <w:r w:rsidR="00BE3EC4">
        <w:t xml:space="preserve"> </w:t>
      </w:r>
      <w:r w:rsidR="0073561E">
        <w:t xml:space="preserve">Since impacts were closely related to the length and frequency of torpor, modelling provided insights into the potential conservation risks of WNS to this threatened </w:t>
      </w:r>
      <w:proofErr w:type="gramStart"/>
      <w:r w:rsidR="0073561E">
        <w:t xml:space="preserve">species, </w:t>
      </w:r>
      <w:r w:rsidR="001C1BBA" w:rsidRPr="001C1BBA">
        <w:t>and</w:t>
      </w:r>
      <w:proofErr w:type="gramEnd"/>
      <w:r w:rsidR="001C1BBA" w:rsidRPr="001C1BBA">
        <w:t xml:space="preserve"> highlighted the importance</w:t>
      </w:r>
      <w:r w:rsidR="001C1BBA">
        <w:t xml:space="preserve"> </w:t>
      </w:r>
      <w:r w:rsidR="0073561E">
        <w:t>of research to better understand torpor behaviour.</w:t>
      </w:r>
      <w:r w:rsidR="00BE3EC4">
        <w:t xml:space="preserve"> </w:t>
      </w:r>
      <w:r w:rsidR="0073561E">
        <w:t xml:space="preserve">For </w:t>
      </w:r>
      <w:r w:rsidR="007D76CE" w:rsidRPr="007D76CE">
        <w:rPr>
          <w:i/>
          <w:iCs/>
        </w:rPr>
        <w:t>Bd</w:t>
      </w:r>
      <w:r w:rsidR="0073561E">
        <w:t xml:space="preserve"> in </w:t>
      </w:r>
      <w:r w:rsidR="00B84722">
        <w:t>Bell Frogs</w:t>
      </w:r>
      <w:r w:rsidR="0073561E">
        <w:t>, models were able to quantify the benefits of proposed management actions to restore</w:t>
      </w:r>
      <w:r w:rsidR="00C773D8">
        <w:t xml:space="preserve"> Bell Frog</w:t>
      </w:r>
      <w:r w:rsidR="0073561E">
        <w:t xml:space="preserve"> populations previously decimated by </w:t>
      </w:r>
      <w:r w:rsidR="007D76CE" w:rsidRPr="007D76CE">
        <w:rPr>
          <w:i/>
          <w:iCs/>
        </w:rPr>
        <w:t>Bd</w:t>
      </w:r>
      <w:r w:rsidR="00C773D8">
        <w:t xml:space="preserve">, in </w:t>
      </w:r>
      <w:r w:rsidR="00C773D8" w:rsidRPr="00C773D8">
        <w:t>their former range</w:t>
      </w:r>
      <w:r w:rsidR="006D5576">
        <w:t>.</w:t>
      </w:r>
      <w:r w:rsidR="00BE3EC4">
        <w:t xml:space="preserve"> </w:t>
      </w:r>
      <w:r w:rsidR="005958E4">
        <w:t>Below</w:t>
      </w:r>
      <w:r w:rsidR="00C773D8">
        <w:t>,</w:t>
      </w:r>
      <w:r w:rsidR="005958E4">
        <w:t xml:space="preserve"> we provide </w:t>
      </w:r>
      <w:r w:rsidR="00C773D8">
        <w:t xml:space="preserve">a </w:t>
      </w:r>
      <w:r w:rsidR="005958E4">
        <w:t>more detailed overview of the mitigation strategies for each of these disease cases.</w:t>
      </w:r>
    </w:p>
    <w:p w14:paraId="243D9EF4" w14:textId="77777777" w:rsidR="00B10F39" w:rsidRDefault="00B10F39" w:rsidP="007D39B6"/>
    <w:p w14:paraId="12E8EB90" w14:textId="0D4423AC" w:rsidR="004D3C4C" w:rsidRDefault="00F35C8B" w:rsidP="007D39B6">
      <w:pPr>
        <w:pStyle w:val="Heading3-Numbered"/>
      </w:pPr>
      <w:bookmarkStart w:id="122" w:name="_Toc196318859"/>
      <w:bookmarkStart w:id="123" w:name="_Toc196417929"/>
      <w:bookmarkStart w:id="124" w:name="_Toc196419806"/>
      <w:bookmarkStart w:id="125" w:name="_Toc196492741"/>
      <w:bookmarkStart w:id="126" w:name="_Toc198634121"/>
      <w:bookmarkEnd w:id="122"/>
      <w:bookmarkEnd w:id="123"/>
      <w:bookmarkEnd w:id="124"/>
      <w:bookmarkEnd w:id="125"/>
      <w:r>
        <w:t>Conservation risks</w:t>
      </w:r>
      <w:bookmarkEnd w:id="126"/>
    </w:p>
    <w:p w14:paraId="5C6079BF" w14:textId="168F29FE" w:rsidR="001740BF" w:rsidRDefault="001740BF" w:rsidP="001740BF">
      <w:pPr>
        <w:pStyle w:val="Heading4"/>
      </w:pPr>
      <w:r>
        <w:t xml:space="preserve">Amphibian chytrid fungus in </w:t>
      </w:r>
      <w:r w:rsidR="00B84722">
        <w:t>Bell Frogs</w:t>
      </w:r>
    </w:p>
    <w:p w14:paraId="15E41E31" w14:textId="24F19D8D" w:rsidR="0043091B" w:rsidRPr="00EB16CF" w:rsidRDefault="0043091B" w:rsidP="0043091B">
      <w:pPr>
        <w:rPr>
          <w:rFonts w:eastAsiaTheme="minorEastAsia"/>
        </w:rPr>
      </w:pPr>
      <w:r w:rsidRPr="00C342A3">
        <w:rPr>
          <w:rFonts w:eastAsiaTheme="minorEastAsia"/>
          <w:i/>
          <w:iCs/>
        </w:rPr>
        <w:t>Batrachochytrium dendrobatidis</w:t>
      </w:r>
      <w:r w:rsidRPr="00EB16CF">
        <w:rPr>
          <w:rFonts w:eastAsiaTheme="minorEastAsia"/>
        </w:rPr>
        <w:t xml:space="preserve"> (</w:t>
      </w:r>
      <w:r w:rsidRPr="004725F4">
        <w:rPr>
          <w:rFonts w:eastAsiaTheme="minorEastAsia"/>
          <w:i/>
          <w:iCs/>
        </w:rPr>
        <w:t>Bd</w:t>
      </w:r>
      <w:r w:rsidRPr="00EB16CF">
        <w:rPr>
          <w:rFonts w:eastAsiaTheme="minorEastAsia"/>
        </w:rPr>
        <w:t xml:space="preserve">) </w:t>
      </w:r>
      <w:r w:rsidR="006A3ECE">
        <w:rPr>
          <w:rFonts w:eastAsiaTheme="minorEastAsia"/>
        </w:rPr>
        <w:t>has been implicated in the declines of over 500</w:t>
      </w:r>
      <w:r w:rsidR="00CA7195">
        <w:rPr>
          <w:rFonts w:eastAsiaTheme="minorEastAsia"/>
        </w:rPr>
        <w:t xml:space="preserve"> amphibian species </w:t>
      </w:r>
      <w:r w:rsidR="00D36BF1">
        <w:rPr>
          <w:rFonts w:eastAsiaTheme="minorEastAsia"/>
        </w:rPr>
        <w:t xml:space="preserve">worldwide </w:t>
      </w:r>
      <w:r w:rsidR="00CA7A51">
        <w:rPr>
          <w:rFonts w:eastAsiaTheme="minorEastAsia"/>
        </w:rPr>
        <w:t xml:space="preserve">resulting in the </w:t>
      </w:r>
      <w:r w:rsidR="00013411">
        <w:rPr>
          <w:rFonts w:eastAsiaTheme="minorEastAsia"/>
        </w:rPr>
        <w:t xml:space="preserve">extinctions of at least 90 species </w:t>
      </w:r>
      <w:r w:rsidR="00013411">
        <w:rPr>
          <w:rFonts w:eastAsiaTheme="minorEastAsia"/>
        </w:rPr>
        <w:fldChar w:fldCharType="begin"/>
      </w:r>
      <w:r w:rsidR="009F541F">
        <w:rPr>
          <w:rFonts w:eastAsiaTheme="minorEastAsia"/>
        </w:rPr>
        <w:instrText xml:space="preserve"> ADDIN ZOTERO_ITEM CSL_CITATION {"citationID":"kmrtx4Ka","properties":{"formattedCitation":"(Scheele {\\i{}et al.} 2019)","plainCitation":"(Scheele et al. 2019)","noteIndex":0},"citationItems":[{"id":9613,"uris":["http://zotero.org/users/634364/items/WJV8CTC8"],"itemData":{"id":9613,"type":"article-journal","abstract":"Rapid spread of disease is a hazard in our interconnected world. The chytrid fungus Batrachochytrium dendrobatidis was identified in amphibian populations about 20 years ago and has caused death and species extinction at a global scale. Scheele et al. found that the fungus has caused declines in amphibian populations everywhere except at its origin in Asia (see the Perspective by Greenberg and Palen). A majority of species and populations are still experiencing decline, but there is evidence of limited recovery in some species. The analysis also suggests some conditions that predict resilience. Science, this issue p. 1459; see also p. 1386 A quantitative assessment reveals the effects of chytridiomycosis on amphibian communities worldwide. Anthropogenic trade and development have broken down dispersal barriers, facilitating the spread of diseases that threaten Earth’s biodiversity. We present a global, quantitative assessment of the amphibian chytridiomycosis panzootic, one of the most impactful examples of disease spread, and demonstrate its role in the decline of at least 501 amphibian species over the past half-century, including 90 presumed extinctions. The effects of chytridiomycosis have been greatest in large-bodied, range-restricted anurans in wet climates in the Americas and Australia. Declines peaked in the 1980s, and only 12% of declined species show signs of recovery, whereas 39% are experiencing ongoing decline. There is risk of further chytridiomycosis outbreaks in new areas. The chytridiomycosis panzootic represents the greatest recorded loss of biodiversity attributable to a disease.","container-title":"Science","DOI":"10.1126/science.aav0379","issue":"6434","note":"_eprint: https://www.science.org/doi/pdf/10.1126/science.aav0379","page":"1459-1463","title":"Amphibian fungal panzootic causes catastrophic and ongoing loss of biodiversity","volume":"363","author":[{"family":"Scheele","given":"Ben C."},{"family":"Pasmans","given":"Frank"},{"family":"Skerratt","given":"Lee F."},{"family":"Berger","given":"Lee"},{"family":"Martel","given":"An"},{"family":"Beukema","given":"Wouter"},{"family":"Acevedo","given":"Aldemar A."},{"family":"Burrowes","given":"Patricia A."},{"family":"Carvalho","given":"Tamilie"},{"family":"Catenazzi","given":"Alessandro"},{"family":"Riva","given":"Ignacio De","dropping-particle":"la"},{"family":"Fisher","given":"Matthew C."},{"family":"Flechas","given":"Sandra V."},{"family":"Foster","given":"Claire N."},{"family":"Frías-Álvarez","given":"Patricia"},{"family":"Garner","given":"Trenton W. J."},{"family":"Gratwicke","given":"Brian"},{"family":"Guayasamin","given":"Juan M."},{"family":"Hirschfeld","given":"Mareike"},{"family":"Kolby","given":"Jonathan E."},{"family":"Kosch","given":"Tiffany A."},{"family":"Marca","given":"Enrique La"},{"family":"Lindenmayer","given":"David B."},{"family":"Lips","given":"Karen R."},{"family":"Longo","given":"Ana V."},{"family":"Maneyro","given":"Raúl"},{"family":"McDonald","given":"Cait A."},{"family":"Mendelson","given":"Joseph"},{"family":"Palacios-Rodriguez","given":"Pablo"},{"family":"Parra-Olea","given":"Gabriela"},{"family":"Richards-Zawacki","given":"Corinne L."},{"family":"Rödel","given":"Mark-Oliver"},{"family":"Rovito","given":"Sean M."},{"family":"Soto-Azat","given":"Claudio"},{"family":"Toledo","given":"Luís Felipe"},{"family":"Voyles","given":"Jamie"},{"family":"Weldon","given":"Ché"},{"family":"Whitfield","given":"Steven M."},{"family":"Wilkinson","given":"Mark"},{"family":"Zamudio","given":"Kelly R."},{"family":"Canessa","given":"Stefano"}],"issued":{"date-parts":[["2019"]]}}}],"schema":"https://github.com/citation-style-language/schema/raw/master/csl-citation.json"} </w:instrText>
      </w:r>
      <w:r w:rsidR="00013411">
        <w:rPr>
          <w:rFonts w:eastAsiaTheme="minorEastAsia"/>
        </w:rPr>
        <w:fldChar w:fldCharType="separate"/>
      </w:r>
      <w:r w:rsidR="009F541F" w:rsidRPr="009F541F">
        <w:t xml:space="preserve">(Scheele </w:t>
      </w:r>
      <w:r w:rsidR="009F541F" w:rsidRPr="00DA5824">
        <w:t>et al</w:t>
      </w:r>
      <w:r w:rsidR="009F541F" w:rsidRPr="009F541F">
        <w:rPr>
          <w:i/>
          <w:iCs/>
        </w:rPr>
        <w:t>.</w:t>
      </w:r>
      <w:r w:rsidR="009F541F" w:rsidRPr="009F541F">
        <w:t xml:space="preserve"> 2019)</w:t>
      </w:r>
      <w:r w:rsidR="00013411">
        <w:rPr>
          <w:rFonts w:eastAsiaTheme="minorEastAsia"/>
        </w:rPr>
        <w:fldChar w:fldCharType="end"/>
      </w:r>
      <w:r w:rsidR="00CA7A51">
        <w:rPr>
          <w:rFonts w:eastAsiaTheme="minorEastAsia"/>
        </w:rPr>
        <w:t>.</w:t>
      </w:r>
      <w:r w:rsidR="00BE3EC4">
        <w:rPr>
          <w:rFonts w:eastAsiaTheme="minorEastAsia"/>
        </w:rPr>
        <w:t xml:space="preserve"> </w:t>
      </w:r>
      <w:r w:rsidR="00935336">
        <w:rPr>
          <w:rFonts w:eastAsiaTheme="minorEastAsia"/>
        </w:rPr>
        <w:t xml:space="preserve">The disease is now endemic in many ecosystems and attention is now turning to </w:t>
      </w:r>
      <w:r w:rsidR="00FB65EF">
        <w:rPr>
          <w:rFonts w:eastAsiaTheme="minorEastAsia"/>
        </w:rPr>
        <w:t xml:space="preserve">managing coexistence with the disease </w:t>
      </w:r>
      <w:r w:rsidR="00C3343F">
        <w:rPr>
          <w:rFonts w:eastAsiaTheme="minorEastAsia"/>
        </w:rPr>
        <w:fldChar w:fldCharType="begin"/>
      </w:r>
      <w:r w:rsidR="009F541F">
        <w:rPr>
          <w:rFonts w:eastAsiaTheme="minorEastAsia"/>
        </w:rPr>
        <w:instrText xml:space="preserve"> ADDIN ZOTERO_ITEM CSL_CITATION {"citationID":"liUkOyv9","properties":{"formattedCitation":"(Waddle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00C3343F">
        <w:rPr>
          <w:rFonts w:eastAsiaTheme="minorEastAsia"/>
        </w:rPr>
        <w:fldChar w:fldCharType="separate"/>
      </w:r>
      <w:r w:rsidR="009F541F" w:rsidRPr="009F541F">
        <w:t xml:space="preserve">(Waddle </w:t>
      </w:r>
      <w:r w:rsidR="009F541F" w:rsidRPr="00DA5824">
        <w:t>et al.</w:t>
      </w:r>
      <w:r w:rsidR="009F541F" w:rsidRPr="0093017F">
        <w:t xml:space="preserve"> </w:t>
      </w:r>
      <w:r w:rsidR="009F541F" w:rsidRPr="009F541F">
        <w:t>2024)</w:t>
      </w:r>
      <w:r w:rsidR="00C3343F">
        <w:rPr>
          <w:rFonts w:eastAsiaTheme="minorEastAsia"/>
        </w:rPr>
        <w:fldChar w:fldCharType="end"/>
      </w:r>
      <w:r w:rsidR="00E63EC3">
        <w:rPr>
          <w:rFonts w:eastAsiaTheme="minorEastAsia"/>
        </w:rPr>
        <w:t>.</w:t>
      </w:r>
      <w:r w:rsidR="00BE3EC4">
        <w:rPr>
          <w:rFonts w:eastAsiaTheme="minorEastAsia"/>
        </w:rPr>
        <w:t xml:space="preserve"> </w:t>
      </w:r>
      <w:r w:rsidR="00D77144">
        <w:rPr>
          <w:rFonts w:eastAsiaTheme="minorEastAsia"/>
        </w:rPr>
        <w:t>S</w:t>
      </w:r>
      <w:r w:rsidR="00E63EC3">
        <w:rPr>
          <w:rFonts w:eastAsiaTheme="minorEastAsia"/>
        </w:rPr>
        <w:t>pecies that have undergone dramatic contractions in the</w:t>
      </w:r>
      <w:r w:rsidR="0038694A">
        <w:rPr>
          <w:rFonts w:eastAsiaTheme="minorEastAsia"/>
        </w:rPr>
        <w:t xml:space="preserve">ir range and </w:t>
      </w:r>
      <w:r w:rsidR="00E63EC3">
        <w:rPr>
          <w:rFonts w:eastAsiaTheme="minorEastAsia"/>
        </w:rPr>
        <w:t>abundance</w:t>
      </w:r>
      <w:r w:rsidR="00D77144">
        <w:rPr>
          <w:rFonts w:eastAsiaTheme="minorEastAsia"/>
        </w:rPr>
        <w:t xml:space="preserve"> </w:t>
      </w:r>
      <w:r w:rsidR="00D30524">
        <w:rPr>
          <w:rFonts w:eastAsiaTheme="minorEastAsia"/>
        </w:rPr>
        <w:t xml:space="preserve">offer </w:t>
      </w:r>
      <w:r w:rsidR="0025042A">
        <w:rPr>
          <w:rFonts w:eastAsiaTheme="minorEastAsia"/>
        </w:rPr>
        <w:t xml:space="preserve">managers </w:t>
      </w:r>
      <w:r w:rsidR="00874669">
        <w:rPr>
          <w:rFonts w:eastAsiaTheme="minorEastAsia"/>
        </w:rPr>
        <w:t>opportunities to investiga</w:t>
      </w:r>
      <w:r w:rsidR="009A6F35">
        <w:rPr>
          <w:rFonts w:eastAsiaTheme="minorEastAsia"/>
        </w:rPr>
        <w:t xml:space="preserve">te </w:t>
      </w:r>
      <w:r w:rsidR="00874669">
        <w:rPr>
          <w:rFonts w:eastAsiaTheme="minorEastAsia"/>
        </w:rPr>
        <w:t xml:space="preserve">actions </w:t>
      </w:r>
      <w:r w:rsidR="0048377D">
        <w:rPr>
          <w:rFonts w:eastAsiaTheme="minorEastAsia"/>
        </w:rPr>
        <w:t>to secure existing population</w:t>
      </w:r>
      <w:r w:rsidR="008814D6">
        <w:rPr>
          <w:rFonts w:eastAsiaTheme="minorEastAsia"/>
        </w:rPr>
        <w:t>s</w:t>
      </w:r>
      <w:r w:rsidR="0048377D">
        <w:rPr>
          <w:rFonts w:eastAsiaTheme="minorEastAsia"/>
        </w:rPr>
        <w:t xml:space="preserve"> as well as recover </w:t>
      </w:r>
      <w:r w:rsidR="00C5676E">
        <w:rPr>
          <w:rFonts w:eastAsiaTheme="minorEastAsia"/>
        </w:rPr>
        <w:t xml:space="preserve">populations previously extirpated by the actions of </w:t>
      </w:r>
      <w:r w:rsidR="007D76CE" w:rsidRPr="007D76CE">
        <w:rPr>
          <w:rFonts w:eastAsiaTheme="minorEastAsia"/>
          <w:i/>
          <w:iCs/>
        </w:rPr>
        <w:t>Bd</w:t>
      </w:r>
      <w:r w:rsidR="00C5676E">
        <w:rPr>
          <w:rFonts w:eastAsiaTheme="minorEastAsia"/>
        </w:rPr>
        <w:t>.</w:t>
      </w:r>
      <w:r w:rsidR="00BE3EC4">
        <w:rPr>
          <w:rFonts w:eastAsiaTheme="minorEastAsia"/>
        </w:rPr>
        <w:t xml:space="preserve"> </w:t>
      </w:r>
    </w:p>
    <w:p w14:paraId="7C2B7DBC" w14:textId="6836869D" w:rsidR="001740BF" w:rsidRPr="00BD12AF" w:rsidRDefault="001740BF" w:rsidP="001740BF">
      <w:pPr>
        <w:rPr>
          <w:rFonts w:eastAsiaTheme="minorEastAsia"/>
        </w:rPr>
      </w:pPr>
      <w:r w:rsidRPr="00BD12AF">
        <w:rPr>
          <w:rFonts w:eastAsiaTheme="minorEastAsia"/>
        </w:rPr>
        <w:t xml:space="preserve">Recent studies </w:t>
      </w:r>
      <w:r w:rsidR="00764E1F">
        <w:rPr>
          <w:rFonts w:eastAsiaTheme="minorEastAsia"/>
        </w:rPr>
        <w:t>in outdoor mesocosms</w:t>
      </w:r>
      <w:r w:rsidRPr="00BD12AF">
        <w:rPr>
          <w:rFonts w:eastAsiaTheme="minorEastAsia"/>
        </w:rPr>
        <w:t xml:space="preserve"> have established that the provision of thermal shelters for </w:t>
      </w:r>
      <w:r>
        <w:rPr>
          <w:rFonts w:eastAsiaTheme="minorEastAsia"/>
        </w:rPr>
        <w:t>G</w:t>
      </w:r>
      <w:r w:rsidRPr="00BD12AF">
        <w:rPr>
          <w:rFonts w:eastAsiaTheme="minorEastAsia"/>
        </w:rPr>
        <w:t xml:space="preserve">reen and </w:t>
      </w:r>
      <w:r>
        <w:rPr>
          <w:rFonts w:eastAsiaTheme="minorEastAsia"/>
        </w:rPr>
        <w:t>G</w:t>
      </w:r>
      <w:r w:rsidRPr="00BD12AF">
        <w:rPr>
          <w:rFonts w:eastAsiaTheme="minorEastAsia"/>
        </w:rPr>
        <w:t xml:space="preserve">olden </w:t>
      </w:r>
      <w:r w:rsidR="00B84722">
        <w:rPr>
          <w:rFonts w:eastAsiaTheme="minorEastAsia"/>
        </w:rPr>
        <w:t>Bell Frogs</w:t>
      </w:r>
      <w:r w:rsidRPr="00BD12AF">
        <w:rPr>
          <w:rFonts w:eastAsiaTheme="minorEastAsia"/>
        </w:rPr>
        <w:t xml:space="preserve"> increase</w:t>
      </w:r>
      <w:r>
        <w:rPr>
          <w:rFonts w:eastAsiaTheme="minorEastAsia"/>
        </w:rPr>
        <w:t>d</w:t>
      </w:r>
      <w:r w:rsidRPr="00BD12AF">
        <w:rPr>
          <w:rFonts w:eastAsiaTheme="minorEastAsia"/>
        </w:rPr>
        <w:t xml:space="preserve"> the survival rates of frogs</w:t>
      </w:r>
      <w:r w:rsidR="0093017F">
        <w:rPr>
          <w:rFonts w:eastAsiaTheme="minorEastAsia"/>
        </w:rPr>
        <w:t>,</w:t>
      </w:r>
      <w:r w:rsidRPr="00BD12AF">
        <w:rPr>
          <w:rFonts w:eastAsiaTheme="minorEastAsia"/>
        </w:rPr>
        <w:t xml:space="preserve"> by allowing frogs to clear </w:t>
      </w:r>
      <w:r w:rsidR="007D76CE" w:rsidRPr="007D76CE">
        <w:rPr>
          <w:rFonts w:eastAsiaTheme="minorEastAsia"/>
          <w:i/>
          <w:iCs/>
        </w:rPr>
        <w:t>Bd</w:t>
      </w:r>
      <w:r w:rsidRPr="00BD12AF">
        <w:rPr>
          <w:rFonts w:eastAsiaTheme="minorEastAsia"/>
        </w:rPr>
        <w:t xml:space="preserve"> infections. Once recovered by heat treatments, individuals were subsequently resistant to further </w:t>
      </w:r>
      <w:r w:rsidR="007D76CE" w:rsidRPr="007D76CE">
        <w:rPr>
          <w:rFonts w:eastAsiaTheme="minorEastAsia"/>
          <w:i/>
          <w:iCs/>
        </w:rPr>
        <w:t>Bd</w:t>
      </w:r>
      <w:r w:rsidRPr="00BD12AF">
        <w:rPr>
          <w:rFonts w:eastAsiaTheme="minorEastAsia"/>
        </w:rPr>
        <w:t xml:space="preserve"> infections, even under cooler thermal environments suitable for </w:t>
      </w:r>
      <w:r w:rsidR="007D76CE" w:rsidRPr="007D76CE">
        <w:rPr>
          <w:rFonts w:eastAsiaTheme="minorEastAsia"/>
          <w:i/>
          <w:iCs/>
        </w:rPr>
        <w:t>Bd</w:t>
      </w:r>
      <w:r w:rsidRPr="00BD12AF">
        <w:rPr>
          <w:rFonts w:eastAsiaTheme="minorEastAsia"/>
        </w:rPr>
        <w:t xml:space="preserve"> growth </w:t>
      </w:r>
      <w:r w:rsidRPr="00BD12AF">
        <w:rPr>
          <w:rFonts w:eastAsiaTheme="minorEastAsia"/>
        </w:rPr>
        <w:fldChar w:fldCharType="begin"/>
      </w:r>
      <w:r w:rsidR="009F541F">
        <w:rPr>
          <w:rFonts w:eastAsiaTheme="minorEastAsia"/>
        </w:rPr>
        <w:instrText xml:space="preserve"> ADDIN ZOTERO_ITEM CSL_CITATION {"citationID":"AvYGiWTF","properties":{"formattedCitation":"(Waddle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Pr="00BD12AF">
        <w:rPr>
          <w:rFonts w:eastAsiaTheme="minorEastAsia"/>
        </w:rPr>
        <w:fldChar w:fldCharType="separate"/>
      </w:r>
      <w:r w:rsidR="009F541F" w:rsidRPr="009F541F">
        <w:t xml:space="preserve">(Waddle </w:t>
      </w:r>
      <w:r w:rsidR="009F541F" w:rsidRPr="00DA5824">
        <w:t>et al</w:t>
      </w:r>
      <w:r w:rsidR="009F541F" w:rsidRPr="009F541F">
        <w:rPr>
          <w:i/>
          <w:iCs/>
        </w:rPr>
        <w:t>.</w:t>
      </w:r>
      <w:r w:rsidR="009F541F" w:rsidRPr="009F541F">
        <w:t xml:space="preserve"> 2024)</w:t>
      </w:r>
      <w:r w:rsidRPr="00BD12AF">
        <w:rPr>
          <w:rFonts w:eastAsiaTheme="minorEastAsia"/>
        </w:rPr>
        <w:fldChar w:fldCharType="end"/>
      </w:r>
      <w:r w:rsidRPr="00BD12AF">
        <w:rPr>
          <w:rFonts w:eastAsiaTheme="minorEastAsia"/>
        </w:rPr>
        <w:t>.</w:t>
      </w:r>
      <w:r w:rsidR="00BE3EC4">
        <w:rPr>
          <w:rFonts w:eastAsiaTheme="minorEastAsia"/>
        </w:rPr>
        <w:t xml:space="preserve"> </w:t>
      </w:r>
      <w:r w:rsidRPr="00BD12AF">
        <w:rPr>
          <w:rFonts w:eastAsiaTheme="minorEastAsia"/>
        </w:rPr>
        <w:t xml:space="preserve">The model developed here allowed the exploration of these recent findings on the likely outcomes at the population level for </w:t>
      </w:r>
      <w:r w:rsidR="00B84722">
        <w:rPr>
          <w:rFonts w:eastAsiaTheme="minorEastAsia"/>
        </w:rPr>
        <w:t>Bell Frogs</w:t>
      </w:r>
      <w:r w:rsidRPr="00BD12AF">
        <w:rPr>
          <w:rFonts w:eastAsiaTheme="minorEastAsia"/>
        </w:rPr>
        <w:t xml:space="preserve"> managed with the use of thermal shelters.</w:t>
      </w:r>
      <w:r w:rsidR="00BE3EC4">
        <w:rPr>
          <w:rFonts w:eastAsiaTheme="minorEastAsia"/>
        </w:rPr>
        <w:t xml:space="preserve"> </w:t>
      </w:r>
      <w:r w:rsidRPr="00BD12AF">
        <w:rPr>
          <w:rFonts w:eastAsiaTheme="minorEastAsia"/>
        </w:rPr>
        <w:t xml:space="preserve">Results suggest positive outcomes for frog populations managed by the provision of thermal shelters that allow </w:t>
      </w:r>
      <w:r w:rsidR="0039026B" w:rsidRPr="00BD12AF">
        <w:rPr>
          <w:rFonts w:eastAsiaTheme="minorEastAsia"/>
        </w:rPr>
        <w:t>most of</w:t>
      </w:r>
      <w:r w:rsidRPr="00BD12AF">
        <w:rPr>
          <w:rFonts w:eastAsiaTheme="minorEastAsia"/>
        </w:rPr>
        <w:t xml:space="preserve"> the population (</w:t>
      </w:r>
      <m:oMath>
        <m:r>
          <w:rPr>
            <w:rFonts w:ascii="Cambria Math" w:eastAsiaTheme="minorEastAsia" w:hAnsi="Cambria Math"/>
          </w:rPr>
          <m:t>≥</m:t>
        </m:r>
      </m:oMath>
      <w:r w:rsidRPr="00BD12AF">
        <w:rPr>
          <w:rFonts w:eastAsiaTheme="minorEastAsia"/>
        </w:rPr>
        <w:t>90%) to utilise them.</w:t>
      </w:r>
      <w:r w:rsidR="00BE3EC4">
        <w:rPr>
          <w:rFonts w:eastAsiaTheme="minorEastAsia"/>
        </w:rPr>
        <w:t xml:space="preserve"> </w:t>
      </w:r>
      <w:r w:rsidRPr="00BD12AF">
        <w:rPr>
          <w:rFonts w:eastAsiaTheme="minorEastAsia"/>
        </w:rPr>
        <w:t>However, the results tend to depend on the prevailing thermal environment.</w:t>
      </w:r>
      <w:r w:rsidR="00BE3EC4">
        <w:rPr>
          <w:rFonts w:eastAsiaTheme="minorEastAsia"/>
        </w:rPr>
        <w:t xml:space="preserve"> </w:t>
      </w:r>
      <w:r w:rsidRPr="00BD12AF">
        <w:rPr>
          <w:rFonts w:eastAsiaTheme="minorEastAsia"/>
        </w:rPr>
        <w:t xml:space="preserve">Frogs inhabiting </w:t>
      </w:r>
      <w:r w:rsidR="0022442B">
        <w:rPr>
          <w:rFonts w:eastAsiaTheme="minorEastAsia"/>
        </w:rPr>
        <w:t>‘</w:t>
      </w:r>
      <w:r w:rsidRPr="00BD12AF">
        <w:rPr>
          <w:rFonts w:eastAsiaTheme="minorEastAsia"/>
        </w:rPr>
        <w:t>warm</w:t>
      </w:r>
      <w:r w:rsidR="0022442B">
        <w:rPr>
          <w:rFonts w:eastAsiaTheme="minorEastAsia"/>
        </w:rPr>
        <w:t>’</w:t>
      </w:r>
      <w:r w:rsidRPr="00BD12AF">
        <w:rPr>
          <w:rFonts w:eastAsiaTheme="minorEastAsia"/>
        </w:rPr>
        <w:t xml:space="preserve"> thermal environments where </w:t>
      </w:r>
      <w:r w:rsidR="007D76CE" w:rsidRPr="007D76CE">
        <w:rPr>
          <w:rFonts w:eastAsiaTheme="minorEastAsia"/>
          <w:i/>
          <w:iCs/>
        </w:rPr>
        <w:t>Bd</w:t>
      </w:r>
      <w:r w:rsidRPr="00BD12AF">
        <w:rPr>
          <w:rFonts w:eastAsiaTheme="minorEastAsia"/>
        </w:rPr>
        <w:t xml:space="preserve"> infections had reduced populations by ~</w:t>
      </w:r>
      <w:r w:rsidR="00614962">
        <w:rPr>
          <w:rFonts w:eastAsiaTheme="minorEastAsia"/>
        </w:rPr>
        <w:t>75</w:t>
      </w:r>
      <w:r w:rsidRPr="00BD12AF">
        <w:rPr>
          <w:rFonts w:eastAsiaTheme="minorEastAsia"/>
        </w:rPr>
        <w:t>%</w:t>
      </w:r>
      <w:r w:rsidR="0093017F">
        <w:rPr>
          <w:rFonts w:eastAsiaTheme="minorEastAsia"/>
        </w:rPr>
        <w:t>,</w:t>
      </w:r>
      <w:r w:rsidRPr="00BD12AF">
        <w:rPr>
          <w:rFonts w:eastAsiaTheme="minorEastAsia"/>
        </w:rPr>
        <w:t xml:space="preserve"> benefited by the provision of thermal shelters that raised frog body temperatures by 4</w:t>
      </w:r>
      <w:r w:rsidR="0093017F">
        <w:rPr>
          <w:rFonts w:eastAsiaTheme="minorEastAsia"/>
          <w:vertAlign w:val="superscript"/>
        </w:rPr>
        <w:t>°</w:t>
      </w:r>
      <w:r w:rsidRPr="00BD12AF">
        <w:rPr>
          <w:rFonts w:eastAsiaTheme="minorEastAsia"/>
        </w:rPr>
        <w:t>C.</w:t>
      </w:r>
      <w:r w:rsidR="00BE3EC4">
        <w:rPr>
          <w:rFonts w:eastAsiaTheme="minorEastAsia"/>
        </w:rPr>
        <w:t xml:space="preserve"> </w:t>
      </w:r>
      <w:r w:rsidRPr="00BD12AF">
        <w:rPr>
          <w:rFonts w:eastAsiaTheme="minorEastAsia"/>
        </w:rPr>
        <w:t>Provided the probability of shelter use was high (</w:t>
      </w:r>
      <m:oMath>
        <m:r>
          <w:rPr>
            <w:rFonts w:ascii="Cambria Math" w:eastAsiaTheme="minorEastAsia" w:hAnsi="Cambria Math"/>
          </w:rPr>
          <m:t>≥</m:t>
        </m:r>
      </m:oMath>
      <w:r w:rsidRPr="00BD12AF">
        <w:rPr>
          <w:rFonts w:eastAsiaTheme="minorEastAsia"/>
        </w:rPr>
        <w:t xml:space="preserve">90%), frog populations could recover to around </w:t>
      </w:r>
      <w:r w:rsidR="00DF00FF">
        <w:rPr>
          <w:rFonts w:eastAsiaTheme="minorEastAsia"/>
        </w:rPr>
        <w:t>60</w:t>
      </w:r>
      <w:r w:rsidRPr="00BD12AF">
        <w:rPr>
          <w:rFonts w:eastAsiaTheme="minorEastAsia"/>
        </w:rPr>
        <w:t xml:space="preserve">% of carrying-capacity within around 20 years. </w:t>
      </w:r>
    </w:p>
    <w:p w14:paraId="2B837DF9" w14:textId="172BAAA7" w:rsidR="001740BF" w:rsidRPr="00BD12AF" w:rsidRDefault="001740BF" w:rsidP="001740BF">
      <w:pPr>
        <w:rPr>
          <w:rFonts w:eastAsiaTheme="minorEastAsia"/>
        </w:rPr>
      </w:pPr>
      <w:r w:rsidRPr="00BD12AF">
        <w:rPr>
          <w:rFonts w:eastAsiaTheme="minorEastAsia"/>
        </w:rPr>
        <w:t xml:space="preserve">For colder parts of the former range of </w:t>
      </w:r>
      <w:r w:rsidR="00B84722">
        <w:rPr>
          <w:rFonts w:eastAsiaTheme="minorEastAsia"/>
        </w:rPr>
        <w:t>Bell Frogs</w:t>
      </w:r>
      <w:r w:rsidRPr="00BD12AF">
        <w:rPr>
          <w:rFonts w:eastAsiaTheme="minorEastAsia"/>
        </w:rPr>
        <w:t xml:space="preserve"> where </w:t>
      </w:r>
      <w:r w:rsidR="007D76CE" w:rsidRPr="007D76CE">
        <w:rPr>
          <w:rFonts w:eastAsiaTheme="minorEastAsia"/>
          <w:i/>
          <w:iCs/>
        </w:rPr>
        <w:t>Bd</w:t>
      </w:r>
      <w:r w:rsidRPr="00BD12AF">
        <w:rPr>
          <w:rFonts w:eastAsiaTheme="minorEastAsia"/>
        </w:rPr>
        <w:t xml:space="preserve"> had previously extirpated populations, population recovery would need to rely on a program of re-introductions.</w:t>
      </w:r>
      <w:r w:rsidR="00BE3EC4">
        <w:rPr>
          <w:rFonts w:eastAsiaTheme="minorEastAsia"/>
        </w:rPr>
        <w:t xml:space="preserve"> </w:t>
      </w:r>
      <w:r w:rsidRPr="00BD12AF">
        <w:rPr>
          <w:rFonts w:eastAsiaTheme="minorEastAsia"/>
        </w:rPr>
        <w:t xml:space="preserve">However, even if re-introduced frogs had been treated to convey increased resistance to </w:t>
      </w:r>
      <w:r w:rsidR="007D76CE" w:rsidRPr="007D76CE">
        <w:rPr>
          <w:rFonts w:eastAsiaTheme="minorEastAsia"/>
          <w:i/>
          <w:iCs/>
        </w:rPr>
        <w:t>Bd</w:t>
      </w:r>
      <w:r w:rsidRPr="00BD12AF">
        <w:rPr>
          <w:rFonts w:eastAsiaTheme="minorEastAsia"/>
        </w:rPr>
        <w:t xml:space="preserve"> infections, modelling results suggest that these have a high probability of failure unless thermal shelters are also provided as thermal refugia.</w:t>
      </w:r>
      <w:r w:rsidR="00BE3EC4">
        <w:rPr>
          <w:rFonts w:eastAsiaTheme="minorEastAsia"/>
        </w:rPr>
        <w:t xml:space="preserve"> </w:t>
      </w:r>
      <w:r w:rsidRPr="00BD12AF">
        <w:rPr>
          <w:rFonts w:eastAsiaTheme="minorEastAsia"/>
        </w:rPr>
        <w:t>However, to enable a high probability of population recovery, thermal shelters would need to raise frog body temp</w:t>
      </w:r>
      <w:r w:rsidR="0075042B">
        <w:rPr>
          <w:rFonts w:eastAsiaTheme="minorEastAsia"/>
        </w:rPr>
        <w:t>erature</w:t>
      </w:r>
      <w:r w:rsidRPr="00BD12AF">
        <w:rPr>
          <w:rFonts w:eastAsiaTheme="minorEastAsia"/>
        </w:rPr>
        <w:t xml:space="preserve">s by at least </w:t>
      </w:r>
      <w:r w:rsidR="00863418">
        <w:rPr>
          <w:rFonts w:eastAsiaTheme="minorEastAsia"/>
        </w:rPr>
        <w:t>8</w:t>
      </w:r>
      <w:r w:rsidR="0075042B" w:rsidRPr="00DA5824">
        <w:rPr>
          <w:rFonts w:eastAsiaTheme="minorEastAsia"/>
        </w:rPr>
        <w:t>°</w:t>
      </w:r>
      <w:r w:rsidRPr="00BD12AF">
        <w:rPr>
          <w:rFonts w:eastAsiaTheme="minorEastAsia"/>
        </w:rPr>
        <w:t xml:space="preserve">C and be utilised by </w:t>
      </w:r>
      <w:proofErr w:type="gramStart"/>
      <w:r w:rsidRPr="00BD12AF">
        <w:rPr>
          <w:rFonts w:eastAsiaTheme="minorEastAsia"/>
        </w:rPr>
        <w:t>the majority of</w:t>
      </w:r>
      <w:proofErr w:type="gramEnd"/>
      <w:r w:rsidRPr="00BD12AF">
        <w:rPr>
          <w:rFonts w:eastAsiaTheme="minorEastAsia"/>
        </w:rPr>
        <w:t xml:space="preserve"> the population.</w:t>
      </w:r>
      <w:r w:rsidR="007D76CE">
        <w:rPr>
          <w:rFonts w:eastAsiaTheme="minorEastAsia"/>
        </w:rPr>
        <w:t xml:space="preserve"> C</w:t>
      </w:r>
      <w:r w:rsidR="0075042B">
        <w:rPr>
          <w:rFonts w:eastAsiaTheme="minorEastAsia"/>
        </w:rPr>
        <w:t>onsequently</w:t>
      </w:r>
      <w:r w:rsidRPr="00BD12AF">
        <w:rPr>
          <w:rFonts w:eastAsiaTheme="minorEastAsia"/>
        </w:rPr>
        <w:t>, these results provide a guide for management of these species in different environments</w:t>
      </w:r>
      <w:r w:rsidR="0075042B">
        <w:rPr>
          <w:rFonts w:eastAsiaTheme="minorEastAsia"/>
        </w:rPr>
        <w:t>,</w:t>
      </w:r>
      <w:r w:rsidRPr="00BD12AF">
        <w:rPr>
          <w:rFonts w:eastAsiaTheme="minorEastAsia"/>
        </w:rPr>
        <w:t xml:space="preserve"> as well as guidelines for the design of thermal shelters used as refugia. </w:t>
      </w:r>
      <w:r>
        <w:rPr>
          <w:rFonts w:eastAsiaTheme="minorEastAsia"/>
        </w:rPr>
        <w:t>While these results are encouraging</w:t>
      </w:r>
      <w:r w:rsidR="0075042B">
        <w:rPr>
          <w:rFonts w:eastAsiaTheme="minorEastAsia"/>
        </w:rPr>
        <w:t>,</w:t>
      </w:r>
      <w:r>
        <w:rPr>
          <w:rFonts w:eastAsiaTheme="minorEastAsia"/>
        </w:rPr>
        <w:t xml:space="preserve"> it should be noted that the thermal environments modelled here are somewhat contrived.</w:t>
      </w:r>
      <w:r w:rsidR="00BE3EC4">
        <w:rPr>
          <w:rFonts w:eastAsiaTheme="minorEastAsia"/>
        </w:rPr>
        <w:t xml:space="preserve"> </w:t>
      </w:r>
      <w:r w:rsidR="0075042B">
        <w:rPr>
          <w:rFonts w:eastAsiaTheme="minorEastAsia"/>
        </w:rPr>
        <w:t>Therefore</w:t>
      </w:r>
      <w:r>
        <w:rPr>
          <w:rFonts w:eastAsiaTheme="minorEastAsia"/>
        </w:rPr>
        <w:t>, we recommend that future modelling include waterbody temperature regimes from actual locations targeted for management.</w:t>
      </w:r>
      <w:r w:rsidR="00BE3EC4">
        <w:rPr>
          <w:rFonts w:eastAsiaTheme="minorEastAsia"/>
        </w:rPr>
        <w:t xml:space="preserve"> </w:t>
      </w:r>
      <w:r w:rsidR="006C15C5">
        <w:rPr>
          <w:rFonts w:eastAsiaTheme="minorEastAsia"/>
        </w:rPr>
        <w:t>The impacts of large changes in temperature</w:t>
      </w:r>
      <w:r w:rsidR="00715EE2">
        <w:rPr>
          <w:rFonts w:eastAsiaTheme="minorEastAsia"/>
        </w:rPr>
        <w:t xml:space="preserve"> on frog metabolism and energy expenditure should also be </w:t>
      </w:r>
      <w:r w:rsidR="0075042B">
        <w:rPr>
          <w:rFonts w:eastAsiaTheme="minorEastAsia"/>
        </w:rPr>
        <w:t>investigated.</w:t>
      </w:r>
    </w:p>
    <w:p w14:paraId="6E8489DA" w14:textId="4B5D27A4" w:rsidR="001740BF" w:rsidRPr="00BD12AF" w:rsidRDefault="001740BF" w:rsidP="001740BF">
      <w:pPr>
        <w:rPr>
          <w:rFonts w:eastAsiaTheme="minorEastAsia"/>
        </w:rPr>
      </w:pPr>
      <w:r w:rsidRPr="00BD12AF">
        <w:rPr>
          <w:rFonts w:eastAsiaTheme="minorEastAsia"/>
        </w:rPr>
        <w:t xml:space="preserve">Although these results appear encouraging for designing potential management actions for the recovery of </w:t>
      </w:r>
      <w:r w:rsidR="00614962">
        <w:rPr>
          <w:rFonts w:eastAsiaTheme="minorEastAsia"/>
        </w:rPr>
        <w:t>B</w:t>
      </w:r>
      <w:r w:rsidRPr="00BD12AF">
        <w:rPr>
          <w:rFonts w:eastAsiaTheme="minorEastAsia"/>
        </w:rPr>
        <w:t xml:space="preserve">ell </w:t>
      </w:r>
      <w:r w:rsidR="001C1BBA">
        <w:rPr>
          <w:rFonts w:eastAsiaTheme="minorEastAsia"/>
        </w:rPr>
        <w:t>F</w:t>
      </w:r>
      <w:r w:rsidRPr="00BD12AF">
        <w:rPr>
          <w:rFonts w:eastAsiaTheme="minorEastAsia"/>
        </w:rPr>
        <w:t xml:space="preserve">rog populations to parts of their former range, it is unknown whether these results can be generalised to other </w:t>
      </w:r>
      <w:r w:rsidR="00614962">
        <w:rPr>
          <w:rFonts w:eastAsiaTheme="minorEastAsia"/>
        </w:rPr>
        <w:t xml:space="preserve">cold-adapted </w:t>
      </w:r>
      <w:r w:rsidRPr="00BD12AF">
        <w:rPr>
          <w:rFonts w:eastAsiaTheme="minorEastAsia"/>
        </w:rPr>
        <w:t xml:space="preserve">frog species decimated by the impacts of </w:t>
      </w:r>
      <w:r w:rsidR="00181D59" w:rsidRPr="00181D59">
        <w:rPr>
          <w:rFonts w:eastAsiaTheme="minorEastAsia"/>
          <w:i/>
          <w:iCs/>
        </w:rPr>
        <w:t>Bd</w:t>
      </w:r>
      <w:r w:rsidRPr="00BD12AF">
        <w:rPr>
          <w:rFonts w:eastAsiaTheme="minorEastAsia"/>
        </w:rPr>
        <w:t>.</w:t>
      </w:r>
      <w:r w:rsidR="00BE3EC4">
        <w:rPr>
          <w:rFonts w:eastAsiaTheme="minorEastAsia"/>
        </w:rPr>
        <w:t xml:space="preserve"> </w:t>
      </w:r>
      <w:r w:rsidRPr="00BD12AF">
        <w:rPr>
          <w:rFonts w:eastAsiaTheme="minorEastAsia"/>
        </w:rPr>
        <w:t xml:space="preserve">For example, unlike </w:t>
      </w:r>
      <w:r w:rsidR="00B84722">
        <w:rPr>
          <w:rFonts w:eastAsiaTheme="minorEastAsia"/>
        </w:rPr>
        <w:t>Bell Frogs</w:t>
      </w:r>
      <w:r w:rsidR="0075042B">
        <w:rPr>
          <w:rFonts w:eastAsiaTheme="minorEastAsia"/>
        </w:rPr>
        <w:t>,</w:t>
      </w:r>
      <w:r w:rsidRPr="00BD12AF">
        <w:rPr>
          <w:rFonts w:eastAsiaTheme="minorEastAsia"/>
        </w:rPr>
        <w:t xml:space="preserve"> the critically endangered Baw </w:t>
      </w:r>
      <w:proofErr w:type="spellStart"/>
      <w:r w:rsidRPr="00BD12AF">
        <w:rPr>
          <w:rFonts w:eastAsiaTheme="minorEastAsia"/>
        </w:rPr>
        <w:t>Baw</w:t>
      </w:r>
      <w:proofErr w:type="spellEnd"/>
      <w:r w:rsidRPr="00BD12AF">
        <w:rPr>
          <w:rFonts w:eastAsiaTheme="minorEastAsia"/>
        </w:rPr>
        <w:t xml:space="preserve"> </w:t>
      </w:r>
      <w:r>
        <w:rPr>
          <w:rFonts w:eastAsiaTheme="minorEastAsia"/>
        </w:rPr>
        <w:t>F</w:t>
      </w:r>
      <w:r w:rsidRPr="00BD12AF">
        <w:rPr>
          <w:rFonts w:eastAsiaTheme="minorEastAsia"/>
        </w:rPr>
        <w:t xml:space="preserve">rog does not seek out thermal </w:t>
      </w:r>
      <w:proofErr w:type="gramStart"/>
      <w:r w:rsidRPr="00BD12AF">
        <w:rPr>
          <w:rFonts w:eastAsiaTheme="minorEastAsia"/>
        </w:rPr>
        <w:t>refugia</w:t>
      </w:r>
      <w:r w:rsidR="0075042B">
        <w:rPr>
          <w:rFonts w:eastAsiaTheme="minorEastAsia"/>
        </w:rPr>
        <w:t>, and</w:t>
      </w:r>
      <w:proofErr w:type="gramEnd"/>
      <w:r w:rsidR="0075042B">
        <w:rPr>
          <w:rFonts w:eastAsiaTheme="minorEastAsia"/>
        </w:rPr>
        <w:t xml:space="preserve"> instead spends</w:t>
      </w:r>
      <w:r w:rsidRPr="00BD12AF">
        <w:rPr>
          <w:rFonts w:eastAsiaTheme="minorEastAsia"/>
        </w:rPr>
        <w:t xml:space="preserve"> </w:t>
      </w:r>
      <w:proofErr w:type="gramStart"/>
      <w:r w:rsidRPr="00BD12AF">
        <w:rPr>
          <w:rFonts w:eastAsiaTheme="minorEastAsia"/>
        </w:rPr>
        <w:t>the majority of</w:t>
      </w:r>
      <w:proofErr w:type="gramEnd"/>
      <w:r w:rsidRPr="00BD12AF">
        <w:rPr>
          <w:rFonts w:eastAsiaTheme="minorEastAsia"/>
        </w:rPr>
        <w:t xml:space="preserve"> </w:t>
      </w:r>
      <w:r w:rsidR="0075042B">
        <w:rPr>
          <w:rFonts w:eastAsiaTheme="minorEastAsia"/>
        </w:rPr>
        <w:t>its life</w:t>
      </w:r>
      <w:r w:rsidRPr="00BD12AF">
        <w:rPr>
          <w:rFonts w:eastAsiaTheme="minorEastAsia"/>
        </w:rPr>
        <w:t xml:space="preserve"> living among soil cavities and damp vegetation.</w:t>
      </w:r>
      <w:r w:rsidR="00BE3EC4">
        <w:rPr>
          <w:rFonts w:eastAsiaTheme="minorEastAsia"/>
        </w:rPr>
        <w:t xml:space="preserve"> </w:t>
      </w:r>
      <w:r w:rsidR="0075042B">
        <w:rPr>
          <w:rFonts w:eastAsiaTheme="minorEastAsia"/>
        </w:rPr>
        <w:t>As a result</w:t>
      </w:r>
      <w:r w:rsidRPr="00BD12AF">
        <w:rPr>
          <w:rFonts w:eastAsiaTheme="minorEastAsia"/>
        </w:rPr>
        <w:t>, the provision of thermal shelters is unlikely to be successful for many frog species that do not actively use thermal refugia.</w:t>
      </w:r>
      <w:r w:rsidR="00BE3EC4">
        <w:rPr>
          <w:rFonts w:eastAsiaTheme="minorEastAsia"/>
        </w:rPr>
        <w:t xml:space="preserve"> </w:t>
      </w:r>
      <w:r w:rsidR="008B0C93">
        <w:rPr>
          <w:rFonts w:eastAsiaTheme="minorEastAsia"/>
        </w:rPr>
        <w:t xml:space="preserve">In addition, some species of frog, such as the </w:t>
      </w:r>
      <w:proofErr w:type="spellStart"/>
      <w:r w:rsidR="0028536C">
        <w:rPr>
          <w:rFonts w:eastAsiaTheme="minorEastAsia"/>
        </w:rPr>
        <w:t>Booroolong</w:t>
      </w:r>
      <w:proofErr w:type="spellEnd"/>
      <w:r w:rsidR="0028536C">
        <w:rPr>
          <w:rFonts w:eastAsiaTheme="minorEastAsia"/>
        </w:rPr>
        <w:t xml:space="preserve"> </w:t>
      </w:r>
      <w:r w:rsidR="0075042B">
        <w:rPr>
          <w:rFonts w:eastAsiaTheme="minorEastAsia"/>
        </w:rPr>
        <w:t>F</w:t>
      </w:r>
      <w:r w:rsidR="0028536C">
        <w:rPr>
          <w:rFonts w:eastAsiaTheme="minorEastAsia"/>
        </w:rPr>
        <w:t>rog</w:t>
      </w:r>
      <w:r w:rsidR="003542B4">
        <w:rPr>
          <w:rFonts w:eastAsiaTheme="minorEastAsia"/>
        </w:rPr>
        <w:t xml:space="preserve"> (</w:t>
      </w:r>
      <w:proofErr w:type="spellStart"/>
      <w:r w:rsidR="003542B4" w:rsidRPr="00796FC1">
        <w:rPr>
          <w:rFonts w:eastAsiaTheme="minorEastAsia"/>
          <w:i/>
          <w:iCs/>
        </w:rPr>
        <w:t>Litoria</w:t>
      </w:r>
      <w:proofErr w:type="spellEnd"/>
      <w:r w:rsidR="00796FC1" w:rsidRPr="00796FC1">
        <w:rPr>
          <w:rFonts w:eastAsiaTheme="minorEastAsia"/>
          <w:i/>
          <w:iCs/>
        </w:rPr>
        <w:t xml:space="preserve"> </w:t>
      </w:r>
      <w:proofErr w:type="spellStart"/>
      <w:r w:rsidR="00796FC1" w:rsidRPr="00796FC1">
        <w:rPr>
          <w:rFonts w:eastAsiaTheme="minorEastAsia"/>
          <w:i/>
          <w:iCs/>
        </w:rPr>
        <w:t>booroolongensis</w:t>
      </w:r>
      <w:proofErr w:type="spellEnd"/>
      <w:r w:rsidR="00796FC1">
        <w:rPr>
          <w:rFonts w:eastAsiaTheme="minorEastAsia"/>
        </w:rPr>
        <w:t>)</w:t>
      </w:r>
      <w:r w:rsidR="0028536C">
        <w:rPr>
          <w:rFonts w:eastAsiaTheme="minorEastAsia"/>
        </w:rPr>
        <w:t xml:space="preserve">, did not show evidence of increased immunity after prior infection with </w:t>
      </w:r>
      <w:r w:rsidR="00181D59" w:rsidRPr="00181D59">
        <w:rPr>
          <w:rFonts w:eastAsiaTheme="minorEastAsia"/>
          <w:i/>
          <w:iCs/>
        </w:rPr>
        <w:t>Bd</w:t>
      </w:r>
      <w:r w:rsidR="002F46B8">
        <w:rPr>
          <w:rFonts w:eastAsiaTheme="minorEastAsia"/>
        </w:rPr>
        <w:t xml:space="preserve"> </w:t>
      </w:r>
      <w:r w:rsidR="002F46B8">
        <w:rPr>
          <w:rFonts w:eastAsiaTheme="minorEastAsia"/>
        </w:rPr>
        <w:fldChar w:fldCharType="begin"/>
      </w:r>
      <w:r w:rsidR="009F541F">
        <w:rPr>
          <w:rFonts w:eastAsiaTheme="minorEastAsia"/>
        </w:rPr>
        <w:instrText xml:space="preserve"> ADDIN ZOTERO_ITEM CSL_CITATION {"citationID":"rLmqyQQQ","properties":{"formattedCitation":"(Cashins {\\i{}et al.} 2013)","plainCitation":"(Cashins et al. 2013)","noteIndex":0},"citationItems":[{"id":9679,"uris":["http://zotero.org/users/634364/items/9DVMP2ZT"],"itemData":{"id":9679,"type":"article-journal","abstract":"Many amphibians have declined globally due to introduction of the pathogenic fungus Batrachochytrium dendrobatidis (Bd). Hundreds of species, many in well-protected habitats, remain as small populations at risk of extinction. Currently the only proven conservation strategy is to maintain species in captivity to be reintroduced at a later date. However, methods to abate the disease in the wild are urgently needed so that reintroduced and wild animals can survive in the presence of Bd. Vaccination has been widely suggested as a potential strategy to improve survival. We used captive-bred offspring of critically endangered booroolong frogs (Litoria booroolongensis) to test if vaccination in the form of prior infection improves survival following re exposure. We infected frogs with a local Bd isolate, cleared infection after 30 days (d) using itraconazole just prior to the onset of clinical signs, and then re-exposed animals to Bd at 110 d. We found prior exposure had no effect on survival or infection intensities, clearly showing that real infections do not stimulate a protective adaptive immune response in this species. This result supports recent studies suggesting Bd may evade or suppress host immune functions. Our results suggest vaccination is unlikely to be useful in mitigating chytridiomycosis. However, survival of some individuals from all experimental groups indicates existence of protective innate immunity. Understanding and promoting this innate resistance holds potential for enabling species recovery.","container-title":"PLoS ONE","DOI":"10.1371/journal.pone.0056747","ISSN":"1932-6203","issue":"2","journalAbbreviation":"PLoS ONE","language":"en","page":"e56747","source":"DOI.org (Crossref)","title":"Prior Infection Does Not Improve Survival against the Amphibian Disease Chytridiomycosis","volume":"8","author":[{"family":"Cashins","given":"Scott D."},{"family":"Grogan","given":"Laura F."},{"family":"McFadden","given":"Michael"},{"family":"Hunter","given":"David"},{"family":"Harlow","given":"Peter S."},{"family":"Berger","given":"Lee"},{"family":"Skerratt","given":"Lee F."}],"editor":[{"family":"Gratwicke","given":"Brian"}],"issued":{"date-parts":[["2013",2,22]]}}}],"schema":"https://github.com/citation-style-language/schema/raw/master/csl-citation.json"} </w:instrText>
      </w:r>
      <w:r w:rsidR="002F46B8">
        <w:rPr>
          <w:rFonts w:eastAsiaTheme="minorEastAsia"/>
        </w:rPr>
        <w:fldChar w:fldCharType="separate"/>
      </w:r>
      <w:r w:rsidR="009F541F" w:rsidRPr="009F541F">
        <w:t xml:space="preserve">(Cashins </w:t>
      </w:r>
      <w:r w:rsidR="009F541F" w:rsidRPr="00DA5824">
        <w:t>et al.</w:t>
      </w:r>
      <w:r w:rsidR="009F541F" w:rsidRPr="0075042B">
        <w:t xml:space="preserve"> </w:t>
      </w:r>
      <w:r w:rsidR="009F541F" w:rsidRPr="009F541F">
        <w:t>2013)</w:t>
      </w:r>
      <w:r w:rsidR="002F46B8">
        <w:rPr>
          <w:rFonts w:eastAsiaTheme="minorEastAsia"/>
        </w:rPr>
        <w:fldChar w:fldCharType="end"/>
      </w:r>
      <w:r w:rsidR="0028536C">
        <w:rPr>
          <w:rFonts w:eastAsiaTheme="minorEastAsia"/>
        </w:rPr>
        <w:t>.</w:t>
      </w:r>
      <w:r w:rsidR="00BE3EC4">
        <w:rPr>
          <w:rFonts w:eastAsiaTheme="minorEastAsia"/>
        </w:rPr>
        <w:t xml:space="preserve"> </w:t>
      </w:r>
      <w:r w:rsidR="0075042B">
        <w:rPr>
          <w:rFonts w:eastAsiaTheme="minorEastAsia"/>
        </w:rPr>
        <w:t>Therefore</w:t>
      </w:r>
      <w:r w:rsidR="00606DB6">
        <w:rPr>
          <w:rFonts w:eastAsiaTheme="minorEastAsia"/>
        </w:rPr>
        <w:t xml:space="preserve">, </w:t>
      </w:r>
      <w:r w:rsidR="002C28CA">
        <w:rPr>
          <w:rFonts w:eastAsiaTheme="minorEastAsia"/>
        </w:rPr>
        <w:t xml:space="preserve">to secure </w:t>
      </w:r>
      <w:r w:rsidR="005C5577">
        <w:rPr>
          <w:rFonts w:eastAsiaTheme="minorEastAsia"/>
        </w:rPr>
        <w:t xml:space="preserve">these </w:t>
      </w:r>
      <w:r w:rsidR="002C28CA">
        <w:rPr>
          <w:rFonts w:eastAsiaTheme="minorEastAsia"/>
        </w:rPr>
        <w:t>populations</w:t>
      </w:r>
      <w:r w:rsidR="005C5577">
        <w:rPr>
          <w:rFonts w:eastAsiaTheme="minorEastAsia"/>
        </w:rPr>
        <w:t xml:space="preserve"> from the impacts of </w:t>
      </w:r>
      <w:r w:rsidR="00181D59" w:rsidRPr="00181D59">
        <w:rPr>
          <w:rFonts w:eastAsiaTheme="minorEastAsia"/>
          <w:i/>
          <w:iCs/>
        </w:rPr>
        <w:t>Bd</w:t>
      </w:r>
      <w:r w:rsidR="005C5577">
        <w:rPr>
          <w:rFonts w:eastAsiaTheme="minorEastAsia"/>
        </w:rPr>
        <w:t xml:space="preserve">, </w:t>
      </w:r>
      <w:r w:rsidR="00606DB6">
        <w:rPr>
          <w:rFonts w:eastAsiaTheme="minorEastAsia"/>
        </w:rPr>
        <w:t xml:space="preserve">other </w:t>
      </w:r>
      <w:r w:rsidR="005C5577">
        <w:rPr>
          <w:rFonts w:eastAsiaTheme="minorEastAsia"/>
        </w:rPr>
        <w:t xml:space="preserve">mitigation </w:t>
      </w:r>
      <w:r w:rsidR="00606DB6">
        <w:rPr>
          <w:rFonts w:eastAsiaTheme="minorEastAsia"/>
        </w:rPr>
        <w:t xml:space="preserve">strategies </w:t>
      </w:r>
      <w:r w:rsidR="00561E47">
        <w:rPr>
          <w:rFonts w:eastAsiaTheme="minorEastAsia"/>
        </w:rPr>
        <w:t>are urgently needed.</w:t>
      </w:r>
      <w:r w:rsidR="00606DB6">
        <w:rPr>
          <w:rFonts w:eastAsiaTheme="minorEastAsia"/>
        </w:rPr>
        <w:t xml:space="preserve"> </w:t>
      </w:r>
      <w:r w:rsidR="00C156B8">
        <w:rPr>
          <w:rFonts w:eastAsiaTheme="minorEastAsia"/>
        </w:rPr>
        <w:t xml:space="preserve">Given the diversity of life-histories, behaviour and habitat use of frog species in south-eastern Australia, suitable mitigation measures are likely to be specific to </w:t>
      </w:r>
      <w:proofErr w:type="gramStart"/>
      <w:r w:rsidR="00C156B8">
        <w:rPr>
          <w:rFonts w:eastAsiaTheme="minorEastAsia"/>
        </w:rPr>
        <w:t>particular species</w:t>
      </w:r>
      <w:proofErr w:type="gramEnd"/>
      <w:r w:rsidR="00C156B8">
        <w:rPr>
          <w:rFonts w:eastAsiaTheme="minorEastAsia"/>
        </w:rPr>
        <w:t xml:space="preserve"> and habitats, and generalised solutions are unlikely to benefit every species.</w:t>
      </w:r>
      <w:r w:rsidR="00181D59" w:rsidRPr="00181D59">
        <w:rPr>
          <w:rFonts w:eastAsiaTheme="minorEastAsia"/>
        </w:rPr>
        <w:t xml:space="preserve"> </w:t>
      </w:r>
      <w:r w:rsidR="00181D59" w:rsidRPr="0C5A78FE">
        <w:rPr>
          <w:rFonts w:eastAsiaTheme="minorEastAsia"/>
        </w:rPr>
        <w:t>Successful interventions from global research includes translocating resistant frogs from recovered populations into former habitats, translocation into disease refugia and building disease-free enclosures (Berger et al</w:t>
      </w:r>
      <w:r w:rsidR="00181D59">
        <w:rPr>
          <w:rFonts w:eastAsiaTheme="minorEastAsia"/>
        </w:rPr>
        <w:t>.</w:t>
      </w:r>
      <w:r w:rsidR="00181D59" w:rsidRPr="0C5A78FE">
        <w:rPr>
          <w:rFonts w:eastAsiaTheme="minorEastAsia"/>
        </w:rPr>
        <w:t xml:space="preserve"> 2024). Promising research underway aims to improve frog resistance using recent biotechnological advances, by targeting pathogen virulence factors or host immunity (Berger et al</w:t>
      </w:r>
      <w:r w:rsidR="00181D59">
        <w:rPr>
          <w:rFonts w:eastAsiaTheme="minorEastAsia"/>
        </w:rPr>
        <w:t>.</w:t>
      </w:r>
      <w:r w:rsidR="00181D59" w:rsidRPr="0C5A78FE">
        <w:rPr>
          <w:rFonts w:eastAsiaTheme="minorEastAsia"/>
        </w:rPr>
        <w:t xml:space="preserve"> 2024)</w:t>
      </w:r>
      <w:r w:rsidR="00DD14EF">
        <w:rPr>
          <w:rFonts w:eastAsiaTheme="minorEastAsia"/>
        </w:rPr>
        <w:t>.</w:t>
      </w:r>
    </w:p>
    <w:p w14:paraId="4C6CBB97" w14:textId="17943B1B" w:rsidR="00FE2403" w:rsidRDefault="00E07B96" w:rsidP="00FE2403">
      <w:pPr>
        <w:pStyle w:val="Heading4"/>
      </w:pPr>
      <w:r>
        <w:t>White Nose Syndrome</w:t>
      </w:r>
      <w:r w:rsidR="00FE2403">
        <w:t xml:space="preserve"> in </w:t>
      </w:r>
      <w:r w:rsidR="00A67F12">
        <w:t>Southern Bent-wing Bats</w:t>
      </w:r>
    </w:p>
    <w:p w14:paraId="2A37DE3D" w14:textId="3C3E079D" w:rsidR="003A5CDB" w:rsidRDefault="003A5CDB" w:rsidP="004D3C4C">
      <w:r w:rsidRPr="00810290">
        <w:t xml:space="preserve">Transmission of </w:t>
      </w:r>
      <w:r w:rsidR="00207E24">
        <w:t xml:space="preserve">the fungal disease, </w:t>
      </w:r>
      <w:r w:rsidR="00007E4E">
        <w:t>WNS</w:t>
      </w:r>
      <w:r w:rsidR="00775D53">
        <w:t>,</w:t>
      </w:r>
      <w:r w:rsidRPr="00810290">
        <w:t xml:space="preserve"> especially through bat-to-bat transmission, appears to be </w:t>
      </w:r>
      <w:r w:rsidR="00775D53">
        <w:t xml:space="preserve">strongly </w:t>
      </w:r>
      <w:r w:rsidRPr="00810290">
        <w:t>related to cave roosting behaviour</w:t>
      </w:r>
      <w:r w:rsidR="0075042B">
        <w:t xml:space="preserve">, </w:t>
      </w:r>
      <w:r w:rsidRPr="00810290">
        <w:t xml:space="preserve">with species that form large roosting aggregations facilitating rapid transmission of the disease </w:t>
      </w:r>
      <w:r w:rsidRPr="00810290">
        <w:fldChar w:fldCharType="begin"/>
      </w:r>
      <w:r w:rsidR="009F541F">
        <w:instrText xml:space="preserve"> ADDIN ZOTERO_ITEM CSL_CITATION {"citationID":"t1gy6PVZ","properties":{"formattedCitation":"(Thogmartin {\\i{}et al.} 2013; Meyer {\\i{}et al.} 2016; Holz {\\i{}et al.} 2019)","plainCitation":"(Thogmartin et al. 2013; Meyer et al. 2016; Holz et al. 2019)","noteIndex":0},"citationItems":[{"id":9472,"uris":["http://zotero.org/users/634364/items/3NMLYZDN"],"itemData":{"id":9472,"type":"article-journal","abstract":"White-nose syndrome, a novel fungal pathogen spreading quickly through cave-hibernating bat species in east and central North America, is responsible for killing millions of bats. We developed a stochastic, stage-based population model to forecast the population dynamics of the endangered Indiana bat (Myotis sodalis) subject to white-nose syndrome. Our population model explicitly incorporated environmentally imposed annual variability in survival and reproductive rates and demographic stochasticity in predictions of extinction. With observed rates of disease spread, &gt;90% of wintering populations were predicted to experience white-nose syndrome within 20 years, causing the proportion of populations at the quasiextinction threshold of less than 250 females to increase by 33.9% over 50 years. At the species’ lowest median population level, ca. year 2022, we predicted 13.7% of the initial population to remain, totaling 28,958 females (95% CI = 13,330; 92,335). By 2022, only 12 of the initial 52 wintering populations were expected to possess wintering populations of &gt;250 females. If the species can acquire immunity to the disease, we predict 3.7% of wintering populations to be above 250 females after 50 years (year 2057) after a 69% decline in abundance (from 210,741 to 64,768 [95% CI = 49,386; 85,360] females). At the nadir of projections, we predicted regional quasi-extirpation of wintering populations in 2 of 4 Recovery Units while in a third region, where the species is currently most abundant, &gt;95% of the wintering populations were predicted to be below 250 females. Our modeling suggests white-nose syndrome is capable of bringing about severe numerical reduction in population size and local and regional extirpation of the Indiana bat.","container-title":"Biological Conservation","DOI":"10.1016/j.biocon.2013.01.010","ISSN":"00063207","journalAbbreviation":"Biological Conservation","language":"en","page":"162-172","source":"DOI.org (Crossref)","title":"White-nose syndrome is likely to extirpate the endangered Indiana bat over large parts of its range","volume":"160","author":[{"family":"Thogmartin","given":"Wayne E."},{"family":"Sanders-Reed","given":"Carol A."},{"family":"Szymanski","given":"Jennifer A."},{"family":"McKann","given":"Patrick C."},{"family":"Pruitt","given":"Lori"},{"family":"King","given":"R. Andrew"},{"family":"Runge","given":"Michael C."},{"family":"Russell","given":"Robin E."}],"issued":{"date-parts":[["2013",4]]}}},{"id":9493,"uris":["http://zotero.org/users/634364/items/H23I7GUY"],"itemData":{"id":9493,"type":"article-journal","abstract":"White-nose syndrome (WNS) is a lethal infection of bats caused by the psychrophilic fungus Pseudogymnoascus destructans (Pd). Since the ﬁrst cases of WNS were documented in 2006, it is estimated that as many as 5.5 million bats have succumbed in the United States—one of the fastest mammalian die-offs due to disease ever observed, and the ﬁrst known sustained epizootic of bats. WNS is contagious between bats, and mounting evidence suggests that a persistent environmental reservoir of Pd plays a signiﬁcant role in transmission as well. It is unclear, however, the relative contributions of bat-to-bat and environment-to-bat transmission to disease propagation within a colony. We analyze a mathematical model to investigate the consequences of both avenues of transmission on colony survival in addition to the efﬁcacy of disease control strategies. Our model shows that selection of the most effective control strategies is highly dependent on the primary route of WNS transmission. Under all scenarios, however, generalized culling is ineffective and while targeted culling of infected bats may be effective under idealized conditions, it primarily has negative consequences. Thus, understanding the signiﬁcance of environment-to-bat transmission is paramount to designing effective management plans.","container-title":"Journal of Theoretical Biology","DOI":"10.1016/j.jtbi.2016.08.033","ISSN":"00225193","journalAbbreviation":"Journal of Theoretical Biology","language":"en","page":"60-69","source":"DOI.org (Crossref)","title":"Predicting bat colony survival under controls targeting multiple transmission routes of white-nose syndrome","volume":"409","author":[{"family":"Meyer","given":"A.D."},{"family":"Stevens","given":"D.F."},{"family":"Blackwood","given":"J.C."}],"issued":{"date-parts":[["2016",11]]}}},{"id":9565,"uris":["http://zotero.org/users/634364/items/64IDBNM7"],"itemData":{"id":9565,"type":"article-journal","abstract":"Context. Pseudogymnoascus destructans is the fungus responsible for white-nose syndrome (WNS), which has killed millions of hibernating bats in North America, but also occurs in bats in Europe and China without causing large-scale population effects. This is likely to be due to differences in species susceptibility and behaviour, and environmental factors, such as temperature and humidity. Pseudogymnoascus destructans is currently believed to be absent from Australia.","container-title":"Wildlife Research","DOI":"10.1071/WR18194","ISSN":"1035-3712","issue":"8","journalAbbreviation":"Wildl. Res.","language":"en","page":"657","source":"DOI.org (Crossref)","title":"Does the fungus causing white-nose syndrome pose a significant risk to Australian bats?","volume":"46","author":[{"family":"Holz","given":"Peter"},{"family":"Hufschmid","given":"Jasmin"},{"family":"Boardman","given":"Wayne S. J."},{"family":"Cassey","given":"Phillip"},{"family":"Firestone","given":"Simon"},{"family":"Lumsden","given":"Lindy F."},{"family":"Prowse","given":"Thomas A. A."},{"family":"Reardon","given":"Terry"},{"family":"Stevenson","given":"Mark"}],"issued":{"date-parts":[["2019"]]}}}],"schema":"https://github.com/citation-style-language/schema/raw/master/csl-citation.json"} </w:instrText>
      </w:r>
      <w:r w:rsidRPr="00810290">
        <w:fldChar w:fldCharType="separate"/>
      </w:r>
      <w:r w:rsidR="009F541F" w:rsidRPr="009F541F">
        <w:t xml:space="preserve">(Thogmartin </w:t>
      </w:r>
      <w:r w:rsidR="009F541F" w:rsidRPr="00DA5824">
        <w:t>et al.</w:t>
      </w:r>
      <w:r w:rsidR="009F541F" w:rsidRPr="0075042B">
        <w:t xml:space="preserve"> 2013; Meyer </w:t>
      </w:r>
      <w:r w:rsidR="009F541F" w:rsidRPr="00DA5824">
        <w:t>et al.</w:t>
      </w:r>
      <w:r w:rsidR="009F541F" w:rsidRPr="0075042B">
        <w:t xml:space="preserve"> 2016; Holz </w:t>
      </w:r>
      <w:r w:rsidR="009F541F" w:rsidRPr="00DA5824">
        <w:t>et al.</w:t>
      </w:r>
      <w:r w:rsidR="009F541F" w:rsidRPr="0075042B">
        <w:t xml:space="preserve"> 2</w:t>
      </w:r>
      <w:r w:rsidR="009F541F" w:rsidRPr="009F541F">
        <w:t>019)</w:t>
      </w:r>
      <w:r w:rsidRPr="00810290">
        <w:fldChar w:fldCharType="end"/>
      </w:r>
      <w:r w:rsidRPr="00810290">
        <w:t>. SBWB</w:t>
      </w:r>
      <w:r w:rsidR="00EF7335">
        <w:t>s</w:t>
      </w:r>
      <w:r w:rsidRPr="00810290">
        <w:t xml:space="preserve"> are known to form large aggregations in maternity caves numbering in the thousands of individuals</w:t>
      </w:r>
      <w:r w:rsidR="0075042B">
        <w:t xml:space="preserve">, </w:t>
      </w:r>
      <w:r w:rsidRPr="00810290">
        <w:t xml:space="preserve">although smaller aggregations are usually seen in overwintering populations </w:t>
      </w:r>
      <w:r w:rsidRPr="00810290">
        <w:fldChar w:fldCharType="begin"/>
      </w:r>
      <w:r w:rsidR="009F541F">
        <w:instrText xml:space="preserve"> ADDIN ZOTERO_ITEM CSL_CITATION {"citationID":"hHsz3I4z","properties":{"formattedCitation":"(Holz {\\i{}et al.} 2019; van Harten 2020)","plainCitation":"(Holz et al. 2019; van Harten 2020)","noteIndex":0},"citationItems":[{"id":9565,"uris":["http://zotero.org/users/634364/items/64IDBNM7"],"itemData":{"id":9565,"type":"article-journal","abstract":"Context. Pseudogymnoascus destructans is the fungus responsible for white-nose syndrome (WNS), which has killed millions of hibernating bats in North America, but also occurs in bats in Europe and China without causing large-scale population effects. This is likely to be due to differences in species susceptibility and behaviour, and environmental factors, such as temperature and humidity. Pseudogymnoascus destructans is currently believed to be absent from Australia.","container-title":"Wildlife Research","DOI":"10.1071/WR18194","ISSN":"1035-3712","issue":"8","journalAbbreviation":"Wildl. Res.","language":"en","page":"657","source":"DOI.org (Crossref)","title":"Does the fungus causing white-nose syndrome pose a significant risk to Australian bats?","volume":"46","author":[{"family":"Holz","given":"Peter"},{"family":"Hufschmid","given":"Jasmin"},{"family":"Boardman","given":"Wayne S. J."},{"family":"Cassey","given":"Phillip"},{"family":"Firestone","given":"Simon"},{"family":"Lumsden","given":"Lindy F."},{"family":"Prowse","given":"Thomas A. A."},{"family":"Reardon","given":"Terry"},{"family":"Stevenson","given":"Mark"}],"issued":{"date-parts":[["2019"]]}}},{"id":9567,"uris":["http://zotero.org/users/634364/items/Q3RLUQKR"],"itemData":{"id":9567,"type":"thesis","genre":"PhD Thesis","number-of-pages":"198","publisher":"La Trobe University","title":"Population dynamics of the critically endangered, southern bent-winged bat Miniopterus orianae bassanii","author":[{"family":"Harten","given":"Emmi","non-dropping-particle":"van"}],"issued":{"date-parts":[["2020"]]}}}],"schema":"https://github.com/citation-style-language/schema/raw/master/csl-citation.json"} </w:instrText>
      </w:r>
      <w:r w:rsidRPr="00810290">
        <w:fldChar w:fldCharType="separate"/>
      </w:r>
      <w:r w:rsidR="009F541F" w:rsidRPr="009F541F">
        <w:t xml:space="preserve">(Holz </w:t>
      </w:r>
      <w:r w:rsidR="009F541F" w:rsidRPr="00DA5824">
        <w:t>et al.</w:t>
      </w:r>
      <w:r w:rsidR="009F541F" w:rsidRPr="0075042B">
        <w:t xml:space="preserve"> </w:t>
      </w:r>
      <w:r w:rsidR="009F541F" w:rsidRPr="009F541F">
        <w:t>2019; van Harten 2020)</w:t>
      </w:r>
      <w:r w:rsidRPr="00810290">
        <w:fldChar w:fldCharType="end"/>
      </w:r>
      <w:r w:rsidRPr="00810290">
        <w:t>.</w:t>
      </w:r>
      <w:r w:rsidR="00BE3EC4">
        <w:t xml:space="preserve"> </w:t>
      </w:r>
      <w:r w:rsidR="0075042B">
        <w:t>As a result</w:t>
      </w:r>
      <w:r w:rsidRPr="00810290">
        <w:t>, the generally gregarious behaviour of SBWB</w:t>
      </w:r>
      <w:r w:rsidR="00EF7335">
        <w:t>s</w:t>
      </w:r>
      <w:r w:rsidRPr="00810290">
        <w:t xml:space="preserve"> is likely to facilitate high bat-to-bat transmission of WNS.</w:t>
      </w:r>
      <w:r w:rsidR="001968A2">
        <w:t xml:space="preserve"> </w:t>
      </w:r>
      <w:r w:rsidR="001968A2" w:rsidRPr="00810290">
        <w:t>In the absence of information on the susceptibility of SBWB</w:t>
      </w:r>
      <w:r w:rsidR="00EF7335">
        <w:t>s</w:t>
      </w:r>
      <w:r w:rsidR="001968A2" w:rsidRPr="00810290">
        <w:t xml:space="preserve"> to WNS, we have elected to adopt the conservative assumption that SBWB</w:t>
      </w:r>
      <w:r w:rsidR="00EF7335">
        <w:t>s</w:t>
      </w:r>
      <w:r w:rsidR="001968A2" w:rsidRPr="00810290">
        <w:t xml:space="preserve"> could be highly susceptible</w:t>
      </w:r>
      <w:r w:rsidR="00007E4E">
        <w:t>.</w:t>
      </w:r>
    </w:p>
    <w:p w14:paraId="4D436A83" w14:textId="4D173CCE" w:rsidR="00A31ED4" w:rsidRPr="00810290" w:rsidRDefault="004D3C4C" w:rsidP="004D3C4C">
      <w:r w:rsidRPr="00810290">
        <w:t xml:space="preserve">Mortality due to WNS only occurs during winter hibernation and </w:t>
      </w:r>
      <w:r w:rsidR="008720AA">
        <w:t>therefore</w:t>
      </w:r>
      <w:r w:rsidRPr="00810290">
        <w:t>, bats that do not hibernate are at low risk from WNS</w:t>
      </w:r>
      <w:r w:rsidR="003A55E7">
        <w:t xml:space="preserve"> </w:t>
      </w:r>
      <w:r w:rsidR="003A55E7">
        <w:fldChar w:fldCharType="begin"/>
      </w:r>
      <w:r w:rsidR="009F541F">
        <w:instrText xml:space="preserve"> ADDIN ZOTERO_ITEM CSL_CITATION {"citationID":"5TDX0YCD","properties":{"formattedCitation":"(Jackson {\\i{}et al.} 2022a)","plainCitation":"(Jackson et al. 2022a)","noteIndex":0},"citationItems":[{"id":9578,"uris":["http://zotero.org/users/634364/items/GG46RHZW"],"itemData":{"id":9578,"type":"article-journal","abstract":"Abstract\n            \n              Studies examining the overwintering behaviors of North American hibernating bats are limited to a handful of species. We deployed temperature-sensitive transmitters on four species of bat that exhibit differences in their susceptibility to white nose syndrome (WNS;\n              Myotis grisescens\n              ,\n              M. leibii\n              ,\n              M. sodalis,\n              and\n              Perimyotis subflavus\n              ) to determine if these differences are correlated with behavior exhibited during hibernation (i.e., torpor expression and arousal frequency). Mean torpor skin temperature (T\n              sk\n              ) and torpor bout duration varied significantly among species (\n              P\n               ≤ 0.024), but arousal T\n              sk\n              and duration did not (\n              P\n               ≥ 0.057). One of the species with low susceptibility to WNS,\n              M. leibii\n              , had significantly shorter torpor bout durations (37.67 ± 26.89 h) than\n              M. sodalis\n              (260.67 ± 41.33 h), the species with medium susceptibility to WNS.\n              Myotis leibii\n              also had significantly higher torpor T\n              sk\n              (18.57 °C ± 0.20) than\n              M. grisescens\n              (13.33 °C ± 0.60), a second species with low WNS susceptibility. The high susceptibility species,\n              Perimyotis subflavus,\n              exhibited low torpor T\n              sk\n              (14.42 °C ± 0.36) but short torpor bouts (72.36 ± 32.16 h). We demonstrate that the four cavernicolous species examined exhibit a wide range in torpid skin temperature and torpor bout duration. Information from this study may improve WNS management in multispecies hibernacula or individual species management by providing insight into how some species may differ in their techniques for overwinter survival.","container-title":"Scientific Reports","DOI":"10.1038/s41598-022-09692-x","ISSN":"2045-2322","issue":"1","journalAbbreviation":"Sci Rep","language":"en","page":"5688","source":"DOI.org (Crossref)","title":"Winter torpor expression varies in four bat species with differential susceptibility to white-nose syndrome","volume":"12","author":[{"family":"Jackson","given":"Reilly T."},{"family":"Willcox","given":"Emma V."},{"family":"Bernard","given":"Riley F."}],"issued":{"date-parts":[["2022",4,5]]}}}],"schema":"https://github.com/citation-style-language/schema/raw/master/csl-citation.json"} </w:instrText>
      </w:r>
      <w:r w:rsidR="003A55E7">
        <w:fldChar w:fldCharType="separate"/>
      </w:r>
      <w:r w:rsidR="009F541F" w:rsidRPr="009F541F">
        <w:t xml:space="preserve">(Jackson </w:t>
      </w:r>
      <w:r w:rsidR="009F541F" w:rsidRPr="00DA5824">
        <w:t>et al.</w:t>
      </w:r>
      <w:r w:rsidR="009F541F" w:rsidRPr="008720AA">
        <w:t xml:space="preserve"> </w:t>
      </w:r>
      <w:r w:rsidR="009F541F" w:rsidRPr="009F541F">
        <w:t>2022a)</w:t>
      </w:r>
      <w:r w:rsidR="003A55E7">
        <w:fldChar w:fldCharType="end"/>
      </w:r>
      <w:r w:rsidRPr="00810290">
        <w:t>.</w:t>
      </w:r>
      <w:r w:rsidR="00BE3EC4">
        <w:t xml:space="preserve"> </w:t>
      </w:r>
      <w:r w:rsidRPr="00810290">
        <w:t xml:space="preserve">WNS causes bats to arouse more frequently from winter torpor than normal, prematurely depleting body fat reserves during a period when there is little available food </w:t>
      </w:r>
      <w:r w:rsidRPr="00810290">
        <w:fldChar w:fldCharType="begin"/>
      </w:r>
      <w:r w:rsidR="009F541F">
        <w:instrText xml:space="preserve"> ADDIN ZOTERO_ITEM CSL_CITATION {"citationID":"YPBYksNM","properties":{"formattedCitation":"(Foley {\\i{}et al.} 2011; Reeder {\\i{}et al.} 2012)","plainCitation":"(Foley et al. 2011; Reeder et al. 2012)","noteIndex":0},"citationItems":[{"id":9519,"uris":["http://zotero.org/users/634364/items/VA2TNPPN"],"itemData":{"id":9519,"type":"article-journal","abstract":"White-nose syndrome (WNS) is a fatal disease of bats that hibernate. The etiologic agent of WNS is the fungus Geomyces destructans, which infects the skin and wing membranes. Over 1 million bats in six species in eastern North America have died from WNS since 2006, and as a result several species of bats may become endangered or extinct. Information is lacking on the pathogenesis of G. destructans and WNS, WNS transmission and maintenance, individual and site factors that contribute to the probability of an outbreak of WNS, and spatial dynamics of WNS spread in North America. We considered how descriptive and analytical epidemiology could be used to fill these information gaps, including a four-step (modified) outbreak investigation, application of a set of criteria (Hill’s) for assessing causation, compartment models of disease dynamics, and spatial modeling. We cataloged and critiqued adaptive-management options that have been either previously proposed for WNS or were helpful in addressing other emerging diseases of wild animals. These include an ongoing program of prospective surveillance of bats and hibernacula for WNS, treatment of individual bats, increasing population resistance to WNS (through vaccines, immunomodulators, or other methods), improving probability of survival from starvation and dehydration associated with WNS, modifying hibernacula environments to eliminate G. destructans, culling individuals or populations, controlling anthropogenic spread of WNS, conserving genetic diversity of bats, and educating the public about bats and bat conservation issues associated with WNS.","container-title":"Conservation Biology","DOI":"10.1111/j.1523-1739.2010.01638.x","ISSN":"08888892","language":"en","license":"http://doi.wiley.com/10.1002/tdm_license_1.1","page":"no-no","source":"DOI.org (Crossref)","title":"Investigating and Managing the Rapid Emergence of White-Nose Syndrome, a Novel, Fatal, Infectious Disease of Hibernating Bats: White-Nose Syndrome in Bats","title-short":"Investigating and Managing the Rapid Emergence of White-Nose Syndrome, a Novel, Fatal, Infectious Disease of Hibernating Bats","author":[{"family":"Foley","given":"Janet"},{"family":"Clifford","given":"Deana"},{"family":"Castle","given":"Kevin"},{"family":"Cryan","given":"Paul"},{"family":"Ostfeld","given":"Richard S."}],"issued":{"date-parts":[["2011",1]]}}},{"id":9586,"uris":["http://zotero.org/users/634364/items/IBCFHZ5B"],"itemData":{"id":9586,"type":"article-journal","abstract":"White-nose syndrome (WNS), an emerging infectious disease that has killed over 5.5 million hibernating bats, is named for the causative agent, a white fungus (Geomyces destructans (Gd)) that invades the skin of torpid bats. During hibernation, arousals to warm (euthermic) body temperatures are normal but deplete fat stores. Temperature-sensitive dataloggers were attached to the backs of 504 free-ranging little brown bats (Myotis lucifugus) in hibernacula located throughout the northeastern USA. Dataloggers were retrieved at the end of the hibernation season and complete profiles of skin temperature data were available from 83 bats, which were categorized as: (1) unaffected, (2) WNS-affected but alive at time of datalogger removal, or (3) WNS-affected but found dead at time of datalogger removal. Histological confirmation of WNS severity (as indexed by degree of fungal infection) as well as confirmation of presence/absence of DNA from Gd by PCR was determined for 26 animals. We demonstrated that WNS-affected bats aroused to euthermic body temperatures more frequently than unaffected bats, likely contributing to subsequent mortality. Within the subset of WNS-affected bats that were found dead at the time of datalogger removal, the number of arousal bouts since datalogger attachment significantly predicted date of death. Additionally, the severity of cutaneous Gd infection correlated with the number of arousal episodes from torpor during hibernation. Thus, increased frequency of arousal from torpor likely contributes to WNS-associated mortality, but the question of how Gd infection induces increased arousals remains unanswered.","container-title":"PLoS ONE","DOI":"10.1371/journal.pone.0038920","ISSN":"1932-6203","issue":"6","journalAbbreviation":"PLoS ONE","language":"en","page":"e38920","source":"DOI.org (Crossref)","title":"Frequent Arousal from Hibernation Linked to Severity of Infection and Mortality in Bats with White-Nose Syndrome","volume":"7","author":[{"family":"Reeder","given":"DeeAnn M."},{"family":"Frank","given":"Craig L."},{"family":"Turner","given":"Gregory G."},{"family":"Meteyer","given":"Carol U."},{"family":"Kurta","given":"Allen"},{"family":"Britzke","given":"Eric R."},{"family":"Vodzak","given":"Megan E."},{"family":"Darling","given":"Scott R."},{"family":"Stihler","given":"Craig W."},{"family":"Hicks","given":"Alan C."},{"family":"Jacob","given":"Roymon"},{"family":"Grieneisen","given":"Laura E."},{"family":"Brownlee","given":"Sarah A."},{"family":"Muller","given":"Laura K."},{"family":"Blehert","given":"David S."}],"editor":[{"family":"Arlettaz","given":"Raphaël"}],"issued":{"date-parts":[["2012",6,20]]}}}],"schema":"https://github.com/citation-style-language/schema/raw/master/csl-citation.json"} </w:instrText>
      </w:r>
      <w:r w:rsidRPr="00810290">
        <w:fldChar w:fldCharType="separate"/>
      </w:r>
      <w:r w:rsidR="009F541F" w:rsidRPr="009F541F">
        <w:t xml:space="preserve">(Foley </w:t>
      </w:r>
      <w:r w:rsidR="009F541F" w:rsidRPr="00DA5824">
        <w:t>et al.</w:t>
      </w:r>
      <w:r w:rsidR="009F541F" w:rsidRPr="008720AA">
        <w:t xml:space="preserve"> 2011; Reeder </w:t>
      </w:r>
      <w:r w:rsidR="009F541F" w:rsidRPr="00DA5824">
        <w:t>et al</w:t>
      </w:r>
      <w:r w:rsidR="009F541F" w:rsidRPr="009F541F">
        <w:rPr>
          <w:i/>
          <w:iCs/>
        </w:rPr>
        <w:t>.</w:t>
      </w:r>
      <w:r w:rsidR="009F541F" w:rsidRPr="009F541F">
        <w:t xml:space="preserve"> 2012)</w:t>
      </w:r>
      <w:r w:rsidRPr="00810290">
        <w:fldChar w:fldCharType="end"/>
      </w:r>
      <w:r w:rsidRPr="00810290">
        <w:t>.</w:t>
      </w:r>
      <w:r w:rsidR="00BE3EC4">
        <w:t xml:space="preserve"> </w:t>
      </w:r>
      <w:r w:rsidRPr="00810290">
        <w:t xml:space="preserve">Although frequent arousal from winter torpor can be detrimental in areas with cold and prolonged winters, the impacts of more frequent arousal may not be so severe in areas with milder winter climates </w:t>
      </w:r>
      <w:r w:rsidRPr="00810290">
        <w:fldChar w:fldCharType="begin"/>
      </w:r>
      <w:r w:rsidR="009F541F">
        <w:instrText xml:space="preserve"> ADDIN ZOTERO_ITEM CSL_CITATION {"citationID":"LkhvMcaE","properties":{"formattedCitation":"(Jackson {\\i{}et al.} 2022a; Jackson {\\i{}et al.} 2022b)","plainCitation":"(Jackson et al. 2022a; Jackson et al. 2022b)","noteIndex":0},"citationItems":[{"id":9578,"uris":["http://zotero.org/users/634364/items/GG46RHZW"],"itemData":{"id":9578,"type":"article-journal","abstract":"Abstract\n            \n              Studies examining the overwintering behaviors of North American hibernating bats are limited to a handful of species. We deployed temperature-sensitive transmitters on four species of bat that exhibit differences in their susceptibility to white nose syndrome (WNS;\n              Myotis grisescens\n              ,\n              M. leibii\n              ,\n              M. sodalis,\n              and\n              Perimyotis subflavus\n              ) to determine if these differences are correlated with behavior exhibited during hibernation (i.e., torpor expression and arousal frequency). Mean torpor skin temperature (T\n              sk\n              ) and torpor bout duration varied significantly among species (\n              P\n               ≤ 0.024), but arousal T\n              sk\n              and duration did not (\n              P\n               ≥ 0.057). One of the species with low susceptibility to WNS,\n              M. leibii\n              , had significantly shorter torpor bout durations (37.67 ± 26.89 h) than\n              M. sodalis\n              (260.67 ± 41.33 h), the species with medium susceptibility to WNS.\n              Myotis leibii\n              also had significantly higher torpor T\n              sk\n              (18.57 °C ± 0.20) than\n              M. grisescens\n              (13.33 °C ± 0.60), a second species with low WNS susceptibility. The high susceptibility species,\n              Perimyotis subflavus,\n              exhibited low torpor T\n              sk\n              (14.42 °C ± 0.36) but short torpor bouts (72.36 ± 32.16 h). We demonstrate that the four cavernicolous species examined exhibit a wide range in torpid skin temperature and torpor bout duration. Information from this study may improve WNS management in multispecies hibernacula or individual species management by providing insight into how some species may differ in their techniques for overwinter survival.","container-title":"Scientific Reports","DOI":"10.1038/s41598-022-09692-x","ISSN":"2045-2322","issue":"1","journalAbbreviation":"Sci Rep","language":"en","page":"5688","source":"DOI.org (Crossref)","title":"Winter torpor expression varies in four bat species with differential susceptibility to white-nose syndrome","volume":"12","author":[{"family":"Jackson","given":"Reilly T."},{"family":"Willcox","given":"Emma V."},{"family":"Bernard","given":"Riley F."}],"issued":{"date-parts":[["2022",4,5]]}}},{"id":9580,"uris":["http://zotero.org/users/634364/items/3A2928QK"],"itemData":{"id":9580,"type":"article-journal","abstract":"Prior to the introduction of white-­nose syndrome (WNS) to North America, temperate bats were thought to remain within hibernacula throughout most of the winter. However, recent research has shown that bats in the southeastern United States emerge regularly from hibernation and are active on the landscape, regardless of their WNS status. The relationship between winter activity and susceptibility to WNS has yet to be explored but warrants attention, as it may enable managers to implement targeted management for WNS-­affected species. We investigated this relationship by implanting 1346 passive integrated transponder (PIT) tags in four species that vary in their susceptibility to WNS. Based on PIT-­tag detections, three species entered hibernation from late October to early November. Bats were active at hibernacula entrances on days when midpoint temperatures ranged from −1.94 to 22.78°C (mean midpoint temperature = 8.70 ± 0.33°C). Eastern small-­footed bats (Myotis leibii), a species with low susceptibility to WNS, were active throughout winter, with a significant decrease in activity in mid-­hibernation (December 16 to February 15). Tricolored bats (Perimyotis subflavus), a species that is highly susceptible to WNS, exhibited an increase in activity beginning in mid-­hibernation and extending through late hibernation (February 16 to March 31). Indiana bats (M. sodalis), a species determined to have a medium–­high susceptibility to WNS, remained on the landscape into early hibernation (November 1 to December 15), after which we did not record any again until the latter portion of mid-­hibernation. Finally, gray bats (M. grisescens), another species with low susceptibility to WNS, maintained low but regular levels of activity throughout winter. Given these results, we determined that emergence activity from hibernacula during winter is highly variable among bat species and our data will assist wildlife managers to make informed decisions regarding the timing of implementation of species-­specific conservation actions.","container-title":"Ecology and Evolution","DOI":"10.1002/ece3.9113","ISSN":"2045-7758, 2045-7758","issue":"7","journalAbbreviation":"Ecology and Evolution","language":"en","page":"e9113","source":"DOI.org (Crossref)","title":"Emergence activity at hibernacula differs among four bat species affected by white</w:instrText>
      </w:r>
      <w:r w:rsidR="009F541F">
        <w:rPr>
          <w:rFonts w:ascii="Cambria Math" w:hAnsi="Cambria Math" w:cs="Cambria Math"/>
        </w:rPr>
        <w:instrText>‐</w:instrText>
      </w:r>
      <w:r w:rsidR="009F541F">
        <w:instrText xml:space="preserve">nose syndrome","volume":"12","author":[{"family":"Jackson","given":"Reilly T."},{"family":"Willcox","given":"Emma V."},{"family":"Zobel","given":"John M."},{"family":"Bernard","given":"Riley F."}],"issued":{"date-parts":[["2022",7]]}}}],"schema":"https://github.com/citation-style-language/schema/raw/master/csl-citation.json"} </w:instrText>
      </w:r>
      <w:r w:rsidRPr="00810290">
        <w:fldChar w:fldCharType="separate"/>
      </w:r>
      <w:r w:rsidR="009F541F" w:rsidRPr="008720AA">
        <w:t xml:space="preserve">(Jackson </w:t>
      </w:r>
      <w:r w:rsidR="009F541F" w:rsidRPr="00DA5824">
        <w:t>et al.</w:t>
      </w:r>
      <w:r w:rsidR="009F541F" w:rsidRPr="008720AA">
        <w:t xml:space="preserve"> 2022a; Jackson </w:t>
      </w:r>
      <w:r w:rsidR="009F541F" w:rsidRPr="00DA5824">
        <w:t>et al.</w:t>
      </w:r>
      <w:r w:rsidR="009F541F" w:rsidRPr="008720AA">
        <w:t xml:space="preserve"> 2</w:t>
      </w:r>
      <w:r w:rsidR="009F541F" w:rsidRPr="009F541F">
        <w:t>022b)</w:t>
      </w:r>
      <w:r w:rsidRPr="00810290">
        <w:fldChar w:fldCharType="end"/>
      </w:r>
      <w:r w:rsidRPr="00810290">
        <w:t>.</w:t>
      </w:r>
      <w:r w:rsidR="00BE3EC4">
        <w:t xml:space="preserve"> </w:t>
      </w:r>
      <w:r w:rsidRPr="00810290">
        <w:t xml:space="preserve">In areas with milder winter temperatures, arousal from torpor may allow bats to increase body temperature and immune responses retarding the growth of </w:t>
      </w:r>
      <w:r w:rsidRPr="00715B5B">
        <w:rPr>
          <w:i/>
          <w:iCs/>
        </w:rPr>
        <w:t>Pd</w:t>
      </w:r>
      <w:r w:rsidRPr="00810290">
        <w:t>.</w:t>
      </w:r>
      <w:r w:rsidR="00BE3EC4">
        <w:t xml:space="preserve"> </w:t>
      </w:r>
      <w:r w:rsidRPr="00810290">
        <w:t>Milder winters may also offer more opportunities for winter foraging</w:t>
      </w:r>
      <w:r w:rsidR="008720AA">
        <w:t>,</w:t>
      </w:r>
      <w:r w:rsidRPr="00810290">
        <w:t xml:space="preserve"> allowing bats to replenish energy reserves.</w:t>
      </w:r>
      <w:r w:rsidR="00BE3EC4">
        <w:t xml:space="preserve"> </w:t>
      </w:r>
      <w:r w:rsidRPr="00810290">
        <w:t xml:space="preserve">This appears to be the case for the </w:t>
      </w:r>
      <w:r w:rsidR="00715B5B">
        <w:t>E</w:t>
      </w:r>
      <w:r w:rsidRPr="00810290">
        <w:t xml:space="preserve">astern </w:t>
      </w:r>
      <w:r w:rsidR="00715B5B">
        <w:t>S</w:t>
      </w:r>
      <w:r w:rsidRPr="00810290">
        <w:t xml:space="preserve">mall-footed </w:t>
      </w:r>
      <w:r w:rsidR="00715B5B">
        <w:t>B</w:t>
      </w:r>
      <w:r w:rsidRPr="00810290">
        <w:t>at (</w:t>
      </w:r>
      <w:r w:rsidRPr="00715B5B">
        <w:rPr>
          <w:i/>
          <w:iCs/>
        </w:rPr>
        <w:t xml:space="preserve">M. </w:t>
      </w:r>
      <w:proofErr w:type="spellStart"/>
      <w:r w:rsidRPr="00715B5B">
        <w:rPr>
          <w:i/>
          <w:iCs/>
        </w:rPr>
        <w:t>leibii</w:t>
      </w:r>
      <w:proofErr w:type="spellEnd"/>
      <w:r w:rsidRPr="00810290">
        <w:t>) inhabiting the southern United States, which exhibits relatively high skin temperatures during torpor, as well as frequent torpor arousal and high levels of foraging activity during winter.</w:t>
      </w:r>
      <w:r w:rsidR="00BE3EC4">
        <w:t xml:space="preserve"> </w:t>
      </w:r>
      <w:r w:rsidRPr="00810290">
        <w:t>This behaviour is hypothesised to allow th</w:t>
      </w:r>
      <w:r w:rsidR="008720AA">
        <w:t>e</w:t>
      </w:r>
      <w:r w:rsidRPr="00810290">
        <w:t xml:space="preserve"> species to be largely resistant to the effects of WNS</w:t>
      </w:r>
      <w:r w:rsidR="008720AA">
        <w:t>,</w:t>
      </w:r>
      <w:r w:rsidRPr="00810290">
        <w:t xml:space="preserve"> due to frequent periods where their body temperatures are likely to be suboptimal for the growth of </w:t>
      </w:r>
      <w:r w:rsidRPr="00D84A6F">
        <w:rPr>
          <w:i/>
          <w:iCs/>
        </w:rPr>
        <w:t>Pd</w:t>
      </w:r>
      <w:r w:rsidRPr="00810290">
        <w:t xml:space="preserve"> </w:t>
      </w:r>
      <w:r w:rsidRPr="00810290">
        <w:fldChar w:fldCharType="begin"/>
      </w:r>
      <w:r w:rsidR="009F541F">
        <w:instrText xml:space="preserve"> ADDIN ZOTERO_ITEM CSL_CITATION {"citationID":"eaaq6dFD","properties":{"formattedCitation":"(Jackson {\\i{}et al.} 2022b)","plainCitation":"(Jackson et al. 2022b)","noteIndex":0},"citationItems":[{"id":9580,"uris":["http://zotero.org/users/634364/items/3A2928QK"],"itemData":{"id":9580,"type":"article-journal","abstract":"Prior to the introduction of white-­nose syndrome (WNS) to North America, temperate bats were thought to remain within hibernacula throughout most of the winter. However, recent research has shown that bats in the southeastern United States emerge regularly from hibernation and are active on the landscape, regardless of their WNS status. The relationship between winter activity and susceptibility to WNS has yet to be explored but warrants attention, as it may enable managers to implement targeted management for WNS-­affected species. We investigated this relationship by implanting 1346 passive integrated transponder (PIT) tags in four species that vary in their susceptibility to WNS. Based on PIT-­tag detections, three species entered hibernation from late October to early November. Bats were active at hibernacula entrances on days when midpoint temperatures ranged from −1.94 to 22.78°C (mean midpoint temperature = 8.70 ± 0.33°C). Eastern small-­footed bats (Myotis leibii), a species with low susceptibility to WNS, were active throughout winter, with a significant decrease in activity in mid-­hibernation (December 16 to February 15). Tricolored bats (Perimyotis subflavus), a species that is highly susceptible to WNS, exhibited an increase in activity beginning in mid-­hibernation and extending through late hibernation (February 16 to March 31). Indiana bats (M. sodalis), a species determined to have a medium–­high susceptibility to WNS, remained on the landscape into early hibernation (November 1 to December 15), after which we did not record any again until the latter portion of mid-­hibernation. Finally, gray bats (M. grisescens), another species with low susceptibility to WNS, maintained low but regular levels of activity throughout winter. Given these results, we determined that emergence activity from hibernacula during winter is highly variable among bat species and our data will assist wildlife managers to make informed decisions regarding the timing of implementation of species-­specific conservation actions.","container-title":"Ecology and Evolution","DOI":"10.1002/ece3.9113","ISSN":"2045-7758, 2045-7758","issue":"7","journalAbbreviation":"Ecology and Evolution","language":"en","page":"e9113","source":"DOI.org (Crossref)","title":"Emergence activity at hibernacula differs among four bat species affected by white</w:instrText>
      </w:r>
      <w:r w:rsidR="009F541F">
        <w:rPr>
          <w:rFonts w:ascii="Cambria Math" w:hAnsi="Cambria Math" w:cs="Cambria Math"/>
        </w:rPr>
        <w:instrText>‐</w:instrText>
      </w:r>
      <w:r w:rsidR="009F541F">
        <w:instrText xml:space="preserve">nose syndrome","volume":"12","author":[{"family":"Jackson","given":"Reilly T."},{"family":"Willcox","given":"Emma V."},{"family":"Zobel","given":"John M."},{"family":"Bernard","given":"Riley F."}],"issued":{"date-parts":[["2022",7]]}}}],"schema":"https://github.com/citation-style-language/schema/raw/master/csl-citation.json"} </w:instrText>
      </w:r>
      <w:r w:rsidRPr="00810290">
        <w:fldChar w:fldCharType="separate"/>
      </w:r>
      <w:r w:rsidR="009F541F" w:rsidRPr="009F541F">
        <w:t xml:space="preserve">(Jackson </w:t>
      </w:r>
      <w:r w:rsidR="009F541F" w:rsidRPr="00DA5824">
        <w:t>et al</w:t>
      </w:r>
      <w:r w:rsidR="009F541F" w:rsidRPr="009F541F">
        <w:rPr>
          <w:i/>
          <w:iCs/>
        </w:rPr>
        <w:t>.</w:t>
      </w:r>
      <w:r w:rsidR="009F541F" w:rsidRPr="009F541F">
        <w:t xml:space="preserve"> 2022b)</w:t>
      </w:r>
      <w:r w:rsidRPr="00810290">
        <w:fldChar w:fldCharType="end"/>
      </w:r>
      <w:r w:rsidRPr="00810290">
        <w:t>.</w:t>
      </w:r>
      <w:r w:rsidR="00BE3EC4">
        <w:t xml:space="preserve"> </w:t>
      </w:r>
      <w:r w:rsidR="00E84A31">
        <w:t>In contrast to this</w:t>
      </w:r>
      <w:r w:rsidR="00763FDF">
        <w:t xml:space="preserve"> species</w:t>
      </w:r>
      <w:r w:rsidR="00E95339">
        <w:t>,</w:t>
      </w:r>
      <w:r w:rsidR="00E84A31">
        <w:t xml:space="preserve"> </w:t>
      </w:r>
      <w:r w:rsidR="00890369">
        <w:t>Tri</w:t>
      </w:r>
      <w:r w:rsidR="000E7F2F">
        <w:t>colored Bats (</w:t>
      </w:r>
      <w:proofErr w:type="spellStart"/>
      <w:r w:rsidR="00460CA3" w:rsidRPr="00E95339">
        <w:rPr>
          <w:i/>
          <w:iCs/>
        </w:rPr>
        <w:t>Perimyotis</w:t>
      </w:r>
      <w:proofErr w:type="spellEnd"/>
      <w:r w:rsidR="00460CA3" w:rsidRPr="00E95339">
        <w:rPr>
          <w:i/>
          <w:iCs/>
        </w:rPr>
        <w:t xml:space="preserve"> </w:t>
      </w:r>
      <w:proofErr w:type="spellStart"/>
      <w:r w:rsidR="00460CA3" w:rsidRPr="00E95339">
        <w:rPr>
          <w:i/>
          <w:iCs/>
        </w:rPr>
        <w:t>subflavus</w:t>
      </w:r>
      <w:proofErr w:type="spellEnd"/>
      <w:r w:rsidR="00460CA3">
        <w:t xml:space="preserve">) inhabiting </w:t>
      </w:r>
      <w:r w:rsidR="00F37248">
        <w:t xml:space="preserve">similar </w:t>
      </w:r>
      <w:r w:rsidR="00460CA3">
        <w:t>areas als</w:t>
      </w:r>
      <w:r w:rsidR="004F4AA5">
        <w:t>o</w:t>
      </w:r>
      <w:r w:rsidR="00460CA3">
        <w:t xml:space="preserve"> exhibited </w:t>
      </w:r>
      <w:r w:rsidR="004F4AA5">
        <w:t xml:space="preserve">frequent torpor arousal and high levels of </w:t>
      </w:r>
      <w:proofErr w:type="gramStart"/>
      <w:r w:rsidR="004F4AA5">
        <w:t>activity</w:t>
      </w:r>
      <w:r w:rsidR="008720AA">
        <w:t>,</w:t>
      </w:r>
      <w:r w:rsidR="004F4AA5">
        <w:t xml:space="preserve"> but</w:t>
      </w:r>
      <w:proofErr w:type="gramEnd"/>
      <w:r w:rsidR="004F4AA5">
        <w:t xml:space="preserve"> had lower skin temperature during torpor</w:t>
      </w:r>
      <w:r w:rsidR="0081337D">
        <w:t xml:space="preserve"> conducive for the growth of </w:t>
      </w:r>
      <w:r w:rsidR="0081337D" w:rsidRPr="00763FDF">
        <w:rPr>
          <w:i/>
          <w:iCs/>
        </w:rPr>
        <w:t>Pd</w:t>
      </w:r>
      <w:r w:rsidR="00BC3A60">
        <w:t xml:space="preserve"> and </w:t>
      </w:r>
      <w:r w:rsidR="00816B57">
        <w:t>therefore</w:t>
      </w:r>
      <w:r w:rsidR="009D3E98">
        <w:t xml:space="preserve"> experienced high levels of </w:t>
      </w:r>
      <w:r w:rsidR="009D3E98" w:rsidRPr="009D3E98">
        <w:rPr>
          <w:i/>
          <w:iCs/>
        </w:rPr>
        <w:t>Pd</w:t>
      </w:r>
      <w:r w:rsidR="00816B57">
        <w:t>-</w:t>
      </w:r>
      <w:r w:rsidR="009D3E98">
        <w:t>induced mortality.</w:t>
      </w:r>
      <w:r w:rsidR="00BE3EC4">
        <w:t xml:space="preserve"> </w:t>
      </w:r>
    </w:p>
    <w:p w14:paraId="5A1C0720" w14:textId="0F848DE5" w:rsidR="002B5697" w:rsidRDefault="004D3C4C" w:rsidP="002B5697">
      <w:r w:rsidRPr="00810290">
        <w:t xml:space="preserve">Compared to North America, winters in southern Australia are relatively mild and short and </w:t>
      </w:r>
      <w:r w:rsidR="00816B57">
        <w:t>consequently</w:t>
      </w:r>
      <w:r w:rsidRPr="00810290">
        <w:t>, there are likely to be more opportunities for winter foraging than in the northern latitudes of North America.</w:t>
      </w:r>
      <w:r w:rsidR="00BE3EC4">
        <w:t xml:space="preserve"> </w:t>
      </w:r>
      <w:r w:rsidR="000047E3">
        <w:t xml:space="preserve">In </w:t>
      </w:r>
      <w:r w:rsidR="002B5697">
        <w:t xml:space="preserve">addition, due to low frequency and duration of torpor, infection with </w:t>
      </w:r>
      <w:r w:rsidR="002B5697" w:rsidRPr="00270D41">
        <w:rPr>
          <w:i/>
          <w:iCs/>
        </w:rPr>
        <w:t>Pd</w:t>
      </w:r>
      <w:r w:rsidR="002B5697">
        <w:t xml:space="preserve"> may only result in sub-clinical disease.</w:t>
      </w:r>
      <w:r w:rsidR="00BE3EC4">
        <w:t xml:space="preserve"> </w:t>
      </w:r>
      <w:r w:rsidR="002B5697">
        <w:t>However, this may still impact the fitness of individuals by depleting energy reserves.</w:t>
      </w:r>
    </w:p>
    <w:p w14:paraId="750F78EA" w14:textId="34BC5242" w:rsidR="00F35C8B" w:rsidRDefault="004D3C4C" w:rsidP="007D39B6">
      <w:r w:rsidRPr="00810290">
        <w:t>Nevertheless, the impacts of WNS in SBWB</w:t>
      </w:r>
      <w:r w:rsidR="00EF7335">
        <w:t>s</w:t>
      </w:r>
      <w:r w:rsidRPr="00810290">
        <w:t xml:space="preserve"> are likely to be largely dependent on the length and frequency of torpor periods undertaken by SBWB</w:t>
      </w:r>
      <w:r w:rsidR="00EF7335">
        <w:t>s</w:t>
      </w:r>
      <w:r w:rsidRPr="00810290">
        <w:t xml:space="preserve"> during the winter months</w:t>
      </w:r>
      <w:r w:rsidR="00816B57">
        <w:t>,</w:t>
      </w:r>
      <w:r w:rsidRPr="00810290">
        <w:t xml:space="preserve"> and whether </w:t>
      </w:r>
      <w:r w:rsidR="00D90B65">
        <w:t>skin temperature</w:t>
      </w:r>
      <w:r w:rsidR="00816B57">
        <w:t>s</w:t>
      </w:r>
      <w:r w:rsidR="00D90B65">
        <w:t xml:space="preserve"> during torpor are</w:t>
      </w:r>
      <w:r w:rsidRPr="00810290">
        <w:t xml:space="preserve"> conducive to the growth of </w:t>
      </w:r>
      <w:r w:rsidRPr="00D84A6F">
        <w:rPr>
          <w:i/>
          <w:iCs/>
        </w:rPr>
        <w:t>Pd</w:t>
      </w:r>
      <w:r w:rsidRPr="00810290">
        <w:t>.</w:t>
      </w:r>
      <w:r w:rsidR="00BE3EC4">
        <w:t xml:space="preserve"> </w:t>
      </w:r>
      <w:r w:rsidRPr="00810290">
        <w:t xml:space="preserve">The current modelling suggests that winter torpor periods </w:t>
      </w:r>
      <w:proofErr w:type="gramStart"/>
      <w:r w:rsidRPr="00810290">
        <w:t>in excess of</w:t>
      </w:r>
      <w:proofErr w:type="gramEnd"/>
      <w:r w:rsidRPr="00810290">
        <w:t xml:space="preserve"> </w:t>
      </w:r>
      <w:r w:rsidR="00152644">
        <w:t>3</w:t>
      </w:r>
      <w:r w:rsidRPr="00810290">
        <w:t>0 days could have impacts exceeding 2</w:t>
      </w:r>
      <w:r w:rsidR="00152644">
        <w:t>5</w:t>
      </w:r>
      <w:r w:rsidRPr="00810290">
        <w:t>% reductions in population abundance over 10 years</w:t>
      </w:r>
      <w:r w:rsidR="00816B57">
        <w:t>,</w:t>
      </w:r>
      <w:r w:rsidRPr="00810290">
        <w:t xml:space="preserve"> with torpor periods of </w:t>
      </w:r>
      <w:r w:rsidR="00152644">
        <w:t>6</w:t>
      </w:r>
      <w:r w:rsidRPr="00810290">
        <w:t xml:space="preserve">0 days resulting in corresponding decreases of </w:t>
      </w:r>
      <w:r w:rsidR="00152644">
        <w:t>&gt;6</w:t>
      </w:r>
      <w:r w:rsidRPr="00810290">
        <w:t>0</w:t>
      </w:r>
      <w:r w:rsidR="003F66F0">
        <w:t>%</w:t>
      </w:r>
      <w:r w:rsidR="0024633A">
        <w:t>.</w:t>
      </w:r>
    </w:p>
    <w:p w14:paraId="62AF87F6" w14:textId="56F6CDB7" w:rsidR="005F0497" w:rsidRDefault="005F0497" w:rsidP="007D39B6">
      <w:r>
        <w:t xml:space="preserve">In the event of an incursion of WNS into </w:t>
      </w:r>
      <w:r w:rsidR="00AD014E">
        <w:t xml:space="preserve">a </w:t>
      </w:r>
      <w:r w:rsidR="002D2126">
        <w:t>cave inhabited by SBWB</w:t>
      </w:r>
      <w:r w:rsidR="00D65071">
        <w:t>s</w:t>
      </w:r>
      <w:r w:rsidR="00D03308">
        <w:t xml:space="preserve">, </w:t>
      </w:r>
      <w:r w:rsidR="009354A9">
        <w:t xml:space="preserve">the disease is likely to spread quickly </w:t>
      </w:r>
      <w:r w:rsidR="00AD014E">
        <w:t>due to the frequent movement of SBWB</w:t>
      </w:r>
      <w:r w:rsidR="00EF7335">
        <w:t>s</w:t>
      </w:r>
      <w:r w:rsidR="00AD014E">
        <w:t xml:space="preserve"> among </w:t>
      </w:r>
      <w:r w:rsidR="00C64FB6">
        <w:t xml:space="preserve">available maternity and non-breeding caves </w:t>
      </w:r>
      <w:r w:rsidR="00C64FB6">
        <w:fldChar w:fldCharType="begin"/>
      </w:r>
      <w:r w:rsidR="009F541F">
        <w:instrText xml:space="preserve"> ADDIN ZOTERO_ITEM CSL_CITATION {"citationID":"MyJEoJHo","properties":{"formattedCitation":"(van Harten {\\i{}et al.} 2022a)","plainCitation":"(van Harten et al. 2022a)","noteIndex":0},"citationItems":[{"id":9501,"uris":["http://zotero.org/users/634364/items/PW5N47RZ"],"itemData":{"id":9501,"type":"article-journal","abstract":"Context. Seasonal migration and movements of bats have important implications for their conservation. The southern bent-winged bat (Miniopterus orianae bassanii), a critically endangered cave-dwelling taxon in Australia, has been described as undertaking regional-scale migration between maternity and non-breeding caves. Aims. To describe the seasonal cycle of movements by the southern bent-winged bat, including migration and congregation events of different sexand age-classes in the population. Methods. We tagged a total of 2966 southern bent-winged bats with passive integrated transponder (PIT) tags. Antennas were used to detect bats in flight at a major maternity cave and a key non-breeding cave in south-east South Australia, from January 2016 to August 2019. We used capture–resight histories to visualise population patterns and model the daily encounter probability for each sex- and age-class at the respective roost sites. Key results. Bats congregated at the maternity cave for most of the year, with different seasonal patterns among sex- and age-classes. Seasonal movements were associated with behaviour over winter months: most of the population dispersed from the maternity cave from May and a staged return occurred among population classes from July through September. A previously unde­ scribed movement occurred in adult females and juveniles each year: these classes left the maternity cave in late summer, when juveniles became independent, and returned in early mid-autumn, later undertaking winter dispersal. Complex underlying movements of individuals occurred throughout the year, with individuals able to fly 72 km between roosting caves in just a few hours. Conclusions. Seasonal movements are a key aspect of the life history of this taxon. The newly reported movement of adult females and juveniles conforms to the maternal guidance hypothesis, whereby mothers guide their young to suitable non-breeding caves and hibernation sites. In addition to seasonal movements, some individuals moved 72 km between caves multiple times over short time periods, including on successive nights. This 72-km overnight flight distance more than doubles the previous distance used to inform management buffer zones. Extended congregation of bats at the maternity cave highlights resource limitation in the surrounding area as a potential threat to this population. Implications. The dynamic nature of the population has implications for the management of emerging risks, including mortality at windfarms and potential rapid spread of the exotic white-nose syndrome.","container-title":"Wildlife Research","DOI":"10.1071/WR21088","ISSN":"1035-3712, 1448-5494","issue":"7","journalAbbreviation":"Wildlife Res.","language":"en","page":"646-658","source":"DOI.org (Crossref)","title":"Seasonal population dynamics and movement patterns of a critically endangered, cave-dwelling bat,","volume":"49","author":[{"family":"Harten","given":"Emmi","non-dropping-particle":"van"},{"family":"Lawrence","given":"Ruth"},{"family":"Lumsden","given":"Lindy F."},{"family":"Reardon","given":"Terry"},{"family":"Bennett","given":"Andrew F."},{"family":"Prowse","given":"Thomas A. A."}],"editor":[{"family":"Parsons","given":"Stuart"}],"issued":{"date-parts":[["2022",5,2]]}}}],"schema":"https://github.com/citation-style-language/schema/raw/master/csl-citation.json"} </w:instrText>
      </w:r>
      <w:r w:rsidR="00C64FB6">
        <w:fldChar w:fldCharType="separate"/>
      </w:r>
      <w:r w:rsidR="009F541F" w:rsidRPr="009F541F">
        <w:t xml:space="preserve">(van Harten </w:t>
      </w:r>
      <w:r w:rsidR="009F541F" w:rsidRPr="00DA5824">
        <w:t>et al.</w:t>
      </w:r>
      <w:r w:rsidR="009F541F" w:rsidRPr="00D65071">
        <w:t xml:space="preserve"> 2022a)</w:t>
      </w:r>
      <w:r w:rsidR="00C64FB6">
        <w:fldChar w:fldCharType="end"/>
      </w:r>
      <w:r w:rsidR="00BE3B7F">
        <w:t xml:space="preserve">. </w:t>
      </w:r>
      <w:r w:rsidR="00D65071">
        <w:t>Therefore</w:t>
      </w:r>
      <w:r w:rsidR="00BE3B7F">
        <w:t xml:space="preserve">, </w:t>
      </w:r>
      <w:proofErr w:type="gramStart"/>
      <w:r w:rsidR="00BE3B7F">
        <w:t>the majority of</w:t>
      </w:r>
      <w:proofErr w:type="gramEnd"/>
      <w:r w:rsidR="00BE3B7F">
        <w:t xml:space="preserve"> </w:t>
      </w:r>
      <w:r w:rsidR="001444F1">
        <w:t>c</w:t>
      </w:r>
      <w:r w:rsidR="009354A9">
        <w:t>ave</w:t>
      </w:r>
      <w:r w:rsidR="001444F1">
        <w:t>s</w:t>
      </w:r>
      <w:r w:rsidR="009354A9">
        <w:t xml:space="preserve"> </w:t>
      </w:r>
      <w:r w:rsidR="00EA5D37">
        <w:t>used by SBWB</w:t>
      </w:r>
      <w:r w:rsidR="00EF7335">
        <w:t>s</w:t>
      </w:r>
      <w:r w:rsidR="00EA5D37">
        <w:t xml:space="preserve"> </w:t>
      </w:r>
      <w:r w:rsidR="00BE3B7F">
        <w:t>are like</w:t>
      </w:r>
      <w:r w:rsidR="00531A8C">
        <w:t xml:space="preserve">ly </w:t>
      </w:r>
      <w:r w:rsidR="00BE3B7F">
        <w:t>to contain</w:t>
      </w:r>
      <w:r w:rsidR="001444F1">
        <w:t xml:space="preserve"> </w:t>
      </w:r>
      <w:r w:rsidR="00EA5D37">
        <w:t xml:space="preserve">a reservoir of active </w:t>
      </w:r>
      <w:r w:rsidR="00BE3B7F" w:rsidRPr="00EA5D37">
        <w:rPr>
          <w:i/>
          <w:iCs/>
        </w:rPr>
        <w:t>Pd</w:t>
      </w:r>
      <w:r w:rsidR="001444F1">
        <w:t xml:space="preserve"> in their cave sediments.</w:t>
      </w:r>
      <w:r w:rsidR="00BE3EC4">
        <w:t xml:space="preserve"> </w:t>
      </w:r>
      <w:r w:rsidR="00961B7D">
        <w:t xml:space="preserve">Options for </w:t>
      </w:r>
      <w:r w:rsidR="00D65071">
        <w:t xml:space="preserve">the </w:t>
      </w:r>
      <w:r w:rsidR="00961B7D">
        <w:t>mitigation of WNS in bats appear limited</w:t>
      </w:r>
      <w:r w:rsidR="00D65071">
        <w:t xml:space="preserve">, </w:t>
      </w:r>
      <w:r w:rsidR="00FC5A4F">
        <w:t>so regular surveillance is recommended to provide an early warning of any incursion</w:t>
      </w:r>
      <w:r w:rsidR="00961B7D">
        <w:t>.</w:t>
      </w:r>
      <w:r w:rsidR="00BE3EC4">
        <w:t xml:space="preserve"> </w:t>
      </w:r>
      <w:r w:rsidR="00334FBA">
        <w:t>In the event of an incursion of WNS</w:t>
      </w:r>
      <w:r w:rsidR="00961B7D">
        <w:t xml:space="preserve">, </w:t>
      </w:r>
      <w:r w:rsidR="002C375A">
        <w:t xml:space="preserve">a </w:t>
      </w:r>
      <w:r w:rsidR="00961B7D">
        <w:t xml:space="preserve">recent </w:t>
      </w:r>
      <w:r w:rsidR="00A61CF6">
        <w:t>stud</w:t>
      </w:r>
      <w:r w:rsidR="002C375A">
        <w:t>y</w:t>
      </w:r>
      <w:r w:rsidR="00A61CF6">
        <w:t xml:space="preserve"> ha</w:t>
      </w:r>
      <w:r w:rsidR="002C375A">
        <w:t>s</w:t>
      </w:r>
      <w:r w:rsidR="00A61CF6">
        <w:t xml:space="preserve"> suggested that treating cave sediments with a biocide, such as CI</w:t>
      </w:r>
      <w:r w:rsidR="003010F9">
        <w:t xml:space="preserve">O2, could drastically reduce the </w:t>
      </w:r>
      <w:r w:rsidR="009F3C87">
        <w:t xml:space="preserve">abundance of </w:t>
      </w:r>
      <w:r w:rsidR="009F3C87" w:rsidRPr="00D8780B">
        <w:rPr>
          <w:i/>
          <w:iCs/>
        </w:rPr>
        <w:t>Pd</w:t>
      </w:r>
      <w:r w:rsidR="009F3C87">
        <w:t xml:space="preserve"> in cave sediments</w:t>
      </w:r>
      <w:r w:rsidR="00D65071">
        <w:t>,</w:t>
      </w:r>
      <w:r w:rsidR="009F3C87">
        <w:t xml:space="preserve"> leading to reduced fungal loads on bats</w:t>
      </w:r>
      <w:r w:rsidR="003010F9">
        <w:t xml:space="preserve"> </w:t>
      </w:r>
      <w:r w:rsidR="002C375A">
        <w:fldChar w:fldCharType="begin"/>
      </w:r>
      <w:r w:rsidR="009F541F">
        <w:instrText xml:space="preserve"> ADDIN ZOTERO_ITEM CSL_CITATION {"citationID":"O2vNg5MO","properties":{"formattedCitation":"(Hoyt {\\i{}et al.} 2023)","plainCitation":"(Hoyt et al. 2023)","noteIndex":0},"citationItems":[{"id":9621,"uris":["http://zotero.org/users/634364/items/C5INW67N"],"itemData":{"id":9621,"type":"article-journal","abstract":"Abstract\n            \n              \n                \n                  Emerging infectious diseases have caused population declines and biodiversity loss. The ability of pathogens to survive in the environment, independent of their host, can exacerbate disease impacts and increase the likelihood of species extinction. Control of pathogens with environmental stages remains a significant challenge for conservation and effective management strategies are urgently needed.\n                \n                \n                  \n                    We examined the effectiveness of managing environmental exposure to reduce the impacts of an emerging infectious disease of bats, white</w:instrText>
      </w:r>
      <w:r w:rsidR="009F541F">
        <w:rPr>
          <w:rFonts w:ascii="Cambria Math" w:hAnsi="Cambria Math" w:cs="Cambria Math"/>
        </w:rPr>
        <w:instrText>‐</w:instrText>
      </w:r>
      <w:r w:rsidR="009F541F">
        <w:instrText>nose syndrome (WNS). We used a chemical disinfectant, chlorine dioxide (ClO\n                    2\n                    ), to experimentally reduce\n                    Pseudogymnoascus destructans\n                    , the fungal pathogen causing WNS, in the environment. We combined laboratory experiments with 3 years of field trials at four abandoned mines to determine whether ClO\n                    2\n                    could effectively remove\n                    P. destructans\n                    from the environment, reduce host infection and limit population impacts.\n                  \n                \n                \n                  \n                    ClO\n                    2\n                    was effective at killing\n                    P. destructans\n                    in vitro across multiple concentrations. In field settings, higher concentrations of ClO\n                    2\n                    treatment were needed to sufficiently reduce viable\n                    P. destructans\n                    conidia in the environment.\n                  \n                \n                \n                  \n                    The reduction in the environmental reservoir at treatment sites resulted in lower fungal loads on bats compared to untreated control populations. Survival following treatment was also higher in little brown bats (\n                    Myotis lucifugus\n                    ), and trended higher for tricolored bats (\n                    Perimyotis subflavus\n                    ).\n                  \n                \n                \n                  \n                    Synthesis and applications\n                    . Our results highlight that targeted management of sources for environmental transmission can be an effective control strategy for wildlife disease. We found that successfully reducing pathogen in the environment decreased disease severity and increased survival, but required higher treatment exposure than was effective in laboratory experiments, and the effects varied among species. More broadly, our findings have implications for other emerging wildlife diseases with free</w:instrText>
      </w:r>
      <w:r w:rsidR="009F541F">
        <w:rPr>
          <w:rFonts w:ascii="Cambria Math" w:hAnsi="Cambria Math" w:cs="Cambria Math"/>
        </w:rPr>
        <w:instrText>‐</w:instrText>
      </w:r>
      <w:r w:rsidR="009F541F">
        <w:instrText xml:space="preserve">living pathogen stages by highlighting how the degree of environmental contamination can have cascading impacts on hosts, presenting an opportunity for intervention.","container-title":"Journal of Applied Ecology","DOI":"10.1111/1365-2664.14371","ISSN":"0021-8901, 1365-2664","issue":"5","journalAbbreviation":"Journal of Applied Ecology","language":"en","page":"923-933","source":"DOI.org (Crossref)","title":"Reducing environmentally mediated transmission to moderate impacts of an emerging wildlife disease","volume":"60","author":[{"family":"Hoyt","given":"Joseph R."},{"family":"Parise","given":"Katy L."},{"family":"DePue","given":"John E."},{"family":"Kaarakka","given":"Heather M."},{"family":"Redell","given":"Jennifer A."},{"family":"Scullon","given":"William H."},{"family":"O'Reskie","given":"Rich"},{"family":"Foster","given":"Jeffrey T."},{"family":"Kilpatrick","given":"A. Marm"},{"family":"Langwig","given":"Kate E."},{"family":"White","given":"J. Paul"}],"issued":{"date-parts":[["2023",5]]}}}],"schema":"https://github.com/citation-style-language/schema/raw/master/csl-citation.json"} </w:instrText>
      </w:r>
      <w:r w:rsidR="002C375A">
        <w:fldChar w:fldCharType="separate"/>
      </w:r>
      <w:r w:rsidR="009F541F" w:rsidRPr="009F541F">
        <w:t xml:space="preserve">(Hoyt </w:t>
      </w:r>
      <w:r w:rsidR="009F541F" w:rsidRPr="00DA5824">
        <w:t>et al.</w:t>
      </w:r>
      <w:r w:rsidR="009F541F" w:rsidRPr="00D65071">
        <w:t xml:space="preserve"> </w:t>
      </w:r>
      <w:r w:rsidR="009F541F" w:rsidRPr="009F541F">
        <w:t>2023)</w:t>
      </w:r>
      <w:r w:rsidR="002C375A">
        <w:fldChar w:fldCharType="end"/>
      </w:r>
      <w:r w:rsidR="002C375A">
        <w:t>.</w:t>
      </w:r>
      <w:r w:rsidR="00BE3EC4">
        <w:t xml:space="preserve"> </w:t>
      </w:r>
      <w:r w:rsidR="00D65071">
        <w:t>Consequently</w:t>
      </w:r>
      <w:r w:rsidR="009F3C87">
        <w:t xml:space="preserve">, </w:t>
      </w:r>
      <w:r w:rsidR="00E17FA0">
        <w:t xml:space="preserve">this option should be </w:t>
      </w:r>
      <w:r w:rsidR="00D65071">
        <w:t xml:space="preserve">explored </w:t>
      </w:r>
      <w:r w:rsidR="00E17FA0">
        <w:t xml:space="preserve">in the event of an </w:t>
      </w:r>
      <w:r w:rsidR="000A34CB">
        <w:t>WNS incursion into Australia.</w:t>
      </w:r>
    </w:p>
    <w:p w14:paraId="55D2A584" w14:textId="77777777" w:rsidR="00945845" w:rsidRDefault="00290A54" w:rsidP="008C24FC">
      <w:pPr>
        <w:pStyle w:val="Heading3-Numbered"/>
      </w:pPr>
      <w:bookmarkStart w:id="127" w:name="_Toc196318861"/>
      <w:bookmarkStart w:id="128" w:name="_Toc196417931"/>
      <w:bookmarkStart w:id="129" w:name="_Toc196419808"/>
      <w:bookmarkStart w:id="130" w:name="_Toc196492743"/>
      <w:bookmarkStart w:id="131" w:name="_Toc198634122"/>
      <w:bookmarkEnd w:id="127"/>
      <w:bookmarkEnd w:id="128"/>
      <w:bookmarkEnd w:id="129"/>
      <w:bookmarkEnd w:id="130"/>
      <w:r>
        <w:t>Economic risk</w:t>
      </w:r>
      <w:r w:rsidR="008C24FC">
        <w:t>s</w:t>
      </w:r>
      <w:bookmarkEnd w:id="131"/>
      <w:r>
        <w:t xml:space="preserve"> </w:t>
      </w:r>
    </w:p>
    <w:p w14:paraId="62966C20" w14:textId="6D8D6613" w:rsidR="00290A54" w:rsidRDefault="00290A54" w:rsidP="0032513D">
      <w:pPr>
        <w:pStyle w:val="Heading4"/>
      </w:pPr>
      <w:r>
        <w:t xml:space="preserve">FMD in </w:t>
      </w:r>
      <w:r w:rsidR="00E548AE">
        <w:t>Feral Pig</w:t>
      </w:r>
      <w:r>
        <w:t>s</w:t>
      </w:r>
    </w:p>
    <w:p w14:paraId="76A18BF6" w14:textId="6EB0BDE0" w:rsidR="00290A54" w:rsidRDefault="00290A54" w:rsidP="00290A54">
      <w:r>
        <w:t xml:space="preserve">Analysis of the dynamics of FMD outbreaks in </w:t>
      </w:r>
      <w:r w:rsidR="00E548AE">
        <w:t>Feral Pig</w:t>
      </w:r>
      <w:r>
        <w:t xml:space="preserve"> populations in Victoria provide some clear insights into the likely outcome of uncontrolled outbreaks, and the effectiveness of simple, one-off culls as a strategy for mitigating the impacts of such outbreaks. Where outbreaks are not managed</w:t>
      </w:r>
      <w:r w:rsidR="00916077">
        <w:t>,</w:t>
      </w:r>
      <w:r>
        <w:t xml:space="preserve"> there </w:t>
      </w:r>
      <w:r w:rsidR="00916077">
        <w:t xml:space="preserve">is </w:t>
      </w:r>
      <w:r>
        <w:t xml:space="preserve">a moderate chance of long-term persistence of the disease in </w:t>
      </w:r>
      <w:r w:rsidR="00E548AE">
        <w:t>Feral Pig</w:t>
      </w:r>
      <w:r>
        <w:t xml:space="preserve"> populations under either expected or worst-case epidemiological parameters. Such an outcome would likely be unacceptable to stakeholders on economic and biosecurity grounds, given the potential for the disease to spread back into nearby livestock populations, or to other uninfected populations of either </w:t>
      </w:r>
      <w:r w:rsidR="00E548AE">
        <w:t>Feral Pig</w:t>
      </w:r>
      <w:r>
        <w:t>s or other feral hosts</w:t>
      </w:r>
      <w:r w:rsidR="00916077">
        <w:t xml:space="preserve">, </w:t>
      </w:r>
      <w:r>
        <w:t xml:space="preserve">such as goats or deer. </w:t>
      </w:r>
    </w:p>
    <w:p w14:paraId="2E8362A4" w14:textId="3C507C14" w:rsidR="00290A54" w:rsidRDefault="00290A54" w:rsidP="00290A54">
      <w:r>
        <w:t>The simulations have demonstrated that a one-off culling strategy in the early stages of an outbreak can achieve near-certain eradication of FMD if the culling intensity is high enough. Assuming the worst-case, high transmission parameter scenarios (</w:t>
      </w:r>
      <w:r w:rsidR="006368EC">
        <w:t>s</w:t>
      </w:r>
      <w:r w:rsidR="00152644">
        <w:t>ection 6.1</w:t>
      </w:r>
      <w:r w:rsidR="000846E3">
        <w:t>)</w:t>
      </w:r>
      <w:r>
        <w:t xml:space="preserve">, culling rates in the order of </w:t>
      </w:r>
      <w:r w:rsidR="00DD14EF">
        <w:t>8</w:t>
      </w:r>
      <w:r>
        <w:t>0% of the population reliably resulted in eradication of the disease. Under lower (likely) values of the transmission parameter, the same outcome could be achieved with somewhat lower culling rates in the order of 60% of the pig population.</w:t>
      </w:r>
    </w:p>
    <w:p w14:paraId="0E8B7AE1" w14:textId="2967A2E4" w:rsidR="00290A54" w:rsidRPr="00DD13F9" w:rsidRDefault="00290A54" w:rsidP="00290A54">
      <w:r w:rsidRPr="00541F6D">
        <w:t xml:space="preserve">An important consideration in managing any outbreak of FMD in Victoria would involve deciding when and where to undertake culling of wild hosts, including </w:t>
      </w:r>
      <w:r w:rsidR="00E548AE">
        <w:t>Feral Pig</w:t>
      </w:r>
      <w:r w:rsidRPr="00541F6D">
        <w:t xml:space="preserve">s. This could involve </w:t>
      </w:r>
      <w:r w:rsidR="00E4051B">
        <w:t>(</w:t>
      </w:r>
      <w:r w:rsidR="005D2A27">
        <w:t>i</w:t>
      </w:r>
      <w:r w:rsidR="00E4051B">
        <w:t xml:space="preserve">) </w:t>
      </w:r>
      <w:r w:rsidRPr="00541F6D">
        <w:t>proactively culling populations of feral ungulates regardless of the infection status of their populations</w:t>
      </w:r>
      <w:r w:rsidR="00E4051B">
        <w:t xml:space="preserve">, </w:t>
      </w:r>
      <w:r w:rsidRPr="00541F6D">
        <w:t xml:space="preserve">or </w:t>
      </w:r>
      <w:r w:rsidR="00E4051B">
        <w:t>(</w:t>
      </w:r>
      <w:r w:rsidR="005D2A27">
        <w:t>ii</w:t>
      </w:r>
      <w:r w:rsidR="00E4051B">
        <w:t xml:space="preserve">) </w:t>
      </w:r>
      <w:r w:rsidRPr="00541F6D">
        <w:t xml:space="preserve">reactively </w:t>
      </w:r>
      <w:r w:rsidR="00E4051B">
        <w:t xml:space="preserve">culling in response to the </w:t>
      </w:r>
      <w:r w:rsidRPr="00541F6D">
        <w:t>detection of the disease in the host population.</w:t>
      </w:r>
      <w:r w:rsidR="00BE3EC4">
        <w:t xml:space="preserve"> </w:t>
      </w:r>
      <w:r w:rsidRPr="00541F6D">
        <w:t xml:space="preserve">Proactive culling of </w:t>
      </w:r>
      <w:r w:rsidR="00E548AE">
        <w:t>Feral Pig</w:t>
      </w:r>
      <w:r w:rsidRPr="00541F6D">
        <w:t xml:space="preserve"> populations would benefit from knowledge about the distribution and abundance of </w:t>
      </w:r>
      <w:r w:rsidR="00E548AE">
        <w:t>Feral Pig</w:t>
      </w:r>
      <w:r w:rsidRPr="00541F6D">
        <w:t xml:space="preserve"> populations in Victoria, as well as their proximity to farmed livestock.</w:t>
      </w:r>
      <w:r w:rsidR="00BE3EC4">
        <w:t xml:space="preserve"> </w:t>
      </w:r>
      <w:r w:rsidRPr="00541F6D">
        <w:t xml:space="preserve">Since little is known about the distribution and abundance of </w:t>
      </w:r>
      <w:r w:rsidR="00E548AE">
        <w:t>Feral Pig</w:t>
      </w:r>
      <w:r w:rsidRPr="00541F6D">
        <w:t xml:space="preserve"> populations in Victoria, this knowledge gap would benefit from additional research</w:t>
      </w:r>
      <w:r>
        <w:t>.</w:t>
      </w:r>
      <w:r w:rsidR="00BE3EC4">
        <w:t xml:space="preserve"> </w:t>
      </w:r>
    </w:p>
    <w:p w14:paraId="17F5D049" w14:textId="2946EC21" w:rsidR="00290A54" w:rsidRDefault="00290A54" w:rsidP="00290A54">
      <w:r>
        <w:t xml:space="preserve">While monitoring of </w:t>
      </w:r>
      <w:r w:rsidR="00E548AE">
        <w:t>Feral Pig</w:t>
      </w:r>
      <w:r>
        <w:t xml:space="preserve"> populations for the presence of FMD and then reactively culling in response to detection of FMD in </w:t>
      </w:r>
      <w:r w:rsidR="00E548AE">
        <w:t>Feral Pig</w:t>
      </w:r>
      <w:r>
        <w:t xml:space="preserve"> populations might be possible, given the rapidity with which outbreaks grow (peak prevalence within the first few weeks of an outbreak), a reactive strategy is unlikely to allow rapid suppression of outbreaks. Instead, the preferred strategy in the event of a confirmed FMD outbreak in Victoria would be to proactively cull known </w:t>
      </w:r>
      <w:r w:rsidR="00E548AE">
        <w:t>Feral Pig</w:t>
      </w:r>
      <w:r>
        <w:t xml:space="preserve"> populations (regardless of their infection status) within a geographic radius of known outbreaks among either livestock or feral ungulates without </w:t>
      </w:r>
      <w:r w:rsidR="00E4051B">
        <w:t>a</w:t>
      </w:r>
      <w:r>
        <w:t>waiting</w:t>
      </w:r>
      <w:r w:rsidR="00E4051B">
        <w:t xml:space="preserve"> </w:t>
      </w:r>
      <w:r>
        <w:t xml:space="preserve">confirmatory evidence for </w:t>
      </w:r>
      <w:r w:rsidR="00E4051B">
        <w:t xml:space="preserve">the </w:t>
      </w:r>
      <w:r>
        <w:t xml:space="preserve">presence of the disease in the target population. </w:t>
      </w:r>
    </w:p>
    <w:p w14:paraId="77C5E531" w14:textId="2828A297" w:rsidR="0060667F" w:rsidRDefault="00290A54" w:rsidP="00290A54">
      <w:r>
        <w:t xml:space="preserve">Regardless of the assumed epidemiological parameters, maximum </w:t>
      </w:r>
      <w:r w:rsidR="00DD14EF">
        <w:t>infection prevalence</w:t>
      </w:r>
      <w:r>
        <w:t xml:space="preserve"> of FMD in </w:t>
      </w:r>
      <w:r w:rsidR="00E548AE">
        <w:t>Feral Pig</w:t>
      </w:r>
      <w:r>
        <w:t xml:space="preserve"> populations during an </w:t>
      </w:r>
      <w:proofErr w:type="gramStart"/>
      <w:r>
        <w:t>uncontained outbreak peaks</w:t>
      </w:r>
      <w:proofErr w:type="gramEnd"/>
      <w:r>
        <w:t xml:space="preserve"> within weeks of the first case, before declining again as the proportion of recovered/immune individuals in the population grows. The rapid progress of such outbreaks means that disease surveillance would need to very thorough indeed (a large proportion of population being frequently tested) </w:t>
      </w:r>
      <w:proofErr w:type="gramStart"/>
      <w:r>
        <w:t>in order to</w:t>
      </w:r>
      <w:proofErr w:type="gramEnd"/>
      <w:r>
        <w:t xml:space="preserve"> allow reactive culling </w:t>
      </w:r>
      <w:proofErr w:type="gramStart"/>
      <w:r>
        <w:t>subsequent to</w:t>
      </w:r>
      <w:proofErr w:type="gramEnd"/>
      <w:r>
        <w:t xml:space="preserve"> the detection of the disease in the population to be an effective mitigation strategy. Such a surveillance program would be very expensive and may be technically unachievable. Accordingly, an approach where populations are culled proactively is likely to be preferable. Such an approach can be expected to rapidly eradicate any existing outbreak of FMD in a </w:t>
      </w:r>
      <w:r w:rsidR="00E548AE">
        <w:t>Feral Pig</w:t>
      </w:r>
      <w:r>
        <w:t xml:space="preserve"> </w:t>
      </w:r>
      <w:proofErr w:type="gramStart"/>
      <w:r>
        <w:t>population</w:t>
      </w:r>
      <w:r w:rsidR="00423776">
        <w:t>,</w:t>
      </w:r>
      <w:r>
        <w:t xml:space="preserve"> and</w:t>
      </w:r>
      <w:proofErr w:type="gramEnd"/>
      <w:r>
        <w:t xml:space="preserve"> will also at least temporarily reduce the risks of any exposure leading to a further outbreak by reducing host density, and </w:t>
      </w:r>
      <w:r w:rsidR="00423776">
        <w:t xml:space="preserve">thereby </w:t>
      </w:r>
      <w:r>
        <w:t xml:space="preserve">transmission rates in cases where the populations is exposed to the disease in the period after the cull. </w:t>
      </w:r>
      <w:r w:rsidR="00C11185" w:rsidRPr="00C11185">
        <w:t xml:space="preserve">For the same reason, actively managing </w:t>
      </w:r>
      <w:r w:rsidR="00C11185">
        <w:t xml:space="preserve">existing feral </w:t>
      </w:r>
      <w:r w:rsidR="00C11185" w:rsidRPr="00C11185">
        <w:t xml:space="preserve">pig populations to keep them at low density and preventing the establishment of new </w:t>
      </w:r>
      <w:r w:rsidR="00C11185">
        <w:t>populations would also considerably reduce to risk of FMD establishment in feral pig populations, should there be an incursion.</w:t>
      </w:r>
    </w:p>
    <w:p w14:paraId="28B6C9C1" w14:textId="39C4CCB5" w:rsidR="00E3155A" w:rsidRDefault="00BA4F46" w:rsidP="00E3155A">
      <w:pPr>
        <w:pStyle w:val="Heading3-Numbered"/>
      </w:pPr>
      <w:bookmarkStart w:id="132" w:name="_Toc198634123"/>
      <w:r>
        <w:t>E</w:t>
      </w:r>
      <w:r w:rsidR="00272463">
        <w:t>conomic</w:t>
      </w:r>
      <w:r w:rsidR="00E3155A">
        <w:t xml:space="preserve"> risks</w:t>
      </w:r>
      <w:bookmarkEnd w:id="132"/>
    </w:p>
    <w:p w14:paraId="3E47D8FB" w14:textId="21CFD3AB" w:rsidR="00945845" w:rsidRDefault="00945845" w:rsidP="002C29FC">
      <w:pPr>
        <w:pStyle w:val="Heading4"/>
      </w:pPr>
      <w:r>
        <w:t>HPAI in Little Penguins</w:t>
      </w:r>
    </w:p>
    <w:p w14:paraId="6CA60542" w14:textId="42EB1CE6" w:rsidR="00945845" w:rsidRPr="00C55790" w:rsidRDefault="000D6D58" w:rsidP="00945845">
      <w:pPr>
        <w:rPr>
          <w:rFonts w:eastAsiaTheme="minorEastAsia"/>
        </w:rPr>
      </w:pPr>
      <w:r>
        <w:rPr>
          <w:rFonts w:eastAsiaTheme="minorEastAsia"/>
        </w:rPr>
        <w:t xml:space="preserve">Modelling suggested that </w:t>
      </w:r>
      <w:r w:rsidR="00945845" w:rsidRPr="00C55790">
        <w:rPr>
          <w:rFonts w:eastAsiaTheme="minorEastAsia"/>
        </w:rPr>
        <w:t xml:space="preserve">the worst-case scenario </w:t>
      </w:r>
      <w:r w:rsidR="00E76993">
        <w:rPr>
          <w:rFonts w:eastAsiaTheme="minorEastAsia"/>
        </w:rPr>
        <w:t>of an incursion of HPAI in the Little Penguin colony on Phillip Island could result in</w:t>
      </w:r>
      <w:r w:rsidR="00945845" w:rsidRPr="00C55790">
        <w:rPr>
          <w:rFonts w:eastAsiaTheme="minorEastAsia"/>
        </w:rPr>
        <w:t xml:space="preserve"> mortality rates of at least 20% and as high as 40%</w:t>
      </w:r>
      <w:r w:rsidR="00776626">
        <w:rPr>
          <w:rFonts w:eastAsiaTheme="minorEastAsia"/>
        </w:rPr>
        <w:t>.</w:t>
      </w:r>
      <w:r w:rsidR="00BE3EC4">
        <w:rPr>
          <w:rFonts w:eastAsiaTheme="minorEastAsia"/>
        </w:rPr>
        <w:t xml:space="preserve"> </w:t>
      </w:r>
      <w:r w:rsidR="00945845" w:rsidRPr="00C55790">
        <w:rPr>
          <w:rFonts w:eastAsiaTheme="minorEastAsia"/>
        </w:rPr>
        <w:t>A 20</w:t>
      </w:r>
      <w:r w:rsidR="0000629E">
        <w:rPr>
          <w:rFonts w:eastAsiaTheme="minorEastAsia"/>
        </w:rPr>
        <w:t>–</w:t>
      </w:r>
      <w:r w:rsidR="00945845" w:rsidRPr="00C55790">
        <w:rPr>
          <w:rFonts w:eastAsiaTheme="minorEastAsia"/>
        </w:rPr>
        <w:t xml:space="preserve">40% mortality rate would represent the deaths of around </w:t>
      </w:r>
      <w:r w:rsidR="005B299B">
        <w:rPr>
          <w:rFonts w:eastAsiaTheme="minorEastAsia"/>
        </w:rPr>
        <w:t>8</w:t>
      </w:r>
      <w:r w:rsidR="00945845" w:rsidRPr="00C55790">
        <w:rPr>
          <w:rFonts w:eastAsiaTheme="minorEastAsia"/>
        </w:rPr>
        <w:t>,000 to 1</w:t>
      </w:r>
      <w:r w:rsidR="005B299B">
        <w:rPr>
          <w:rFonts w:eastAsiaTheme="minorEastAsia"/>
        </w:rPr>
        <w:t>6</w:t>
      </w:r>
      <w:r w:rsidR="00945845" w:rsidRPr="00C55790">
        <w:rPr>
          <w:rFonts w:eastAsiaTheme="minorEastAsia"/>
        </w:rPr>
        <w:t>,000 penguins in the Summerland Peninsula.</w:t>
      </w:r>
      <w:r w:rsidR="00BE3EC4">
        <w:rPr>
          <w:rFonts w:eastAsiaTheme="minorEastAsia"/>
        </w:rPr>
        <w:t xml:space="preserve"> </w:t>
      </w:r>
      <w:r w:rsidR="0007462A">
        <w:rPr>
          <w:rFonts w:eastAsiaTheme="minorEastAsia"/>
        </w:rPr>
        <w:t>While not p</w:t>
      </w:r>
      <w:r w:rsidR="000A3CF7">
        <w:rPr>
          <w:rFonts w:eastAsiaTheme="minorEastAsia"/>
        </w:rPr>
        <w:t xml:space="preserve">osing a significant conservation risk to this species, the high </w:t>
      </w:r>
      <w:r w:rsidR="00B84C64">
        <w:rPr>
          <w:rFonts w:eastAsiaTheme="minorEastAsia"/>
        </w:rPr>
        <w:t>occurrence of sick and moribund individuals</w:t>
      </w:r>
      <w:r w:rsidR="000A3CF7">
        <w:rPr>
          <w:rFonts w:eastAsiaTheme="minorEastAsia"/>
        </w:rPr>
        <w:t xml:space="preserve"> would </w:t>
      </w:r>
      <w:r w:rsidR="00B84C64">
        <w:rPr>
          <w:rFonts w:eastAsiaTheme="minorEastAsia"/>
        </w:rPr>
        <w:t xml:space="preserve">likely </w:t>
      </w:r>
      <w:r w:rsidR="000A3CF7">
        <w:rPr>
          <w:rFonts w:eastAsiaTheme="minorEastAsia"/>
        </w:rPr>
        <w:t xml:space="preserve">pose a significant </w:t>
      </w:r>
      <w:r w:rsidR="00A16428">
        <w:rPr>
          <w:rFonts w:eastAsiaTheme="minorEastAsia"/>
        </w:rPr>
        <w:t>wildlife emergency</w:t>
      </w:r>
      <w:r w:rsidR="009B1E36">
        <w:rPr>
          <w:rFonts w:eastAsiaTheme="minorEastAsia"/>
        </w:rPr>
        <w:t xml:space="preserve"> a</w:t>
      </w:r>
      <w:r w:rsidR="00BE0867">
        <w:rPr>
          <w:rFonts w:eastAsiaTheme="minorEastAsia"/>
        </w:rPr>
        <w:t>s well as an</w:t>
      </w:r>
      <w:r w:rsidR="009B1E36">
        <w:rPr>
          <w:rFonts w:eastAsiaTheme="minorEastAsia"/>
        </w:rPr>
        <w:t xml:space="preserve"> economic concern</w:t>
      </w:r>
      <w:r w:rsidR="00BE0867">
        <w:rPr>
          <w:rFonts w:eastAsiaTheme="minorEastAsia"/>
        </w:rPr>
        <w:t xml:space="preserve"> </w:t>
      </w:r>
      <w:r w:rsidR="00674EF3">
        <w:rPr>
          <w:rFonts w:eastAsiaTheme="minorEastAsia"/>
        </w:rPr>
        <w:t xml:space="preserve">to the </w:t>
      </w:r>
      <w:r w:rsidR="00EC7095">
        <w:rPr>
          <w:rFonts w:eastAsiaTheme="minorEastAsia"/>
        </w:rPr>
        <w:t xml:space="preserve">ecotourism industry </w:t>
      </w:r>
      <w:r w:rsidR="000D141D">
        <w:rPr>
          <w:rFonts w:eastAsiaTheme="minorEastAsia"/>
        </w:rPr>
        <w:t>centred</w:t>
      </w:r>
      <w:r w:rsidR="00EC7095">
        <w:rPr>
          <w:rFonts w:eastAsiaTheme="minorEastAsia"/>
        </w:rPr>
        <w:t xml:space="preserve"> on the </w:t>
      </w:r>
      <w:r w:rsidR="00674EF3">
        <w:rPr>
          <w:rFonts w:eastAsiaTheme="minorEastAsia"/>
        </w:rPr>
        <w:t xml:space="preserve">sub-colonies inhabiting the </w:t>
      </w:r>
      <w:r w:rsidR="004E281C">
        <w:rPr>
          <w:rFonts w:eastAsiaTheme="minorEastAsia"/>
        </w:rPr>
        <w:t>Summerland Beach area</w:t>
      </w:r>
      <w:r w:rsidR="00B84C64">
        <w:rPr>
          <w:rFonts w:eastAsiaTheme="minorEastAsia"/>
        </w:rPr>
        <w:t>.</w:t>
      </w:r>
      <w:r w:rsidR="0007462A">
        <w:rPr>
          <w:rFonts w:eastAsiaTheme="minorEastAsia"/>
        </w:rPr>
        <w:t xml:space="preserve"> </w:t>
      </w:r>
    </w:p>
    <w:p w14:paraId="2A4D258B" w14:textId="304F5D1C" w:rsidR="00945845" w:rsidRDefault="00945845" w:rsidP="00F105B7">
      <w:pPr>
        <w:rPr>
          <w:rFonts w:eastAsiaTheme="minorEastAsia"/>
        </w:rPr>
      </w:pPr>
      <w:r w:rsidRPr="00C55790">
        <w:rPr>
          <w:rFonts w:eastAsiaTheme="minorEastAsia"/>
        </w:rPr>
        <w:t xml:space="preserve">The logistical challenges of vaccinating </w:t>
      </w:r>
      <w:r w:rsidR="00DD14EF">
        <w:rPr>
          <w:rFonts w:eastAsiaTheme="minorEastAsia"/>
        </w:rPr>
        <w:t xml:space="preserve">wildlife </w:t>
      </w:r>
      <w:r w:rsidR="00F105B7">
        <w:rPr>
          <w:rFonts w:eastAsiaTheme="minorEastAsia"/>
        </w:rPr>
        <w:t>against HPAI would mean that it is only feasible in relatively small, high value wildlife populations</w:t>
      </w:r>
      <w:r w:rsidRPr="00C55790">
        <w:rPr>
          <w:rFonts w:eastAsiaTheme="minorEastAsia"/>
        </w:rPr>
        <w:t>.</w:t>
      </w:r>
      <w:r w:rsidR="00BE3EC4">
        <w:rPr>
          <w:rFonts w:eastAsiaTheme="minorEastAsia"/>
        </w:rPr>
        <w:t xml:space="preserve"> </w:t>
      </w:r>
      <w:r w:rsidR="00F105B7">
        <w:rPr>
          <w:rFonts w:eastAsiaTheme="minorEastAsia"/>
        </w:rPr>
        <w:t>For Little Penguins, i</w:t>
      </w:r>
      <w:r w:rsidRPr="00C55790">
        <w:rPr>
          <w:rFonts w:eastAsiaTheme="minorEastAsia"/>
        </w:rPr>
        <w:t xml:space="preserve">t may be feasible to target </w:t>
      </w:r>
      <w:r w:rsidR="00F105B7">
        <w:rPr>
          <w:rFonts w:eastAsiaTheme="minorEastAsia"/>
        </w:rPr>
        <w:t xml:space="preserve">sub-colonies in the vicinity of the </w:t>
      </w:r>
      <w:r w:rsidRPr="00C55790">
        <w:rPr>
          <w:rFonts w:eastAsiaTheme="minorEastAsia"/>
        </w:rPr>
        <w:t>Penguin Parade</w:t>
      </w:r>
      <w:r w:rsidR="00F105B7">
        <w:rPr>
          <w:rFonts w:eastAsiaTheme="minorEastAsia"/>
        </w:rPr>
        <w:t xml:space="preserve">, given the </w:t>
      </w:r>
      <w:r w:rsidRPr="00C55790">
        <w:rPr>
          <w:rFonts w:eastAsiaTheme="minorEastAsia"/>
        </w:rPr>
        <w:t>economic importance and high visibility of th</w:t>
      </w:r>
      <w:r w:rsidR="00E57F75">
        <w:rPr>
          <w:rFonts w:eastAsiaTheme="minorEastAsia"/>
        </w:rPr>
        <w:t xml:space="preserve">is </w:t>
      </w:r>
      <w:r w:rsidR="00F105B7">
        <w:rPr>
          <w:rFonts w:eastAsiaTheme="minorEastAsia"/>
        </w:rPr>
        <w:t>population</w:t>
      </w:r>
      <w:r w:rsidRPr="00C55790">
        <w:rPr>
          <w:rFonts w:eastAsiaTheme="minorEastAsia"/>
        </w:rPr>
        <w:t>.</w:t>
      </w:r>
      <w:r w:rsidR="00BE3EC4">
        <w:rPr>
          <w:rFonts w:eastAsiaTheme="minorEastAsia"/>
        </w:rPr>
        <w:t xml:space="preserve"> </w:t>
      </w:r>
      <w:r w:rsidRPr="00C55790">
        <w:rPr>
          <w:rFonts w:eastAsiaTheme="minorEastAsia"/>
        </w:rPr>
        <w:t>T</w:t>
      </w:r>
      <w:r w:rsidR="00F105B7">
        <w:rPr>
          <w:rFonts w:eastAsiaTheme="minorEastAsia"/>
        </w:rPr>
        <w:t xml:space="preserve">o provide </w:t>
      </w:r>
      <w:r w:rsidR="00E57F75">
        <w:rPr>
          <w:rFonts w:eastAsiaTheme="minorEastAsia"/>
        </w:rPr>
        <w:t>protection for the Penguin Parade against an incursion of H5N1</w:t>
      </w:r>
      <w:r w:rsidR="00F105B7">
        <w:rPr>
          <w:rFonts w:eastAsiaTheme="minorEastAsia"/>
        </w:rPr>
        <w:t xml:space="preserve"> around 800 – 1000 penguins </w:t>
      </w:r>
      <w:r w:rsidRPr="00C55790">
        <w:rPr>
          <w:rFonts w:eastAsiaTheme="minorEastAsia"/>
        </w:rPr>
        <w:t xml:space="preserve">would need to be vaccinated to give adequate </w:t>
      </w:r>
      <w:r w:rsidR="00E57F75">
        <w:rPr>
          <w:rFonts w:eastAsiaTheme="minorEastAsia"/>
        </w:rPr>
        <w:t>vaccine coverage</w:t>
      </w:r>
      <w:r w:rsidRPr="00C55790">
        <w:rPr>
          <w:rFonts w:eastAsiaTheme="minorEastAsia"/>
        </w:rPr>
        <w:t>.</w:t>
      </w:r>
      <w:r w:rsidR="00BE3EC4">
        <w:rPr>
          <w:rFonts w:eastAsiaTheme="minorEastAsia"/>
        </w:rPr>
        <w:t xml:space="preserve"> </w:t>
      </w:r>
      <w:r w:rsidR="00E57F75">
        <w:rPr>
          <w:rFonts w:eastAsiaTheme="minorEastAsia"/>
        </w:rPr>
        <w:t>In addition,</w:t>
      </w:r>
      <w:r w:rsidR="00F105B7">
        <w:rPr>
          <w:rFonts w:eastAsiaTheme="minorEastAsia"/>
        </w:rPr>
        <w:t xml:space="preserve"> a </w:t>
      </w:r>
      <w:r w:rsidRPr="00C55790">
        <w:rPr>
          <w:rFonts w:eastAsiaTheme="minorEastAsia"/>
        </w:rPr>
        <w:t xml:space="preserve">vaccination program would need to be </w:t>
      </w:r>
      <w:r w:rsidR="00F105B7">
        <w:rPr>
          <w:rFonts w:eastAsiaTheme="minorEastAsia"/>
        </w:rPr>
        <w:t>initiated</w:t>
      </w:r>
      <w:r w:rsidRPr="00C55790">
        <w:rPr>
          <w:rFonts w:eastAsiaTheme="minorEastAsia"/>
        </w:rPr>
        <w:t xml:space="preserve"> prior to the arrival of H5N1</w:t>
      </w:r>
      <w:r w:rsidR="00D371CF">
        <w:rPr>
          <w:rFonts w:eastAsiaTheme="minorEastAsia"/>
        </w:rPr>
        <w:t xml:space="preserve"> and allow sufficient time </w:t>
      </w:r>
      <w:r w:rsidR="00BD0857">
        <w:rPr>
          <w:rFonts w:eastAsiaTheme="minorEastAsia"/>
        </w:rPr>
        <w:t xml:space="preserve">to achieve </w:t>
      </w:r>
      <w:r w:rsidR="00D873F8">
        <w:rPr>
          <w:rFonts w:eastAsiaTheme="minorEastAsia"/>
        </w:rPr>
        <w:t>the required</w:t>
      </w:r>
      <w:r w:rsidR="00BD0857">
        <w:rPr>
          <w:rFonts w:eastAsiaTheme="minorEastAsia"/>
        </w:rPr>
        <w:t xml:space="preserve"> vaccine coverage</w:t>
      </w:r>
      <w:r w:rsidR="00D371CF">
        <w:rPr>
          <w:rFonts w:eastAsiaTheme="minorEastAsia"/>
        </w:rPr>
        <w:t>.</w:t>
      </w:r>
      <w:r w:rsidR="00BE3EC4">
        <w:rPr>
          <w:rFonts w:eastAsiaTheme="minorEastAsia"/>
        </w:rPr>
        <w:t xml:space="preserve"> </w:t>
      </w:r>
      <w:r w:rsidR="00E57F75">
        <w:rPr>
          <w:rFonts w:eastAsiaTheme="minorEastAsia"/>
        </w:rPr>
        <w:t>Initiating a vaccination program after</w:t>
      </w:r>
      <w:r w:rsidRPr="00C55790">
        <w:rPr>
          <w:rFonts w:eastAsiaTheme="minorEastAsia"/>
        </w:rPr>
        <w:t xml:space="preserve"> the discovery of H5N1 would most likely be too late</w:t>
      </w:r>
      <w:r w:rsidR="00CA7CBC">
        <w:rPr>
          <w:rFonts w:eastAsiaTheme="minorEastAsia"/>
        </w:rPr>
        <w:t>, because</w:t>
      </w:r>
      <w:r w:rsidRPr="00C55790">
        <w:rPr>
          <w:rFonts w:eastAsiaTheme="minorEastAsia"/>
        </w:rPr>
        <w:t xml:space="preserve"> significant mortality is likely to occur before adequate vaccine coverage is achieved.</w:t>
      </w:r>
      <w:r w:rsidR="00BE3EC4">
        <w:rPr>
          <w:rFonts w:eastAsiaTheme="minorEastAsia"/>
        </w:rPr>
        <w:t xml:space="preserve"> </w:t>
      </w:r>
      <w:r w:rsidR="00BD0857">
        <w:rPr>
          <w:rFonts w:eastAsiaTheme="minorEastAsia"/>
        </w:rPr>
        <w:t xml:space="preserve">Vaccines requiring a booster dose, such as </w:t>
      </w:r>
      <w:r w:rsidR="00CA7CBC">
        <w:rPr>
          <w:rFonts w:eastAsiaTheme="minorEastAsia"/>
        </w:rPr>
        <w:t xml:space="preserve">that </w:t>
      </w:r>
      <w:r w:rsidR="00BD0857">
        <w:rPr>
          <w:rFonts w:eastAsiaTheme="minorEastAsia"/>
        </w:rPr>
        <w:t>used in the current trial being undertaken in New Zealand, could require at least 10 weeks before adequate protection is achieved.</w:t>
      </w:r>
      <w:r w:rsidR="00BE3EC4">
        <w:rPr>
          <w:rFonts w:eastAsiaTheme="minorEastAsia"/>
        </w:rPr>
        <w:t xml:space="preserve"> </w:t>
      </w:r>
      <w:r w:rsidRPr="00C55790">
        <w:rPr>
          <w:rFonts w:eastAsiaTheme="minorEastAsia"/>
        </w:rPr>
        <w:t xml:space="preserve">Unfortunately, the arrival of H5N1 into Australia (should it occur) cannot be predicted with any certainty, although the greatest risk is likely to occur when migratory shorebirds start arriving during the </w:t>
      </w:r>
      <w:proofErr w:type="gramStart"/>
      <w:r w:rsidRPr="00C55790">
        <w:rPr>
          <w:rFonts w:eastAsiaTheme="minorEastAsia"/>
        </w:rPr>
        <w:t>Austral spring</w:t>
      </w:r>
      <w:proofErr w:type="gramEnd"/>
      <w:r w:rsidRPr="00C55790">
        <w:rPr>
          <w:rFonts w:eastAsiaTheme="minorEastAsia"/>
        </w:rPr>
        <w:t>.</w:t>
      </w:r>
      <w:r w:rsidR="00BE3EC4">
        <w:rPr>
          <w:rFonts w:eastAsiaTheme="minorEastAsia"/>
        </w:rPr>
        <w:t xml:space="preserve"> </w:t>
      </w:r>
      <w:r w:rsidR="00CA7CBC">
        <w:rPr>
          <w:rFonts w:eastAsiaTheme="minorEastAsia"/>
        </w:rPr>
        <w:t>Consequently,</w:t>
      </w:r>
      <w:r w:rsidRPr="00C55790">
        <w:rPr>
          <w:rFonts w:eastAsiaTheme="minorEastAsia"/>
        </w:rPr>
        <w:t xml:space="preserve"> the logistical challenges and economic costs associated with rolling out a vaccination program before or during the </w:t>
      </w:r>
      <w:proofErr w:type="gramStart"/>
      <w:r w:rsidRPr="00C55790">
        <w:rPr>
          <w:rFonts w:eastAsiaTheme="minorEastAsia"/>
        </w:rPr>
        <w:t>Austral spring</w:t>
      </w:r>
      <w:proofErr w:type="gramEnd"/>
      <w:r w:rsidRPr="00C55790">
        <w:rPr>
          <w:rFonts w:eastAsiaTheme="minorEastAsia"/>
        </w:rPr>
        <w:t xml:space="preserve"> would need to be balanced against the risks of arrival of H5N1 and the likely susceptibility and impacts of the virus on Little Penguins.</w:t>
      </w:r>
      <w:r w:rsidR="00BE3EC4">
        <w:rPr>
          <w:rFonts w:eastAsiaTheme="minorEastAsia"/>
        </w:rPr>
        <w:t xml:space="preserve"> </w:t>
      </w:r>
      <w:r w:rsidR="000E65F3">
        <w:rPr>
          <w:rFonts w:eastAsiaTheme="minorEastAsia"/>
        </w:rPr>
        <w:t>Current evidence suggests that v</w:t>
      </w:r>
      <w:r w:rsidRPr="00C55790">
        <w:rPr>
          <w:rFonts w:eastAsiaTheme="minorEastAsia"/>
        </w:rPr>
        <w:t>accination</w:t>
      </w:r>
      <w:r w:rsidR="000E65F3">
        <w:rPr>
          <w:rFonts w:eastAsiaTheme="minorEastAsia"/>
        </w:rPr>
        <w:t xml:space="preserve"> </w:t>
      </w:r>
      <w:r w:rsidRPr="00C55790">
        <w:rPr>
          <w:rFonts w:eastAsiaTheme="minorEastAsia"/>
        </w:rPr>
        <w:t>should provide protection for the population for approximately 6 months</w:t>
      </w:r>
      <w:r w:rsidR="00015FDD">
        <w:rPr>
          <w:rFonts w:eastAsiaTheme="minorEastAsia"/>
        </w:rPr>
        <w:t>.</w:t>
      </w:r>
    </w:p>
    <w:p w14:paraId="16B52BC8" w14:textId="7B14DE5B" w:rsidR="005B299B" w:rsidRDefault="0030138C" w:rsidP="007D39B6">
      <w:r>
        <w:rPr>
          <w:rFonts w:eastAsiaTheme="minorEastAsia"/>
        </w:rPr>
        <w:t>Apart from vaccinating high value wildlife populations, there appe</w:t>
      </w:r>
      <w:r w:rsidR="00856E35">
        <w:rPr>
          <w:rFonts w:eastAsiaTheme="minorEastAsia"/>
        </w:rPr>
        <w:t>ars to</w:t>
      </w:r>
      <w:r w:rsidR="00E930F9">
        <w:rPr>
          <w:rFonts w:eastAsiaTheme="minorEastAsia"/>
        </w:rPr>
        <w:t xml:space="preserve"> be limited options for mitigating the impacts of an</w:t>
      </w:r>
      <w:r w:rsidR="006557FB">
        <w:rPr>
          <w:rFonts w:eastAsiaTheme="minorEastAsia"/>
        </w:rPr>
        <w:t xml:space="preserve"> H5N1 outbreak in wildlife.</w:t>
      </w:r>
      <w:r w:rsidR="00BE3EC4">
        <w:rPr>
          <w:rFonts w:eastAsiaTheme="minorEastAsia"/>
        </w:rPr>
        <w:t xml:space="preserve"> </w:t>
      </w:r>
      <w:r w:rsidR="00CA7CBC">
        <w:rPr>
          <w:rFonts w:eastAsiaTheme="minorEastAsia"/>
        </w:rPr>
        <w:t>Therefore</w:t>
      </w:r>
      <w:r w:rsidR="006557FB">
        <w:rPr>
          <w:rFonts w:eastAsiaTheme="minorEastAsia"/>
        </w:rPr>
        <w:t xml:space="preserve">, in the event of an outbreak, priority should be given to </w:t>
      </w:r>
      <w:r w:rsidR="00D96293">
        <w:t>boosting biosecurity and containment measures to limit spillover of infection to humans and domestic animals.</w:t>
      </w:r>
      <w:r w:rsidR="00BE3EC4">
        <w:t xml:space="preserve"> </w:t>
      </w:r>
      <w:r w:rsidR="00D96293">
        <w:t>These actions</w:t>
      </w:r>
      <w:r w:rsidR="00B40211">
        <w:t xml:space="preserve"> would also benefit from</w:t>
      </w:r>
      <w:r w:rsidR="00B20C72">
        <w:t xml:space="preserve"> early warning </w:t>
      </w:r>
      <w:r w:rsidR="00DD48C8">
        <w:t xml:space="preserve">of a </w:t>
      </w:r>
      <w:r w:rsidR="00633EB6">
        <w:t>likely H5N1 outbreak</w:t>
      </w:r>
      <w:r w:rsidR="00DD48C8">
        <w:t>.</w:t>
      </w:r>
      <w:r w:rsidR="00BE3EC4">
        <w:t xml:space="preserve"> </w:t>
      </w:r>
      <w:r w:rsidR="00CA7CBC">
        <w:t>As a result</w:t>
      </w:r>
      <w:r w:rsidR="00DD48C8">
        <w:t>, surveillance of high</w:t>
      </w:r>
      <w:r w:rsidR="00957762">
        <w:t>-</w:t>
      </w:r>
      <w:r w:rsidR="00DD48C8">
        <w:t xml:space="preserve">risk wildlife species </w:t>
      </w:r>
      <w:r w:rsidR="00CA7CBC">
        <w:t>(</w:t>
      </w:r>
      <w:r w:rsidR="00DD48C8">
        <w:t xml:space="preserve">such as gulls, terns, </w:t>
      </w:r>
      <w:r w:rsidR="00A70BFE">
        <w:t>ducks, geese and swans</w:t>
      </w:r>
      <w:r w:rsidR="00CA7CBC">
        <w:t xml:space="preserve">) </w:t>
      </w:r>
      <w:r w:rsidR="009930EE">
        <w:t xml:space="preserve">during the spring period </w:t>
      </w:r>
      <w:r w:rsidR="00A816B5">
        <w:fldChar w:fldCharType="begin"/>
      </w:r>
      <w:r w:rsidR="00A816B5">
        <w:instrText xml:space="preserve"> ADDIN ZOTERO_ITEM CSL_CITATION {"citationID":"Cufxwp19","properties":{"formattedCitation":"(e.g., Wille and Klaassen 2023)","plainCitation":"(e.g., Wille and Klaassen 2023)","noteIndex":0},"citationItems":[{"id":9709,"uris":["http://zotero.org/users/634364/items/M8M5GJWR"],"itemData":{"id":9709,"type":"article-journal","container-title":"Influenza and other respiratory viruses","DOI":"10.1111/irv.13118","ISSN":"1750-2659 1750-2640","issue":"3","journalAbbreviation":"Influenza Other Respir Viruses","language":"eng","note":"publisher-place: England\nPMID: 36909297 \nPMCID: PMC9995809","page":"e13118","title":"No evidence for HPAI H5N1 2.3.4.4b incursion into Australia in 2022.","volume":"17","author":[{"family":"Wille","given":"Michelle"},{"family":"Klaassen","given":"Marcel"}],"issued":{"date-parts":[["2023",3]]}},"label":"page","prefix":"e.g., "}],"schema":"https://github.com/citation-style-language/schema/raw/master/csl-citation.json"} </w:instrText>
      </w:r>
      <w:r w:rsidR="00A816B5">
        <w:fldChar w:fldCharType="separate"/>
      </w:r>
      <w:r w:rsidR="009F541F" w:rsidRPr="009F541F">
        <w:t>(</w:t>
      </w:r>
      <w:r w:rsidR="005B24DC">
        <w:t xml:space="preserve">e.g. </w:t>
      </w:r>
      <w:r w:rsidR="009F541F" w:rsidRPr="009F541F">
        <w:t>Wille and Klaassen 2023)</w:t>
      </w:r>
      <w:r w:rsidR="00A816B5">
        <w:fldChar w:fldCharType="end"/>
      </w:r>
      <w:r w:rsidR="00DD1E93">
        <w:t xml:space="preserve"> </w:t>
      </w:r>
      <w:r w:rsidR="009930EE">
        <w:t xml:space="preserve">should be </w:t>
      </w:r>
      <w:r w:rsidR="00954329">
        <w:t xml:space="preserve">supported </w:t>
      </w:r>
      <w:r w:rsidR="00DD1E93">
        <w:t>for the foreseeable future</w:t>
      </w:r>
      <w:r w:rsidR="00CA7CBC">
        <w:t xml:space="preserve"> </w:t>
      </w:r>
      <w:r w:rsidR="00DD1E93">
        <w:t xml:space="preserve">to provide early warning of an </w:t>
      </w:r>
      <w:r w:rsidR="00E94302">
        <w:t xml:space="preserve">incursion, which should </w:t>
      </w:r>
      <w:r w:rsidR="009930EE">
        <w:t>enable</w:t>
      </w:r>
      <w:r w:rsidR="00EE46B2">
        <w:t xml:space="preserve"> adequate </w:t>
      </w:r>
      <w:r w:rsidR="00957762">
        <w:t xml:space="preserve">time for </w:t>
      </w:r>
      <w:r w:rsidR="00451D94">
        <w:t>the implementation of biosecurity and containment measures</w:t>
      </w:r>
      <w:r w:rsidR="00526E81">
        <w:t>.</w:t>
      </w:r>
      <w:r w:rsidR="00BE3EC4">
        <w:t xml:space="preserve"> </w:t>
      </w:r>
    </w:p>
    <w:p w14:paraId="6BCE906D" w14:textId="653DADB9" w:rsidR="00DF1C55" w:rsidRDefault="00327CA1" w:rsidP="00327CA1">
      <w:pPr>
        <w:pStyle w:val="Heading2-Numbered"/>
      </w:pPr>
      <w:bookmarkStart w:id="133" w:name="_Toc198634124"/>
      <w:r>
        <w:t>Unknown</w:t>
      </w:r>
      <w:r w:rsidR="00B8082C">
        <w:t>s</w:t>
      </w:r>
      <w:r>
        <w:t xml:space="preserve"> </w:t>
      </w:r>
      <w:r w:rsidR="00B8082C">
        <w:t>and uncertainties</w:t>
      </w:r>
      <w:bookmarkEnd w:id="133"/>
    </w:p>
    <w:p w14:paraId="04C90DBD" w14:textId="16AA0E66" w:rsidR="00327CA1" w:rsidRDefault="00327CA1" w:rsidP="00327CA1">
      <w:r>
        <w:t xml:space="preserve">Important Australian (and global) wildlife disease emergencies during recent decades have often involved previously unknown diseases which have </w:t>
      </w:r>
      <w:r w:rsidR="00B53588">
        <w:t>emerged and become major conservation threats with little or no warning. Two well</w:t>
      </w:r>
      <w:r w:rsidR="00A961E2">
        <w:t>-</w:t>
      </w:r>
      <w:r w:rsidR="00B53588">
        <w:t xml:space="preserve">known examples </w:t>
      </w:r>
      <w:r w:rsidR="00C11185">
        <w:t xml:space="preserve">that illustrate this point </w:t>
      </w:r>
      <w:r w:rsidR="00B53588">
        <w:t xml:space="preserve">are the amphibian chytrid fungus, </w:t>
      </w:r>
      <w:r w:rsidR="00F62BAB">
        <w:t xml:space="preserve">which has caused global declines in frog populations since </w:t>
      </w:r>
      <w:r w:rsidR="00F241D3">
        <w:t>the 1970s and 1980s</w:t>
      </w:r>
      <w:r w:rsidR="00C11185">
        <w:t>,</w:t>
      </w:r>
      <w:r w:rsidR="00507D34">
        <w:t xml:space="preserve"> and the Tasmanian Devil facial tumour disease</w:t>
      </w:r>
      <w:r w:rsidR="00852FB4">
        <w:t xml:space="preserve">. </w:t>
      </w:r>
      <w:r w:rsidR="00955E51">
        <w:t>Amphibian c</w:t>
      </w:r>
      <w:r w:rsidR="00EB5F42">
        <w:t>hytrid</w:t>
      </w:r>
      <w:r w:rsidR="00852FB4">
        <w:t xml:space="preserve"> was unknown to science until severe impacts (declines and extinctions) were already being experienced</w:t>
      </w:r>
      <w:r w:rsidR="00F241D3">
        <w:t xml:space="preserve"> in what became a </w:t>
      </w:r>
      <w:r w:rsidR="00A249D1">
        <w:t>massive threat to biodiversity both globally and in Australia</w:t>
      </w:r>
      <w:r w:rsidR="004E21E6">
        <w:t xml:space="preserve">. Similarly, Tasmanian </w:t>
      </w:r>
      <w:r w:rsidR="00507D34">
        <w:t>De</w:t>
      </w:r>
      <w:r w:rsidR="004E21E6">
        <w:t>vil facial tumour disease, a transmissible cancer, emerged suddenly</w:t>
      </w:r>
      <w:r w:rsidR="00A249D1">
        <w:t xml:space="preserve"> and unexpectedly</w:t>
      </w:r>
      <w:r w:rsidR="004E21E6">
        <w:t xml:space="preserve"> and caused unpredicted and severe population declines in the iconic Tasmanian </w:t>
      </w:r>
      <w:r w:rsidR="00507D34">
        <w:t>D</w:t>
      </w:r>
      <w:r w:rsidR="004E21E6">
        <w:t>evil. Neither of these major wildlife disease emergencies were foreseen</w:t>
      </w:r>
      <w:r w:rsidR="00431608">
        <w:t xml:space="preserve"> or foreseeable.</w:t>
      </w:r>
      <w:r w:rsidR="00BE3EC4">
        <w:t xml:space="preserve"> </w:t>
      </w:r>
      <w:r w:rsidR="00CA5B5E">
        <w:t xml:space="preserve">Some </w:t>
      </w:r>
      <w:r w:rsidR="00E77B4E">
        <w:t xml:space="preserve">emerging </w:t>
      </w:r>
      <w:r w:rsidR="00CA5B5E">
        <w:t xml:space="preserve">pathogens identified by the </w:t>
      </w:r>
      <w:r w:rsidR="00EB5F42">
        <w:t>WD</w:t>
      </w:r>
      <w:r w:rsidR="00CA5B5E">
        <w:t>RA</w:t>
      </w:r>
      <w:r w:rsidR="006735DF">
        <w:t xml:space="preserve"> were categorised as High risk, but with high levels of uncertainty (uncertainty level 3).</w:t>
      </w:r>
      <w:r w:rsidR="00BE3EC4">
        <w:t xml:space="preserve"> </w:t>
      </w:r>
      <w:r w:rsidR="006735DF">
        <w:t xml:space="preserve">These included </w:t>
      </w:r>
      <w:r w:rsidR="00EB5F42">
        <w:t>S</w:t>
      </w:r>
      <w:r w:rsidR="006735DF">
        <w:t xml:space="preserve">nake and </w:t>
      </w:r>
      <w:r w:rsidR="00EB5F42">
        <w:t>L</w:t>
      </w:r>
      <w:r w:rsidR="006735DF">
        <w:t xml:space="preserve">izard </w:t>
      </w:r>
      <w:r w:rsidR="00EB5F42">
        <w:t>F</w:t>
      </w:r>
      <w:r w:rsidR="006735DF">
        <w:t xml:space="preserve">ungal </w:t>
      </w:r>
      <w:r w:rsidR="00EB5F42">
        <w:t>D</w:t>
      </w:r>
      <w:r w:rsidR="006735DF">
        <w:t xml:space="preserve">isease </w:t>
      </w:r>
      <w:r w:rsidR="000C478F">
        <w:t>for</w:t>
      </w:r>
      <w:r w:rsidR="00D8475B">
        <w:t xml:space="preserve"> </w:t>
      </w:r>
      <w:r w:rsidR="000C478F">
        <w:t>reptile</w:t>
      </w:r>
      <w:r w:rsidR="001F5F6F">
        <w:t>s</w:t>
      </w:r>
      <w:r w:rsidR="00D8475B">
        <w:t xml:space="preserve"> </w:t>
      </w:r>
      <w:r w:rsidR="000C478F">
        <w:t xml:space="preserve">and </w:t>
      </w:r>
      <w:r w:rsidR="00EB5F42">
        <w:t>C</w:t>
      </w:r>
      <w:r w:rsidR="000C478F">
        <w:t xml:space="preserve">oronavirus in birds. </w:t>
      </w:r>
      <w:r w:rsidR="00EB5F42">
        <w:t>As a result</w:t>
      </w:r>
      <w:r w:rsidR="00D61F21">
        <w:t xml:space="preserve">, </w:t>
      </w:r>
      <w:r w:rsidR="007A5361">
        <w:t xml:space="preserve">we currently lack the knowledge to </w:t>
      </w:r>
      <w:r w:rsidR="00F36222">
        <w:t xml:space="preserve">determine the actual </w:t>
      </w:r>
      <w:r w:rsidR="005862B1">
        <w:t>level of risk</w:t>
      </w:r>
      <w:r w:rsidR="00BE3491">
        <w:t xml:space="preserve"> posed by these diseases</w:t>
      </w:r>
      <w:r w:rsidR="005862B1">
        <w:t>.</w:t>
      </w:r>
      <w:r w:rsidR="00BE3EC4">
        <w:t xml:space="preserve"> </w:t>
      </w:r>
      <w:r w:rsidR="00E77B4E">
        <w:t>It is likely that other unknown or emerging diseases will represent major threats to wildlife in Victoria</w:t>
      </w:r>
      <w:r w:rsidR="005862B1">
        <w:t>.</w:t>
      </w:r>
      <w:r w:rsidR="000C478F">
        <w:t xml:space="preserve"> </w:t>
      </w:r>
      <w:r w:rsidR="00EB7A6F">
        <w:t xml:space="preserve">This highlights the importance </w:t>
      </w:r>
      <w:r w:rsidR="00337794">
        <w:t xml:space="preserve">of </w:t>
      </w:r>
      <w:r w:rsidR="00B3279B">
        <w:t xml:space="preserve">surveillance, </w:t>
      </w:r>
      <w:r w:rsidR="00DF43EB">
        <w:t xml:space="preserve">especially </w:t>
      </w:r>
      <w:r w:rsidR="00317E78">
        <w:t>passive surveillance</w:t>
      </w:r>
      <w:r w:rsidR="00B3279B">
        <w:t xml:space="preserve"> </w:t>
      </w:r>
      <w:r w:rsidR="002E5893">
        <w:t xml:space="preserve">systems, which can provide an early warning </w:t>
      </w:r>
      <w:r w:rsidR="00F71DA5">
        <w:t xml:space="preserve">of </w:t>
      </w:r>
      <w:r w:rsidR="002C5243">
        <w:t>potential</w:t>
      </w:r>
      <w:r w:rsidR="002E5893">
        <w:t xml:space="preserve"> disease emergencies.</w:t>
      </w:r>
    </w:p>
    <w:p w14:paraId="00C1F582" w14:textId="08F2D2EE" w:rsidR="00326BCA" w:rsidRDefault="00CC284C" w:rsidP="00B06527">
      <w:r>
        <w:t xml:space="preserve">The clear implication for managers of </w:t>
      </w:r>
      <w:r w:rsidR="004A7EA8">
        <w:t xml:space="preserve">wildlife disease responses in Victoria </w:t>
      </w:r>
      <w:r w:rsidR="00EB5F42">
        <w:t xml:space="preserve">is </w:t>
      </w:r>
      <w:r w:rsidR="004A7EA8">
        <w:t xml:space="preserve">that reliance on a </w:t>
      </w:r>
      <w:r w:rsidR="00EB5F42">
        <w:t>W</w:t>
      </w:r>
      <w:r w:rsidR="004A7EA8">
        <w:t xml:space="preserve">DRA </w:t>
      </w:r>
      <w:r w:rsidR="00EB5F42">
        <w:t>(</w:t>
      </w:r>
      <w:r w:rsidR="004A7EA8">
        <w:t>which can only consider diseases that are known to exist</w:t>
      </w:r>
      <w:r w:rsidR="00EB5F42">
        <w:t>)</w:t>
      </w:r>
      <w:r w:rsidR="004A7EA8">
        <w:t xml:space="preserve"> </w:t>
      </w:r>
      <w:r w:rsidR="005D14D6">
        <w:t xml:space="preserve">will provide an inadequate basis for planning </w:t>
      </w:r>
      <w:r w:rsidR="00D006BC">
        <w:t xml:space="preserve">the state’s responses to wildlife disease emergencies. </w:t>
      </w:r>
    </w:p>
    <w:p w14:paraId="2D856C78" w14:textId="6D84B82C" w:rsidR="00B06527" w:rsidRDefault="4A9621CC" w:rsidP="00CE3CC2">
      <w:pPr>
        <w:pStyle w:val="Heading2-Numbered"/>
      </w:pPr>
      <w:bookmarkStart w:id="134" w:name="_Toc198634125"/>
      <w:r>
        <w:t>W</w:t>
      </w:r>
      <w:r w:rsidR="00CD0E62">
        <w:t xml:space="preserve">ildlife </w:t>
      </w:r>
      <w:r w:rsidR="00B06527">
        <w:t xml:space="preserve">disease </w:t>
      </w:r>
      <w:r w:rsidR="00B519BE">
        <w:t>management</w:t>
      </w:r>
      <w:bookmarkEnd w:id="134"/>
    </w:p>
    <w:p w14:paraId="4E3D71E3" w14:textId="4ED05C5A" w:rsidR="00BB740C" w:rsidRDefault="009D118C" w:rsidP="00B06527">
      <w:r>
        <w:t>Emer</w:t>
      </w:r>
      <w:r w:rsidR="005F42A2">
        <w:t xml:space="preserve">ging infectious diseases </w:t>
      </w:r>
      <w:r w:rsidR="0045137E">
        <w:t>are increasing in geographic and host range globally, impacting</w:t>
      </w:r>
      <w:r w:rsidR="00EC33EE">
        <w:t xml:space="preserve"> wildlife, agriculture and human health </w:t>
      </w:r>
      <w:r w:rsidR="00EC33EE">
        <w:fldChar w:fldCharType="begin"/>
      </w:r>
      <w:r w:rsidR="009F541F">
        <w:instrText xml:space="preserve"> ADDIN ZOTERO_ITEM CSL_CITATION {"citationID":"uS6ayLSs","properties":{"formattedCitation":"(Tompkins {\\i{}et al.} 2015)","plainCitation":"(Tompkins et al. 2015)","noteIndex":0},"citationItems":[{"id":5239,"uris":["http://zotero.org/users/634364/items/D6PZ7EFV"],"itemData":{"id":5239,"type":"article-journal","abstract":"We review the literature to distinguish reports of vertebrate wildlife disease emergence with sufficient evidence, enabling a robust assessment of emergence drivers. For potentially emerging agents that cannot be confirmed, sufficient data on prior absence (or a prior difference in disease dynamics) are frequently lacking. Improved surveillance, particularly for neglected host taxa, geographical regions and infectious agents, would enable more effective management should emergence occur. Exposure to domestic sources of infection and human-assisted exposure to wild sources were identified as the two main drivers of emergence across host taxa; the domestic source was primary for fish while the wild source was primary for other taxa. There was generally insufficient evidence for major roles of other hypothesized drivers of emergence.","container-title":"Trends in Parasitology","DOI":"10.1016/j.pt.2015.01.007","ISSN":"14715007","issue":"4","note":"PMID: 25709109\npublisher: Elsevier Ltd","page":"149-159","title":"Emerging infectious diseases of wildlife: A critical perspective","volume":"31","author":[{"family":"Tompkins","given":"Daniel M."},{"family":"Carver","given":"Scott"},{"family":"Jones","given":"Menna E."},{"family":"Krkošek","given":"Martin"},{"family":"Skerratt","given":"Lee F."}],"issued":{"date-parts":[["2015",4,1]]}}}],"schema":"https://github.com/citation-style-language/schema/raw/master/csl-citation.json"} </w:instrText>
      </w:r>
      <w:r w:rsidR="00EC33EE">
        <w:fldChar w:fldCharType="separate"/>
      </w:r>
      <w:r w:rsidR="009F541F" w:rsidRPr="009F541F">
        <w:t xml:space="preserve">(Tompkins </w:t>
      </w:r>
      <w:r w:rsidR="009F541F" w:rsidRPr="00DA5824">
        <w:t>et al</w:t>
      </w:r>
      <w:r w:rsidR="009F541F" w:rsidRPr="009F541F">
        <w:rPr>
          <w:i/>
          <w:iCs/>
        </w:rPr>
        <w:t>.</w:t>
      </w:r>
      <w:r w:rsidR="009F541F" w:rsidRPr="009F541F">
        <w:t xml:space="preserve"> 2015)</w:t>
      </w:r>
      <w:r w:rsidR="00EC33EE">
        <w:fldChar w:fldCharType="end"/>
      </w:r>
      <w:r w:rsidR="00C3779B">
        <w:t>.</w:t>
      </w:r>
      <w:r w:rsidR="00BE3EC4">
        <w:t xml:space="preserve"> </w:t>
      </w:r>
      <w:r w:rsidR="001D7A5C">
        <w:t>T</w:t>
      </w:r>
      <w:r w:rsidR="00D70DDC">
        <w:t>h</w:t>
      </w:r>
      <w:r w:rsidR="00BD254C" w:rsidRPr="00BD254C">
        <w:t>e links between emerging infectious diseases and anthropogenic environmental changes are becoming increasingly accepted</w:t>
      </w:r>
      <w:r w:rsidR="00D70DDC">
        <w:t xml:space="preserve"> </w:t>
      </w:r>
      <w:r w:rsidR="00413622">
        <w:fldChar w:fldCharType="begin"/>
      </w:r>
      <w:r w:rsidR="009F541F">
        <w:instrText xml:space="preserve"> ADDIN ZOTERO_ITEM CSL_CITATION {"citationID":"hgyWIAFz","properties":{"formattedCitation":"(Woolaston {\\i{}et al.} 2022)","plainCitation":"(Woolaston et al. 2022)","noteIndex":0},"citationItems":[{"id":9625,"uris":["http://zotero.org/users/634364/items/YPU2U9EN"],"itemData":{"id":9625,"type":"article-journal","abstract":"The emergence of SARS-CoV-2 and the subsequent COVID-19 pandemic has resulted in significant global impact. However, COVID-19 is just one of several high-impact infectious diseases that emerged from wildlife and are linked to the human relationship with nature. The rate of emergence of new zoonoses (diseases of animal origin) is increasing, driven by human-induced environmental changes that threaten biodiversity on a global scale. This increase is directly linked to environmental drivers including biodiversity loss, climate change and unsustainable resource extraction. Australia is a biodiversity hotspot and is subject to sustained and significant environmental change, increasing the risk of it being a location for pandemic origin. Moreover, the global integration of markets means that consumption trends in Australia contributes to the risk of disease spill-over in our regional neighbours in Asia-Pacific, and beyond. Despite the clear causal link between anthropogenic pressures on the environment and increasing pandemic risks, Australia’s response to the COVID-19 pandemic, like most of the world, has centred largely on public health strategies, with a clear focus on reactive management. Yet, the span of expertise and evidence relevant to the governance of pandemic risk management is much wider than public health and epidemiology. It involves animal/wildlife health, biosecurity, conservation sciences, social sciences, behavioural psychology, law, policy and economic analyses to name just a few. The authors are a team of multidisciplinary practitioners and researchers who have worked together to analyse, synthesise, and harmonise the links between pandemic risk management approaches and issues in different disciplines to provide a holistic overview of current practice, and conclude the need for reform in Australia. We discuss the adoption of a comprehensive and interdisciplinary ‘One Health’ approach to pandemic risk management in Australia. A key goal of the One Health approach is to be proactive in countering threats of emerging infectious diseases and zoonoses through a recognition of the interdependence between human, animal, and environmental health. Developing ways to implement a One Health approach to pandemic prevention would not only reduce the risk of future pandemics emerging in or entering Australia, but also provide a model for prevention strategies around the world.","container-title":"Globalization and Health","DOI":"10.1186/s12992-022-00850-4","ISSN":"1744-8603","issue":"1","journalAbbreviation":"Global Health","language":"en","page":"73","source":"DOI.org (Crossref)","title":"An argument for pandemic risk management using a multidisciplinary One Health approach to governance: an Australian case study","title-short":"An argument for pandemic risk management using a multidisciplinary One Health approach to governance","volume":"18","author":[{"family":"Woolaston","given":"Katie"},{"family":"Nay","given":"Zoe"},{"family":"Baker","given":"Michelle L."},{"family":"Brockett","given":"Callum"},{"family":"Bruce","given":"Mieghan"},{"family":"Degeling","given":"Chris"},{"family":"Gilbert","given":"Joshua"},{"family":"Jackson","given":"Bethany"},{"family":"Johnson","given":"Hope"},{"family":"Peel","given":"Alison"},{"family":"Sahibzada","given":"Shafi"},{"family":"Oskam","given":"Charlotte"},{"family":"Hewitt","given":"Chad L."}],"issued":{"date-parts":[["2022",12]]}}}],"schema":"https://github.com/citation-style-language/schema/raw/master/csl-citation.json"} </w:instrText>
      </w:r>
      <w:r w:rsidR="00413622">
        <w:fldChar w:fldCharType="separate"/>
      </w:r>
      <w:r w:rsidR="009F541F" w:rsidRPr="009F541F">
        <w:t xml:space="preserve">(Woolaston </w:t>
      </w:r>
      <w:r w:rsidR="009F541F" w:rsidRPr="00DA5824">
        <w:t>et al</w:t>
      </w:r>
      <w:r w:rsidR="009F541F" w:rsidRPr="009F541F">
        <w:rPr>
          <w:i/>
          <w:iCs/>
        </w:rPr>
        <w:t>.</w:t>
      </w:r>
      <w:r w:rsidR="009F541F" w:rsidRPr="009F541F">
        <w:t xml:space="preserve"> 2022)</w:t>
      </w:r>
      <w:r w:rsidR="00413622">
        <w:fldChar w:fldCharType="end"/>
      </w:r>
      <w:r w:rsidR="00413622">
        <w:t>.</w:t>
      </w:r>
      <w:r w:rsidR="00BE3EC4">
        <w:t xml:space="preserve"> </w:t>
      </w:r>
      <w:r w:rsidR="00B018BE">
        <w:t xml:space="preserve">Global </w:t>
      </w:r>
      <w:r w:rsidR="00CF4220">
        <w:t xml:space="preserve">change </w:t>
      </w:r>
      <w:r w:rsidR="00B018BE">
        <w:t xml:space="preserve">processes such as </w:t>
      </w:r>
      <w:r w:rsidR="00BD254C" w:rsidRPr="00BD254C">
        <w:t xml:space="preserve">biodiversity loss, climate change, agricultural intensification and </w:t>
      </w:r>
      <w:r w:rsidR="00B018BE">
        <w:t xml:space="preserve">wildlife trade have all been implicated </w:t>
      </w:r>
      <w:r w:rsidR="009B5CAD">
        <w:t>in</w:t>
      </w:r>
      <w:r w:rsidR="00937847">
        <w:t xml:space="preserve"> the increasing </w:t>
      </w:r>
      <w:r w:rsidR="00076A50">
        <w:t xml:space="preserve">emergence of </w:t>
      </w:r>
      <w:r w:rsidR="005B36E0">
        <w:t>wildlife and zoonotic disease</w:t>
      </w:r>
      <w:r w:rsidR="00D501F6">
        <w:t xml:space="preserve"> </w:t>
      </w:r>
      <w:r w:rsidR="009E5360">
        <w:t>by in</w:t>
      </w:r>
      <w:r w:rsidR="009F0CB8">
        <w:t xml:space="preserve">creasing </w:t>
      </w:r>
      <w:r w:rsidR="0014471E">
        <w:t xml:space="preserve">contacts among </w:t>
      </w:r>
      <w:r w:rsidR="009E5360">
        <w:t xml:space="preserve">formally disparate </w:t>
      </w:r>
      <w:r w:rsidR="0014471E">
        <w:t>tax</w:t>
      </w:r>
      <w:r w:rsidR="00BF6404">
        <w:t>a</w:t>
      </w:r>
      <w:r w:rsidR="004D47CA">
        <w:t>, as well as humans</w:t>
      </w:r>
      <w:r w:rsidR="00820097">
        <w:t>,</w:t>
      </w:r>
      <w:r w:rsidR="004D47CA">
        <w:t xml:space="preserve"> leading to</w:t>
      </w:r>
      <w:r w:rsidR="00BD254C" w:rsidRPr="00BD254C">
        <w:t xml:space="preserve"> greater opportunities for pathogen spill-over</w:t>
      </w:r>
      <w:r w:rsidR="00BB740C">
        <w:t xml:space="preserve"> </w:t>
      </w:r>
      <w:r w:rsidR="00BB740C">
        <w:fldChar w:fldCharType="begin"/>
      </w:r>
      <w:r w:rsidR="009F541F">
        <w:instrText xml:space="preserve"> ADDIN ZOTERO_ITEM CSL_CITATION {"citationID":"cFNbgfq4","properties":{"formattedCitation":"(Woolaston {\\i{}et al.} 2022)","plainCitation":"(Woolaston et al. 2022)","noteIndex":0},"citationItems":[{"id":9625,"uris":["http://zotero.org/users/634364/items/YPU2U9EN"],"itemData":{"id":9625,"type":"article-journal","abstract":"The emergence of SARS-CoV-2 and the subsequent COVID-19 pandemic has resulted in significant global impact. However, COVID-19 is just one of several high-impact infectious diseases that emerged from wildlife and are linked to the human relationship with nature. The rate of emergence of new zoonoses (diseases of animal origin) is increasing, driven by human-induced environmental changes that threaten biodiversity on a global scale. This increase is directly linked to environmental drivers including biodiversity loss, climate change and unsustainable resource extraction. Australia is a biodiversity hotspot and is subject to sustained and significant environmental change, increasing the risk of it being a location for pandemic origin. Moreover, the global integration of markets means that consumption trends in Australia contributes to the risk of disease spill-over in our regional neighbours in Asia-Pacific, and beyond. Despite the clear causal link between anthropogenic pressures on the environment and increasing pandemic risks, Australia’s response to the COVID-19 pandemic, like most of the world, has centred largely on public health strategies, with a clear focus on reactive management. Yet, the span of expertise and evidence relevant to the governance of pandemic risk management is much wider than public health and epidemiology. It involves animal/wildlife health, biosecurity, conservation sciences, social sciences, behavioural psychology, law, policy and economic analyses to name just a few. The authors are a team of multidisciplinary practitioners and researchers who have worked together to analyse, synthesise, and harmonise the links between pandemic risk management approaches and issues in different disciplines to provide a holistic overview of current practice, and conclude the need for reform in Australia. We discuss the adoption of a comprehensive and interdisciplinary ‘One Health’ approach to pandemic risk management in Australia. A key goal of the One Health approach is to be proactive in countering threats of emerging infectious diseases and zoonoses through a recognition of the interdependence between human, animal, and environmental health. Developing ways to implement a One Health approach to pandemic prevention would not only reduce the risk of future pandemics emerging in or entering Australia, but also provide a model for prevention strategies around the world.","container-title":"Globalization and Health","DOI":"10.1186/s12992-022-00850-4","ISSN":"1744-8603","issue":"1","journalAbbreviation":"Global Health","language":"en","page":"73","source":"DOI.org (Crossref)","title":"An argument for pandemic risk management using a multidisciplinary One Health approach to governance: an Australian case study","title-short":"An argument for pandemic risk management using a multidisciplinary One Health approach to governance","volume":"18","author":[{"family":"Woolaston","given":"Katie"},{"family":"Nay","given":"Zoe"},{"family":"Baker","given":"Michelle L."},{"family":"Brockett","given":"Callum"},{"family":"Bruce","given":"Mieghan"},{"family":"Degeling","given":"Chris"},{"family":"Gilbert","given":"Joshua"},{"family":"Jackson","given":"Bethany"},{"family":"Johnson","given":"Hope"},{"family":"Peel","given":"Alison"},{"family":"Sahibzada","given":"Shafi"},{"family":"Oskam","given":"Charlotte"},{"family":"Hewitt","given":"Chad L."}],"issued":{"date-parts":[["2022",12]]}}}],"schema":"https://github.com/citation-style-language/schema/raw/master/csl-citation.json"} </w:instrText>
      </w:r>
      <w:r w:rsidR="00BB740C">
        <w:fldChar w:fldCharType="separate"/>
      </w:r>
      <w:r w:rsidR="009F541F" w:rsidRPr="009F541F">
        <w:t xml:space="preserve">(Woolaston </w:t>
      </w:r>
      <w:r w:rsidR="009F541F" w:rsidRPr="00DA5824">
        <w:t>et al</w:t>
      </w:r>
      <w:r w:rsidR="009F541F" w:rsidRPr="009F541F">
        <w:rPr>
          <w:i/>
          <w:iCs/>
        </w:rPr>
        <w:t>.</w:t>
      </w:r>
      <w:r w:rsidR="009F541F" w:rsidRPr="009F541F">
        <w:t xml:space="preserve"> 2022)</w:t>
      </w:r>
      <w:r w:rsidR="00BB740C">
        <w:fldChar w:fldCharType="end"/>
      </w:r>
      <w:r w:rsidR="00BB740C">
        <w:t>.</w:t>
      </w:r>
    </w:p>
    <w:p w14:paraId="6C97FB16" w14:textId="54B923F5" w:rsidR="009128BC" w:rsidRDefault="00F47FDB" w:rsidP="00B06527">
      <w:r>
        <w:t xml:space="preserve">The management of </w:t>
      </w:r>
      <w:r w:rsidR="00067652">
        <w:t xml:space="preserve">invasive pathogens causing disease in wildlife </w:t>
      </w:r>
      <w:r w:rsidR="00492F64">
        <w:t xml:space="preserve">continues to be one of the most challenging </w:t>
      </w:r>
      <w:r w:rsidR="00983DFE">
        <w:t xml:space="preserve">areas in </w:t>
      </w:r>
      <w:r w:rsidR="00800D59">
        <w:t>biodiversity</w:t>
      </w:r>
      <w:r w:rsidR="00D4460C">
        <w:t xml:space="preserve"> conservation</w:t>
      </w:r>
      <w:r w:rsidR="004951BF">
        <w:t>,</w:t>
      </w:r>
      <w:r w:rsidR="00D90981">
        <w:t xml:space="preserve"> requiring expertise from multiple disciplines, </w:t>
      </w:r>
      <w:r w:rsidR="0013420E">
        <w:t>including ecolog</w:t>
      </w:r>
      <w:r w:rsidR="00733067">
        <w:t>y</w:t>
      </w:r>
      <w:r w:rsidR="0013420E">
        <w:t xml:space="preserve">, </w:t>
      </w:r>
      <w:r w:rsidR="00DE1728">
        <w:t xml:space="preserve">conservation science, </w:t>
      </w:r>
      <w:r w:rsidR="0013420E">
        <w:t>veterinary epidemiolog</w:t>
      </w:r>
      <w:r w:rsidR="00733067">
        <w:t>y</w:t>
      </w:r>
      <w:r w:rsidR="0013420E">
        <w:t xml:space="preserve">, </w:t>
      </w:r>
      <w:r w:rsidR="00733067">
        <w:t xml:space="preserve">modelling and </w:t>
      </w:r>
      <w:r w:rsidR="00C6713C">
        <w:t>environmental policy</w:t>
      </w:r>
      <w:r w:rsidR="00B9526A">
        <w:t xml:space="preserve"> </w:t>
      </w:r>
      <w:r w:rsidR="00B9526A">
        <w:fldChar w:fldCharType="begin"/>
      </w:r>
      <w:r w:rsidR="009F541F">
        <w:instrText xml:space="preserve"> ADDIN ZOTERO_ITEM CSL_CITATION {"citationID":"XDVFFG1p","properties":{"formattedCitation":"(Tompkins {\\i{}et al.} 2015; Carver {\\i{}et al.} 2022)","plainCitation":"(Tompkins et al. 2015; Carver et al. 2022)","noteIndex":0},"citationItems":[{"id":5239,"uris":["http://zotero.org/users/634364/items/D6PZ7EFV"],"itemData":{"id":5239,"type":"article-journal","abstract":"We review the literature to distinguish reports of vertebrate wildlife disease emergence with sufficient evidence, enabling a robust assessment of emergence drivers. For potentially emerging agents that cannot be confirmed, sufficient data on prior absence (or a prior difference in disease dynamics) are frequently lacking. Improved surveillance, particularly for neglected host taxa, geographical regions and infectious agents, would enable more effective management should emergence occur. Exposure to domestic sources of infection and human-assisted exposure to wild sources were identified as the two main drivers of emergence across host taxa; the domestic source was primary for fish while the wild source was primary for other taxa. There was generally insufficient evidence for major roles of other hypothesized drivers of emergence.","container-title":"Trends in Parasitology","DOI":"10.1016/j.pt.2015.01.007","ISSN":"14715007","issue":"4","note":"PMID: 25709109\npublisher: Elsevier Ltd","page":"149-159","title":"Emerging infectious diseases of wildlife: A critical perspective","volume":"31","author":[{"family":"Tompkins","given":"Daniel M."},{"family":"Carver","given":"Scott"},{"family":"Jones","given":"Menna E."},{"family":"Krkošek","given":"Martin"},{"family":"Skerratt","given":"Lee F."}],"issued":{"date-parts":[["2015",4,1]]}}},{"id":9521,"uris":["http://zotero.org/users/634364/items/UNF663XK"],"itemData":{"id":9521,"type":"article-journal","abstract":"Abstract\n            \n              \n                \n                  There are multiple demands for the development of effective and sustainable disease management practices in wildlife, but solutions are widely lacking. In this perspective, we focus on the need to structure research to support advancement toward enhanced wildlife disease control solutions. We concentrate on the need for improved integration between wildlife disease management undertaken in situ with modelling to guide and assess disease management actions.\n                \n                \n                  We recognise that many disease management attempts in wildlife are made in isolation, are not supported by modelling and are not used as a stepping stone to advancement. However, we emphasise that the development of disease control practices in wildlife is greater than any one management attempt, and should be seen and undertaken as a set of systematic steps towards well</w:instrText>
      </w:r>
      <w:r w:rsidR="009F541F">
        <w:rPr>
          <w:rFonts w:ascii="Cambria Math" w:hAnsi="Cambria Math" w:cs="Cambria Math"/>
        </w:rPr>
        <w:instrText>‐</w:instrText>
      </w:r>
      <w:r w:rsidR="009F541F">
        <w:instrText>articulated management goals.\n                \n                \n                  We describe modelling of disease management and in situ disease management as two complementary phases of investigation, viewed as a feedback loop to support advancements, and highlight established and less established pathways in this loop. We describe how stakeholders engaged in practical management actions can better engage with modellers, and also the need for more fit</w:instrText>
      </w:r>
      <w:r w:rsidR="009F541F">
        <w:rPr>
          <w:rFonts w:ascii="Cambria Math" w:hAnsi="Cambria Math" w:cs="Cambria Math"/>
        </w:rPr>
        <w:instrText>‐</w:instrText>
      </w:r>
      <w:r w:rsidR="009F541F">
        <w:instrText>for</w:instrText>
      </w:r>
      <w:r w:rsidR="009F541F">
        <w:rPr>
          <w:rFonts w:ascii="Cambria Math" w:hAnsi="Cambria Math" w:cs="Cambria Math"/>
        </w:rPr>
        <w:instrText>‐</w:instrText>
      </w:r>
      <w:r w:rsidR="009F541F">
        <w:instrText>purpose modelling that captures the on</w:instrText>
      </w:r>
      <w:r w:rsidR="009F541F">
        <w:rPr>
          <w:rFonts w:ascii="Cambria Math" w:hAnsi="Cambria Math" w:cs="Cambria Math"/>
        </w:rPr>
        <w:instrText>‐</w:instrText>
      </w:r>
      <w:r w:rsidR="009F541F">
        <w:instrText>ground realities of in situ practice to support advancements.\n                \n                \n                  \n                    The concepts and approaches described in this perspective are captured within a Model Integrated Disease Management for wildlife framework. We illustrate the framework, concepts and challenges proposed in this perspective using a case study for which we have experience: sarcoptic mange (etiologic agent\n                    Sarcoptes scabiei\n                    ) in bare</w:instrText>
      </w:r>
      <w:r w:rsidR="009F541F">
        <w:rPr>
          <w:rFonts w:ascii="Cambria Math" w:hAnsi="Cambria Math" w:cs="Cambria Math"/>
        </w:rPr>
        <w:instrText>‐</w:instrText>
      </w:r>
      <w:r w:rsidR="009F541F">
        <w:instrText>nosed wombats (\n                    Vombatus ursinus\n                    ).\n                  \n                \n                \n                  \n                    Synthesis and applications\n                    : Effective and sustainable solutions to critical wildlife diseases are needed. Progress can be improved when disease management is guided through iterative and fit</w:instrText>
      </w:r>
      <w:r w:rsidR="009F541F">
        <w:rPr>
          <w:rFonts w:ascii="Cambria Math" w:hAnsi="Cambria Math" w:cs="Cambria Math"/>
        </w:rPr>
        <w:instrText>‐</w:instrText>
      </w:r>
      <w:r w:rsidR="009F541F">
        <w:instrText>for</w:instrText>
      </w:r>
      <w:r w:rsidR="009F541F">
        <w:rPr>
          <w:rFonts w:ascii="Cambria Math" w:hAnsi="Cambria Math" w:cs="Cambria Math"/>
        </w:rPr>
        <w:instrText>‐</w:instrText>
      </w:r>
      <w:r w:rsidR="009F541F">
        <w:instrText xml:space="preserve">purpose integration between modelling and in situ practice. We describe and illustrate a Model Integrated Disease Management for wildlife framework. Moving beyond isolated disease management attempts into a structured process of advancement can help overcome barriers to tackling pathogens threatening wildlife.","container-title":"Journal of Applied Ecology","DOI":"10.1111/1365-2664.14298","ISSN":"0021-8901, 1365-2664","issue":"12","journalAbbreviation":"Journal of Applied Ecology","language":"en","page":"2902-2910","source":"DOI.org (Crossref)","title":"Model Integrated Disease Management to facilitate effective translatable solutions for wildlife disease issues","volume":"59","author":[{"family":"Carver","given":"Scott"},{"family":"Peters","given":"Andrew"},{"family":"Richards","given":"Shane A."}],"issued":{"date-parts":[["2022",12]]}}}],"schema":"https://github.com/citation-style-language/schema/raw/master/csl-citation.json"} </w:instrText>
      </w:r>
      <w:r w:rsidR="00B9526A">
        <w:fldChar w:fldCharType="separate"/>
      </w:r>
      <w:r w:rsidR="009F541F" w:rsidRPr="009F541F">
        <w:t>(To</w:t>
      </w:r>
      <w:r w:rsidR="009F541F" w:rsidRPr="004951BF">
        <w:t xml:space="preserve">mpkins </w:t>
      </w:r>
      <w:r w:rsidR="009F541F" w:rsidRPr="00DA5824">
        <w:t>et al.</w:t>
      </w:r>
      <w:r w:rsidR="009F541F" w:rsidRPr="004951BF">
        <w:t xml:space="preserve"> 2015; Carver </w:t>
      </w:r>
      <w:r w:rsidR="009F541F" w:rsidRPr="00DA5824">
        <w:t>et al.</w:t>
      </w:r>
      <w:r w:rsidR="009F541F" w:rsidRPr="004951BF">
        <w:t xml:space="preserve"> 2022)</w:t>
      </w:r>
      <w:r w:rsidR="00B9526A">
        <w:fldChar w:fldCharType="end"/>
      </w:r>
      <w:r w:rsidR="00C6713C">
        <w:t>.</w:t>
      </w:r>
      <w:r w:rsidR="00BE3EC4">
        <w:t xml:space="preserve"> </w:t>
      </w:r>
      <w:r w:rsidR="004335C7">
        <w:t>In addition, w</w:t>
      </w:r>
      <w:r w:rsidR="00D4627D">
        <w:t xml:space="preserve">ildlife disease must be managed in many contexts </w:t>
      </w:r>
      <w:r w:rsidR="00EC1C3A">
        <w:t xml:space="preserve">including </w:t>
      </w:r>
      <w:r w:rsidR="00C64964">
        <w:t xml:space="preserve">threatened species </w:t>
      </w:r>
      <w:r w:rsidR="00EC1C3A">
        <w:t>conservation, animal welfare concerns</w:t>
      </w:r>
      <w:r w:rsidR="002777E8">
        <w:t xml:space="preserve"> and </w:t>
      </w:r>
      <w:r w:rsidR="00C64964">
        <w:t xml:space="preserve">spillover into </w:t>
      </w:r>
      <w:r w:rsidR="0009559A">
        <w:t xml:space="preserve">human and </w:t>
      </w:r>
      <w:r w:rsidR="005D46F9">
        <w:t>do</w:t>
      </w:r>
      <w:r w:rsidR="00C64964">
        <w:t xml:space="preserve">mestic </w:t>
      </w:r>
      <w:r w:rsidR="005D46F9">
        <w:t>animal populations</w:t>
      </w:r>
      <w:r w:rsidR="002777E8">
        <w:t xml:space="preserve"> </w:t>
      </w:r>
      <w:r w:rsidR="002777E8">
        <w:fldChar w:fldCharType="begin"/>
      </w:r>
      <w:r w:rsidR="009F541F">
        <w:instrText xml:space="preserve"> ADDIN ZOTERO_ITEM CSL_CITATION {"citationID":"OtJh238z","properties":{"formattedCitation":"(Carver {\\i{}et al.} 2022)","plainCitation":"(Carver et al. 2022)","noteIndex":0},"citationItems":[{"id":9521,"uris":["http://zotero.org/users/634364/items/UNF663XK"],"itemData":{"id":9521,"type":"article-journal","abstract":"Abstract\n            \n              \n                \n                  There are multiple demands for the development of effective and sustainable disease management practices in wildlife, but solutions are widely lacking. In this perspective, we focus on the need to structure research to support advancement toward enhanced wildlife disease control solutions. We concentrate on the need for improved integration between wildlife disease management undertaken in situ with modelling to guide and assess disease management actions.\n                \n                \n                  We recognise that many disease management attempts in wildlife are made in isolation, are not supported by modelling and are not used as a stepping stone to advancement. However, we emphasise that the development of disease control practices in wildlife is greater than any one management attempt, and should be seen and undertaken as a set of systematic steps towards well</w:instrText>
      </w:r>
      <w:r w:rsidR="009F541F">
        <w:rPr>
          <w:rFonts w:ascii="Cambria Math" w:hAnsi="Cambria Math" w:cs="Cambria Math"/>
        </w:rPr>
        <w:instrText>‐</w:instrText>
      </w:r>
      <w:r w:rsidR="009F541F">
        <w:instrText>articulated management goals.\n                \n                \n                  We describe modelling of disease management and in situ disease management as two complementary phases of investigation, viewed as a feedback loop to support advancements, and highlight established and less established pathways in this loop. We describe how stakeholders engaged in practical management actions can better engage with modellers, and also the need for more fit</w:instrText>
      </w:r>
      <w:r w:rsidR="009F541F">
        <w:rPr>
          <w:rFonts w:ascii="Cambria Math" w:hAnsi="Cambria Math" w:cs="Cambria Math"/>
        </w:rPr>
        <w:instrText>‐</w:instrText>
      </w:r>
      <w:r w:rsidR="009F541F">
        <w:instrText>for</w:instrText>
      </w:r>
      <w:r w:rsidR="009F541F">
        <w:rPr>
          <w:rFonts w:ascii="Cambria Math" w:hAnsi="Cambria Math" w:cs="Cambria Math"/>
        </w:rPr>
        <w:instrText>‐</w:instrText>
      </w:r>
      <w:r w:rsidR="009F541F">
        <w:instrText>purpose modelling that captures the on</w:instrText>
      </w:r>
      <w:r w:rsidR="009F541F">
        <w:rPr>
          <w:rFonts w:ascii="Cambria Math" w:hAnsi="Cambria Math" w:cs="Cambria Math"/>
        </w:rPr>
        <w:instrText>‐</w:instrText>
      </w:r>
      <w:r w:rsidR="009F541F">
        <w:instrText>ground realities of in situ practice to support advancements.\n                \n                \n                  \n                    The concepts and approaches described in this perspective are captured within a Model Integrated Disease Management for wildlife framework. We illustrate the framework, concepts and challenges proposed in this perspective using a case study for which we have experience: sarcoptic mange (etiologic agent\n                    Sarcoptes scabiei\n                    ) in bare</w:instrText>
      </w:r>
      <w:r w:rsidR="009F541F">
        <w:rPr>
          <w:rFonts w:ascii="Cambria Math" w:hAnsi="Cambria Math" w:cs="Cambria Math"/>
        </w:rPr>
        <w:instrText>‐</w:instrText>
      </w:r>
      <w:r w:rsidR="009F541F">
        <w:instrText>nosed wombats (\n                    Vombatus ursinus\n                    ).\n                  \n                \n                \n                  \n                    Synthesis and applications\n                    : Effective and sustainable solutions to critical wildlife diseases are needed. Progress can be improved when disease management is guided through iterative and fit</w:instrText>
      </w:r>
      <w:r w:rsidR="009F541F">
        <w:rPr>
          <w:rFonts w:ascii="Cambria Math" w:hAnsi="Cambria Math" w:cs="Cambria Math"/>
        </w:rPr>
        <w:instrText>‐</w:instrText>
      </w:r>
      <w:r w:rsidR="009F541F">
        <w:instrText>for</w:instrText>
      </w:r>
      <w:r w:rsidR="009F541F">
        <w:rPr>
          <w:rFonts w:ascii="Cambria Math" w:hAnsi="Cambria Math" w:cs="Cambria Math"/>
        </w:rPr>
        <w:instrText>‐</w:instrText>
      </w:r>
      <w:r w:rsidR="009F541F">
        <w:instrText xml:space="preserve">purpose integration between modelling and in situ practice. We describe and illustrate a Model Integrated Disease Management for wildlife framework. Moving beyond isolated disease management attempts into a structured process of advancement can help overcome barriers to tackling pathogens threatening wildlife.","container-title":"Journal of Applied Ecology","DOI":"10.1111/1365-2664.14298","ISSN":"0021-8901, 1365-2664","issue":"12","journalAbbreviation":"Journal of Applied Ecology","language":"en","page":"2902-2910","source":"DOI.org (Crossref)","title":"Model Integrated Disease Management to facilitate effective translatable solutions for wildlife disease issues","volume":"59","author":[{"family":"Carver","given":"Scott"},{"family":"Peters","given":"Andrew"},{"family":"Richards","given":"Shane A."}],"issued":{"date-parts":[["2022",12]]}}}],"schema":"https://github.com/citation-style-language/schema/raw/master/csl-citation.json"} </w:instrText>
      </w:r>
      <w:r w:rsidR="002777E8">
        <w:fldChar w:fldCharType="separate"/>
      </w:r>
      <w:r w:rsidR="009F541F" w:rsidRPr="009F541F">
        <w:t xml:space="preserve">(Carver </w:t>
      </w:r>
      <w:r w:rsidR="009F541F" w:rsidRPr="00DA5824">
        <w:t>et al</w:t>
      </w:r>
      <w:r w:rsidR="009F541F" w:rsidRPr="009F541F">
        <w:rPr>
          <w:i/>
          <w:iCs/>
        </w:rPr>
        <w:t>.</w:t>
      </w:r>
      <w:r w:rsidR="009F541F" w:rsidRPr="009F541F">
        <w:t xml:space="preserve"> 2022)</w:t>
      </w:r>
      <w:r w:rsidR="002777E8">
        <w:fldChar w:fldCharType="end"/>
      </w:r>
      <w:r w:rsidR="004F3E77">
        <w:t>.</w:t>
      </w:r>
      <w:r w:rsidR="00BE3EC4">
        <w:t xml:space="preserve"> </w:t>
      </w:r>
    </w:p>
    <w:p w14:paraId="0F80C958" w14:textId="20B68A97" w:rsidR="00B06527" w:rsidRDefault="009128BC" w:rsidP="00B06527">
      <w:r>
        <w:t xml:space="preserve">Due to </w:t>
      </w:r>
      <w:r w:rsidR="009722B1">
        <w:t xml:space="preserve">a </w:t>
      </w:r>
      <w:r>
        <w:t>lack of solutions</w:t>
      </w:r>
      <w:r w:rsidR="00FA30A9">
        <w:t xml:space="preserve"> to reduce disease impacts</w:t>
      </w:r>
      <w:r>
        <w:t xml:space="preserve">, supporting research is key to developing novel approaches. However recent advances in agricultural and human health, such as </w:t>
      </w:r>
      <w:r w:rsidR="00A11EC4">
        <w:t xml:space="preserve">pipelines for </w:t>
      </w:r>
      <w:r>
        <w:t>rapid vaccine production, can be adapted for wildlife use</w:t>
      </w:r>
      <w:r w:rsidR="00A11EC4">
        <w:t xml:space="preserve"> while also</w:t>
      </w:r>
      <w:r>
        <w:t xml:space="preserve"> </w:t>
      </w:r>
      <w:r w:rsidR="005E1D8F">
        <w:t>in</w:t>
      </w:r>
      <w:r>
        <w:t>co</w:t>
      </w:r>
      <w:r w:rsidR="005E1D8F">
        <w:t>rporating t</w:t>
      </w:r>
      <w:r>
        <w:t>he challenges of landscape applications.</w:t>
      </w:r>
      <w:r w:rsidR="00BE3EC4">
        <w:t xml:space="preserve"> </w:t>
      </w:r>
    </w:p>
    <w:p w14:paraId="356CBE3B" w14:textId="643E45BA" w:rsidR="00B255A6" w:rsidRDefault="0015408F" w:rsidP="00B06527">
      <w:r>
        <w:t xml:space="preserve">The </w:t>
      </w:r>
      <w:r w:rsidR="00C9384C">
        <w:t>objectives</w:t>
      </w:r>
      <w:r>
        <w:t xml:space="preserve"> </w:t>
      </w:r>
      <w:r w:rsidR="00E75361">
        <w:t>for</w:t>
      </w:r>
      <w:r>
        <w:t xml:space="preserve"> wildlife disease management</w:t>
      </w:r>
      <w:r w:rsidR="00E75361">
        <w:t xml:space="preserve"> </w:t>
      </w:r>
      <w:r w:rsidR="00A5618A">
        <w:t xml:space="preserve">are also likely to </w:t>
      </w:r>
      <w:r w:rsidR="0000630B">
        <w:t xml:space="preserve">be </w:t>
      </w:r>
      <w:r w:rsidR="00A5618A">
        <w:t xml:space="preserve">context </w:t>
      </w:r>
      <w:proofErr w:type="gramStart"/>
      <w:r w:rsidR="00A5618A">
        <w:t>dependent</w:t>
      </w:r>
      <w:r w:rsidR="009722B1">
        <w:t xml:space="preserve">, </w:t>
      </w:r>
      <w:r w:rsidR="00030A8B">
        <w:t>and</w:t>
      </w:r>
      <w:proofErr w:type="gramEnd"/>
      <w:r w:rsidR="00030A8B">
        <w:t xml:space="preserve"> are usually formulated to provide </w:t>
      </w:r>
      <w:r w:rsidR="00340F30">
        <w:t xml:space="preserve">outcomes </w:t>
      </w:r>
      <w:r w:rsidR="00030A8B">
        <w:t>th</w:t>
      </w:r>
      <w:r w:rsidR="00C9384C">
        <w:t xml:space="preserve">at provide the </w:t>
      </w:r>
      <w:r w:rsidR="00030A8B">
        <w:t>greatest benefit</w:t>
      </w:r>
      <w:r w:rsidR="006B2F59">
        <w:t>.</w:t>
      </w:r>
      <w:r w:rsidR="00BE3EC4">
        <w:t xml:space="preserve"> </w:t>
      </w:r>
      <w:r w:rsidR="006D093C">
        <w:t>However, the outcome with the greatest benefit may not always be achievable.</w:t>
      </w:r>
      <w:r w:rsidR="00BE3EC4">
        <w:t xml:space="preserve"> </w:t>
      </w:r>
      <w:r w:rsidR="00A541FA">
        <w:t xml:space="preserve">For example, </w:t>
      </w:r>
      <w:r w:rsidR="001C55E9">
        <w:t xml:space="preserve">incursions of exotic disease that </w:t>
      </w:r>
      <w:r w:rsidR="00BA0600">
        <w:t xml:space="preserve">result in economic impacts to agriculture, </w:t>
      </w:r>
      <w:r w:rsidR="00A541FA">
        <w:t>would usually have an</w:t>
      </w:r>
      <w:r w:rsidR="00BA0600">
        <w:t xml:space="preserve"> objective </w:t>
      </w:r>
      <w:r w:rsidR="00A541FA">
        <w:t>of</w:t>
      </w:r>
      <w:r w:rsidR="00BA0600">
        <w:t xml:space="preserve"> eradication of the disease </w:t>
      </w:r>
      <w:r w:rsidR="00023A8D">
        <w:t xml:space="preserve">as </w:t>
      </w:r>
      <w:r w:rsidR="00A923C4">
        <w:t xml:space="preserve">quickly as possible (e.g. FMD, </w:t>
      </w:r>
      <w:r w:rsidR="009719B6">
        <w:t>African</w:t>
      </w:r>
      <w:r w:rsidR="00A923C4">
        <w:t xml:space="preserve"> Swine Fever</w:t>
      </w:r>
      <w:r w:rsidR="00830901">
        <w:t>, HPAI</w:t>
      </w:r>
      <w:r w:rsidR="00A923C4">
        <w:t>).</w:t>
      </w:r>
      <w:r w:rsidR="00BE3EC4">
        <w:t xml:space="preserve"> </w:t>
      </w:r>
      <w:r w:rsidR="0000232C">
        <w:t>However, pathogen</w:t>
      </w:r>
      <w:r w:rsidR="002B1A10">
        <w:t>s</w:t>
      </w:r>
      <w:r w:rsidR="00D31660">
        <w:t xml:space="preserve"> </w:t>
      </w:r>
      <w:r w:rsidR="00083182">
        <w:t xml:space="preserve">that </w:t>
      </w:r>
      <w:r w:rsidR="00B25AF3">
        <w:t xml:space="preserve">have significant </w:t>
      </w:r>
      <w:r w:rsidR="0000232C">
        <w:t xml:space="preserve">wildlife </w:t>
      </w:r>
      <w:r w:rsidR="00835351">
        <w:t xml:space="preserve">reservoir </w:t>
      </w:r>
      <w:r w:rsidR="0000232C">
        <w:t>host</w:t>
      </w:r>
      <w:r w:rsidR="002B1A10">
        <w:t>s may prove problematic for an eradication strategy</w:t>
      </w:r>
      <w:r w:rsidR="000147BA">
        <w:t xml:space="preserve"> in domestic hosts</w:t>
      </w:r>
      <w:r w:rsidR="00F746D5">
        <w:t>, especially where the wildlife host is abundant</w:t>
      </w:r>
      <w:r w:rsidR="005F480D">
        <w:t>,</w:t>
      </w:r>
      <w:r w:rsidR="00F746D5">
        <w:t xml:space="preserve"> widespread</w:t>
      </w:r>
      <w:r w:rsidR="00066BF6">
        <w:t xml:space="preserve"> </w:t>
      </w:r>
      <w:r w:rsidR="005F480D">
        <w:t xml:space="preserve">and hard to control </w:t>
      </w:r>
      <w:r w:rsidR="00C73272">
        <w:t xml:space="preserve">(e.g. </w:t>
      </w:r>
      <w:r w:rsidR="009722B1">
        <w:t>B</w:t>
      </w:r>
      <w:r w:rsidR="00C73272">
        <w:t>ovine Tuberculosis</w:t>
      </w:r>
      <w:r w:rsidR="005F480D">
        <w:t xml:space="preserve"> in wild deer).</w:t>
      </w:r>
      <w:r w:rsidR="00BE3EC4">
        <w:t xml:space="preserve"> </w:t>
      </w:r>
      <w:r w:rsidR="009722B1">
        <w:t>Consequently</w:t>
      </w:r>
      <w:r w:rsidR="00DC30D1">
        <w:t xml:space="preserve">, wildlife disease management </w:t>
      </w:r>
      <w:r w:rsidR="007E2E4D">
        <w:t xml:space="preserve">may </w:t>
      </w:r>
      <w:r w:rsidR="008E1D06">
        <w:t xml:space="preserve">necessarily </w:t>
      </w:r>
      <w:r w:rsidR="00A431A9">
        <w:t xml:space="preserve">need to </w:t>
      </w:r>
      <w:r w:rsidR="007A0F13">
        <w:t>meet revised</w:t>
      </w:r>
      <w:r w:rsidR="007E2E4D">
        <w:t xml:space="preserve"> objectives to limit disease impacts. </w:t>
      </w:r>
      <w:r w:rsidR="00C07A73">
        <w:t>In general</w:t>
      </w:r>
      <w:r w:rsidR="006A4743">
        <w:t>,</w:t>
      </w:r>
      <w:r w:rsidR="00C07A73">
        <w:t xml:space="preserve"> four broad </w:t>
      </w:r>
      <w:r w:rsidR="00EF2579">
        <w:t>o</w:t>
      </w:r>
      <w:r w:rsidR="00C84690">
        <w:t>utcomes</w:t>
      </w:r>
      <w:r w:rsidR="00C07A73">
        <w:t xml:space="preserve"> can be identified </w:t>
      </w:r>
      <w:r w:rsidR="001B73B7">
        <w:t>that are relevant to the aims of wildlife disease management</w:t>
      </w:r>
      <w:r w:rsidR="006A4743">
        <w:t>.</w:t>
      </w:r>
      <w:r w:rsidR="00BE3EC4">
        <w:t xml:space="preserve"> </w:t>
      </w:r>
      <w:r w:rsidR="006A4743">
        <w:t>These include</w:t>
      </w:r>
      <w:r w:rsidR="00375346">
        <w:t>:</w:t>
      </w:r>
    </w:p>
    <w:p w14:paraId="7044AE48" w14:textId="4405D6B3" w:rsidR="00B737A8" w:rsidRDefault="009722B1" w:rsidP="00DA5824">
      <w:pPr>
        <w:pStyle w:val="dotpointindented"/>
        <w:numPr>
          <w:ilvl w:val="0"/>
          <w:numId w:val="40"/>
        </w:numPr>
      </w:pPr>
      <w:r>
        <w:t>c</w:t>
      </w:r>
      <w:r w:rsidR="00B255A6">
        <w:t>onservation of a disease host</w:t>
      </w:r>
    </w:p>
    <w:p w14:paraId="677A94B9" w14:textId="2F0A5A9C" w:rsidR="00B255A6" w:rsidRDefault="009722B1" w:rsidP="00DA5824">
      <w:pPr>
        <w:pStyle w:val="dotpointindented"/>
        <w:numPr>
          <w:ilvl w:val="0"/>
          <w:numId w:val="40"/>
        </w:numPr>
      </w:pPr>
      <w:r>
        <w:t>p</w:t>
      </w:r>
      <w:r w:rsidR="00C707D6">
        <w:t xml:space="preserve">revention of disease transmission to </w:t>
      </w:r>
      <w:r w:rsidR="009A78A9">
        <w:t>domestic animals</w:t>
      </w:r>
    </w:p>
    <w:p w14:paraId="4588F478" w14:textId="3B42D462" w:rsidR="009A78A9" w:rsidRDefault="009722B1" w:rsidP="00DA5824">
      <w:pPr>
        <w:pStyle w:val="dotpointindented"/>
        <w:numPr>
          <w:ilvl w:val="0"/>
          <w:numId w:val="40"/>
        </w:numPr>
      </w:pPr>
      <w:r>
        <w:t>p</w:t>
      </w:r>
      <w:r w:rsidR="00C707D6">
        <w:t>reven</w:t>
      </w:r>
      <w:r w:rsidR="009A78A9">
        <w:t>tion of disease transmission to humans</w:t>
      </w:r>
    </w:p>
    <w:p w14:paraId="65A5D8AC" w14:textId="1628C5F0" w:rsidR="00894550" w:rsidRDefault="009722B1" w:rsidP="00DA5824">
      <w:pPr>
        <w:pStyle w:val="dotpointindented"/>
        <w:numPr>
          <w:ilvl w:val="0"/>
          <w:numId w:val="40"/>
        </w:numPr>
      </w:pPr>
      <w:r>
        <w:t>p</w:t>
      </w:r>
      <w:r w:rsidR="00813BF8">
        <w:t xml:space="preserve">revention of adverse animal welfare </w:t>
      </w:r>
      <w:r w:rsidR="00894550">
        <w:t>outcomes</w:t>
      </w:r>
      <w:r>
        <w:t>.</w:t>
      </w:r>
    </w:p>
    <w:p w14:paraId="41B07E8C" w14:textId="270ECD13" w:rsidR="00711125" w:rsidRDefault="00C84690" w:rsidP="00DA5824">
      <w:r>
        <w:t>To achieve these outcomes</w:t>
      </w:r>
      <w:r w:rsidR="009722B1">
        <w:t>,</w:t>
      </w:r>
      <w:r>
        <w:t xml:space="preserve"> wildlife disease management </w:t>
      </w:r>
      <w:r w:rsidR="00A954C6">
        <w:t xml:space="preserve">will generally </w:t>
      </w:r>
      <w:r w:rsidR="00D770A4">
        <w:t xml:space="preserve">involve one or more of the </w:t>
      </w:r>
      <w:r w:rsidR="00A954C6">
        <w:t>following object</w:t>
      </w:r>
      <w:r w:rsidR="00711125">
        <w:t>ives:</w:t>
      </w:r>
    </w:p>
    <w:p w14:paraId="07BC3397" w14:textId="0011FA2C" w:rsidR="00711125" w:rsidRPr="00A73AFC" w:rsidRDefault="00711125" w:rsidP="00A73AFC">
      <w:pPr>
        <w:pStyle w:val="dotpointindented"/>
      </w:pPr>
      <w:r w:rsidRPr="00A73AFC">
        <w:t>Eradication of the disease (stamping out)</w:t>
      </w:r>
      <w:r w:rsidR="009722B1">
        <w:t>.</w:t>
      </w:r>
    </w:p>
    <w:p w14:paraId="78D82A1D" w14:textId="4A01C5E9" w:rsidR="00C54560" w:rsidRDefault="00A51DF0" w:rsidP="00A73AFC">
      <w:pPr>
        <w:pStyle w:val="dotpointindented"/>
      </w:pPr>
      <w:r w:rsidRPr="00A73AFC">
        <w:t>Suppression of</w:t>
      </w:r>
      <w:r w:rsidR="00C54560" w:rsidRPr="00A73AFC">
        <w:t xml:space="preserve"> </w:t>
      </w:r>
      <w:r w:rsidR="00E77C71">
        <w:t xml:space="preserve">pathogen </w:t>
      </w:r>
      <w:r w:rsidR="00C54560" w:rsidRPr="00A73AFC">
        <w:t>transmission</w:t>
      </w:r>
      <w:r w:rsidR="00DB116C">
        <w:t xml:space="preserve"> or prevalence</w:t>
      </w:r>
      <w:r w:rsidR="009722B1">
        <w:t>.</w:t>
      </w:r>
      <w:r w:rsidR="00803EC1">
        <w:t xml:space="preserve"> </w:t>
      </w:r>
    </w:p>
    <w:p w14:paraId="2E040306" w14:textId="2FE27660" w:rsidR="00803EC1" w:rsidRPr="00A73AFC" w:rsidRDefault="00803EC1" w:rsidP="00A73AFC">
      <w:pPr>
        <w:pStyle w:val="dotpointindented"/>
      </w:pPr>
      <w:r>
        <w:t xml:space="preserve">Suppression of disease </w:t>
      </w:r>
      <w:r w:rsidR="00DB116C">
        <w:t>impacts</w:t>
      </w:r>
      <w:r w:rsidR="001B3B6F">
        <w:t xml:space="preserve"> (clinical treatment)</w:t>
      </w:r>
      <w:r w:rsidR="009722B1">
        <w:t>.</w:t>
      </w:r>
    </w:p>
    <w:p w14:paraId="2056A860" w14:textId="353E50DE" w:rsidR="00C84690" w:rsidRPr="00A73AFC" w:rsidRDefault="00C54560" w:rsidP="00A73AFC">
      <w:pPr>
        <w:pStyle w:val="dotpointindented"/>
      </w:pPr>
      <w:r w:rsidRPr="00A73AFC">
        <w:t>Limiting disease spread (containment)</w:t>
      </w:r>
      <w:r w:rsidR="009722B1">
        <w:t>.</w:t>
      </w:r>
    </w:p>
    <w:p w14:paraId="2E663D30" w14:textId="49EBC105" w:rsidR="00871193" w:rsidRDefault="00117072" w:rsidP="00C11185">
      <w:r>
        <w:t>Epidemiological m</w:t>
      </w:r>
      <w:r w:rsidR="00A04BD4">
        <w:t xml:space="preserve">odelling </w:t>
      </w:r>
      <w:r>
        <w:t>can be a valuable tool in wildlife disease management</w:t>
      </w:r>
      <w:r w:rsidR="002E51F4">
        <w:t xml:space="preserve">, especially for assessing the </w:t>
      </w:r>
      <w:r w:rsidR="000522A3">
        <w:t xml:space="preserve">efficacy of competing </w:t>
      </w:r>
      <w:r w:rsidR="00992DE0">
        <w:t>management actions</w:t>
      </w:r>
      <w:r w:rsidR="000C64CC">
        <w:t>.</w:t>
      </w:r>
      <w:r w:rsidR="00AC35A6">
        <w:t xml:space="preserve"> This, in turn, can provide </w:t>
      </w:r>
      <w:r w:rsidR="00A7614E">
        <w:t xml:space="preserve">valuable </w:t>
      </w:r>
      <w:r w:rsidR="00AC35A6">
        <w:t xml:space="preserve">insight into which </w:t>
      </w:r>
      <w:r w:rsidR="004E5F28">
        <w:t xml:space="preserve">of the management objectives listed above </w:t>
      </w:r>
      <w:r w:rsidR="00A7614E">
        <w:t>are</w:t>
      </w:r>
      <w:r w:rsidR="004E5F28">
        <w:t xml:space="preserve"> feasible. </w:t>
      </w:r>
      <w:r w:rsidR="008C58D3">
        <w:t xml:space="preserve">The epidemiology of many wildlife diseases usually </w:t>
      </w:r>
      <w:r w:rsidR="009D6563">
        <w:t>involves</w:t>
      </w:r>
      <w:r w:rsidR="008C58D3">
        <w:t xml:space="preserve"> </w:t>
      </w:r>
      <w:r w:rsidR="00BB53C1">
        <w:t>an understanding of complex non-linear dynamics and their associated impacts</w:t>
      </w:r>
      <w:r w:rsidR="004D363C">
        <w:t>.</w:t>
      </w:r>
      <w:r w:rsidR="00BE3EC4">
        <w:t xml:space="preserve"> </w:t>
      </w:r>
      <w:r w:rsidR="00E9293E">
        <w:t xml:space="preserve">Well parameterised models can provide </w:t>
      </w:r>
      <w:r w:rsidR="003D6259">
        <w:t xml:space="preserve">increased understanding </w:t>
      </w:r>
      <w:r w:rsidR="00031569">
        <w:t>of</w:t>
      </w:r>
      <w:r w:rsidR="00E9293E">
        <w:t xml:space="preserve"> disease dynamics </w:t>
      </w:r>
      <w:r w:rsidR="00AC66AD">
        <w:t>and impacts</w:t>
      </w:r>
      <w:r w:rsidR="0043331E">
        <w:t>,</w:t>
      </w:r>
      <w:r w:rsidR="00AC66AD">
        <w:t xml:space="preserve"> </w:t>
      </w:r>
      <w:r w:rsidR="00E9293E">
        <w:t xml:space="preserve">and the efficacy of </w:t>
      </w:r>
      <w:r w:rsidR="00AC66AD">
        <w:t>proposed management interventions.</w:t>
      </w:r>
      <w:r w:rsidR="00BE3EC4">
        <w:t xml:space="preserve"> </w:t>
      </w:r>
      <w:r w:rsidR="00313562">
        <w:t xml:space="preserve">Closer integration between modellers and </w:t>
      </w:r>
      <w:r w:rsidR="0067366C">
        <w:t xml:space="preserve">on-ground </w:t>
      </w:r>
      <w:r w:rsidR="00313562">
        <w:t>managers</w:t>
      </w:r>
      <w:r w:rsidR="0067366C">
        <w:t xml:space="preserve"> has been proposed </w:t>
      </w:r>
      <w:r w:rsidR="00864CBD">
        <w:t>as two compl</w:t>
      </w:r>
      <w:r w:rsidR="00DA469A">
        <w:t>e</w:t>
      </w:r>
      <w:r w:rsidR="00864CBD">
        <w:t>mentar</w:t>
      </w:r>
      <w:r w:rsidR="00DA469A">
        <w:t>y</w:t>
      </w:r>
      <w:r w:rsidR="0067366C">
        <w:t xml:space="preserve"> </w:t>
      </w:r>
      <w:r w:rsidR="006E5A51">
        <w:t xml:space="preserve">and essential </w:t>
      </w:r>
      <w:r w:rsidR="00DA469A">
        <w:t xml:space="preserve">phases </w:t>
      </w:r>
      <w:r w:rsidR="006E5A51">
        <w:t xml:space="preserve">for progressing the science of </w:t>
      </w:r>
      <w:r w:rsidR="00DA469A">
        <w:t>wildlife disease</w:t>
      </w:r>
      <w:r w:rsidR="006E5A51">
        <w:t xml:space="preserve"> management </w:t>
      </w:r>
      <w:r w:rsidR="006E5A51">
        <w:fldChar w:fldCharType="begin"/>
      </w:r>
      <w:r w:rsidR="009F541F">
        <w:instrText xml:space="preserve"> ADDIN ZOTERO_ITEM CSL_CITATION {"citationID":"ncESd3Yk","properties":{"formattedCitation":"(Carver {\\i{}et al.} 2022)","plainCitation":"(Carver et al. 2022)","noteIndex":0},"citationItems":[{"id":9521,"uris":["http://zotero.org/users/634364/items/UNF663XK"],"itemData":{"id":9521,"type":"article-journal","abstract":"Abstract\n            \n              \n                \n                  There are multiple demands for the development of effective and sustainable disease management practices in wildlife, but solutions are widely lacking. In this perspective, we focus on the need to structure research to support advancement toward enhanced wildlife disease control solutions. We concentrate on the need for improved integration between wildlife disease management undertaken in situ with modelling to guide and assess disease management actions.\n                \n                \n                  We recognise that many disease management attempts in wildlife are made in isolation, are not supported by modelling and are not used as a stepping stone to advancement. However, we emphasise that the development of disease control practices in wildlife is greater than any one management attempt, and should be seen and undertaken as a set of systematic steps towards well</w:instrText>
      </w:r>
      <w:r w:rsidR="009F541F">
        <w:rPr>
          <w:rFonts w:ascii="Cambria Math" w:hAnsi="Cambria Math" w:cs="Cambria Math"/>
        </w:rPr>
        <w:instrText>‐</w:instrText>
      </w:r>
      <w:r w:rsidR="009F541F">
        <w:instrText>articulated management goals.\n                \n                \n                  We describe modelling of disease management and in situ disease management as two complementary phases of investigation, viewed as a feedback loop to support advancements, and highlight established and less established pathways in this loop. We describe how stakeholders engaged in practical management actions can better engage with modellers, and also the need for more fit</w:instrText>
      </w:r>
      <w:r w:rsidR="009F541F">
        <w:rPr>
          <w:rFonts w:ascii="Cambria Math" w:hAnsi="Cambria Math" w:cs="Cambria Math"/>
        </w:rPr>
        <w:instrText>‐</w:instrText>
      </w:r>
      <w:r w:rsidR="009F541F">
        <w:instrText>for</w:instrText>
      </w:r>
      <w:r w:rsidR="009F541F">
        <w:rPr>
          <w:rFonts w:ascii="Cambria Math" w:hAnsi="Cambria Math" w:cs="Cambria Math"/>
        </w:rPr>
        <w:instrText>‐</w:instrText>
      </w:r>
      <w:r w:rsidR="009F541F">
        <w:instrText>purpose modelling that captures the on</w:instrText>
      </w:r>
      <w:r w:rsidR="009F541F">
        <w:rPr>
          <w:rFonts w:ascii="Cambria Math" w:hAnsi="Cambria Math" w:cs="Cambria Math"/>
        </w:rPr>
        <w:instrText>‐</w:instrText>
      </w:r>
      <w:r w:rsidR="009F541F">
        <w:instrText>ground realities of in situ practice to support advancements.\n                \n                \n                  \n                    The concepts and approaches described in this perspective are captured within a Model Integrated Disease Management for wildlife framework. We illustrate the framework, concepts and challenges proposed in this perspective using a case study for which we have experience: sarcoptic mange (etiologic agent\n                    Sarcoptes scabiei\n                    ) in bare</w:instrText>
      </w:r>
      <w:r w:rsidR="009F541F">
        <w:rPr>
          <w:rFonts w:ascii="Cambria Math" w:hAnsi="Cambria Math" w:cs="Cambria Math"/>
        </w:rPr>
        <w:instrText>‐</w:instrText>
      </w:r>
      <w:r w:rsidR="009F541F">
        <w:instrText>nosed wombats (\n                    Vombatus ursinus\n                    ).\n                  \n                \n                \n                  \n                    Synthesis and applications\n                    : Effective and sustainable solutions to critical wildlife diseases are needed. Progress can be improved when disease management is guided through iterative and fit</w:instrText>
      </w:r>
      <w:r w:rsidR="009F541F">
        <w:rPr>
          <w:rFonts w:ascii="Cambria Math" w:hAnsi="Cambria Math" w:cs="Cambria Math"/>
        </w:rPr>
        <w:instrText>‐</w:instrText>
      </w:r>
      <w:r w:rsidR="009F541F">
        <w:instrText>for</w:instrText>
      </w:r>
      <w:r w:rsidR="009F541F">
        <w:rPr>
          <w:rFonts w:ascii="Cambria Math" w:hAnsi="Cambria Math" w:cs="Cambria Math"/>
        </w:rPr>
        <w:instrText>‐</w:instrText>
      </w:r>
      <w:r w:rsidR="009F541F">
        <w:instrText xml:space="preserve">purpose integration between modelling and in situ practice. We describe and illustrate a Model Integrated Disease Management for wildlife framework. Moving beyond isolated disease management attempts into a structured process of advancement can help overcome barriers to tackling pathogens threatening wildlife.","container-title":"Journal of Applied Ecology","DOI":"10.1111/1365-2664.14298","ISSN":"0021-8901, 1365-2664","issue":"12","journalAbbreviation":"Journal of Applied Ecology","language":"en","page":"2902-2910","source":"DOI.org (Crossref)","title":"Model Integrated Disease Management to facilitate effective translatable solutions for wildlife disease issues","volume":"59","author":[{"family":"Carver","given":"Scott"},{"family":"Peters","given":"Andrew"},{"family":"Richards","given":"Shane A."}],"issued":{"date-parts":[["2022",12]]}}}],"schema":"https://github.com/citation-style-language/schema/raw/master/csl-citation.json"} </w:instrText>
      </w:r>
      <w:r w:rsidR="006E5A51">
        <w:fldChar w:fldCharType="separate"/>
      </w:r>
      <w:r w:rsidR="009F541F" w:rsidRPr="009F541F">
        <w:t xml:space="preserve">(Carver </w:t>
      </w:r>
      <w:r w:rsidR="009F541F" w:rsidRPr="00DA5824">
        <w:t>et al.</w:t>
      </w:r>
      <w:r w:rsidR="009F541F" w:rsidRPr="0043331E">
        <w:t xml:space="preserve"> </w:t>
      </w:r>
      <w:r w:rsidR="009F541F" w:rsidRPr="009F541F">
        <w:t>2022)</w:t>
      </w:r>
      <w:r w:rsidR="006E5A51">
        <w:fldChar w:fldCharType="end"/>
      </w:r>
      <w:r w:rsidR="000D6579">
        <w:t>.</w:t>
      </w:r>
      <w:r w:rsidR="00BE3EC4">
        <w:t xml:space="preserve"> </w:t>
      </w:r>
    </w:p>
    <w:p w14:paraId="0D1BBD69" w14:textId="77777777" w:rsidR="00C11185" w:rsidRDefault="00C11185" w:rsidP="00C11185">
      <w:pPr>
        <w:rPr>
          <w:b/>
          <w:sz w:val="22"/>
        </w:rPr>
      </w:pPr>
    </w:p>
    <w:p w14:paraId="78EBA956" w14:textId="5D29F9EF" w:rsidR="00024E4E" w:rsidRDefault="008A4693" w:rsidP="00A868DC">
      <w:pPr>
        <w:pStyle w:val="Heading3-Numbered"/>
      </w:pPr>
      <w:bookmarkStart w:id="135" w:name="_Toc198634126"/>
      <w:r>
        <w:t xml:space="preserve">Recommendations </w:t>
      </w:r>
      <w:r w:rsidR="00416C68">
        <w:t xml:space="preserve">for managing current </w:t>
      </w:r>
      <w:r w:rsidR="00AD5CDB">
        <w:t>and future disease risks</w:t>
      </w:r>
      <w:bookmarkEnd w:id="135"/>
    </w:p>
    <w:p w14:paraId="7809F921" w14:textId="14F71382" w:rsidR="00FA30A9" w:rsidRDefault="00A5391E" w:rsidP="00DA5824">
      <w:r>
        <w:t>Based on the results from the WDRA</w:t>
      </w:r>
      <w:r w:rsidR="004E21A9">
        <w:t>,</w:t>
      </w:r>
      <w:r w:rsidR="00E93082">
        <w:t xml:space="preserve"> we make the following recommendations</w:t>
      </w:r>
      <w:r w:rsidR="003A698D">
        <w:t xml:space="preserve"> for managing current and future disease risks </w:t>
      </w:r>
      <w:r w:rsidR="0086182C">
        <w:t>to Victorian wildlife</w:t>
      </w:r>
      <w:r w:rsidR="00932CD5">
        <w:t>:</w:t>
      </w:r>
    </w:p>
    <w:p w14:paraId="67C1600C" w14:textId="77777777" w:rsidR="00534095" w:rsidRDefault="00534095" w:rsidP="00534095">
      <w:pPr>
        <w:pStyle w:val="dotpointindented"/>
      </w:pPr>
      <w:r>
        <w:t xml:space="preserve">To enable detection of outbreaks of known and novel diseases, a passive surveillance system could be developed. Pathology of unusual and/or large mortality events is the most efficient way to detect emerging disease, including novel pathogens. In addition, providing training to members of the public that regularly interact with wildlife, such as hunters, to recognise signs of disease may provide useful passive surveillance for diseases such as FMD in feral pigs and deer. </w:t>
      </w:r>
    </w:p>
    <w:p w14:paraId="008E8DB2" w14:textId="77777777" w:rsidR="00534095" w:rsidRDefault="00534095" w:rsidP="00534095">
      <w:pPr>
        <w:pStyle w:val="dotpointindented"/>
      </w:pPr>
      <w:r>
        <w:t xml:space="preserve">Reserve capacity for field outbreak investigations is essential for responding to wildlife emergencies. To enable this capacity, Victoria should consider supporting a state wildlife epidemiologist and/or wildlife pathologist. To facilitate this, consideration could be given to establishing more formal links with the Wildlife Health Surveillance Unit at the University of Melbourne. </w:t>
      </w:r>
    </w:p>
    <w:p w14:paraId="77DE9743" w14:textId="77777777" w:rsidR="00534095" w:rsidRDefault="00534095" w:rsidP="00534095">
      <w:pPr>
        <w:pStyle w:val="dotpointindented"/>
      </w:pPr>
      <w:r>
        <w:t>In the event of an FMD outbreak in domestic livestock, consideration should be given to proactively culling high risk Feral Pig populations in the vicinity of livestock farms to prevent potential spillover and spillback of disease to domestic livestock. Culling should aim to achieve a 60 – 80% reduction of pig abundance to have a high probability of eradicating FMD. Research should be undertaken to determine the most cost-effective method for achieving this level of reduction.</w:t>
      </w:r>
    </w:p>
    <w:p w14:paraId="315DEEFC" w14:textId="77777777" w:rsidR="00534095" w:rsidRDefault="00534095" w:rsidP="00534095">
      <w:pPr>
        <w:pStyle w:val="dotpointindented"/>
      </w:pPr>
      <w:r>
        <w:t xml:space="preserve">Due to the high risk of incursion of avian influenza (H5N1), structured surveillance of wild birds (e.g. gulls, terns, ducks, geese, swans) is recommended to be undertaken in spring each year for the foreseeable future to provide management agencies with early warning of the likelihood of an HPAI epidemic. </w:t>
      </w:r>
    </w:p>
    <w:p w14:paraId="7BA6127C" w14:textId="77777777" w:rsidR="00534095" w:rsidRDefault="00534095" w:rsidP="00534095">
      <w:pPr>
        <w:pStyle w:val="dotpointindented"/>
      </w:pPr>
      <w:r>
        <w:t>Vaccination of high value captive populations (i.e. threatened species), should be considered to protect these populations from an incursion of H5N1.  If vaccination is not possible then priority should be given to boosting biosecurity measures to limit transmission from infected wild birds.</w:t>
      </w:r>
    </w:p>
    <w:p w14:paraId="2D201031" w14:textId="77777777" w:rsidR="00534095" w:rsidRDefault="00534095" w:rsidP="00534095">
      <w:pPr>
        <w:pStyle w:val="dotpointindented"/>
      </w:pPr>
      <w:r>
        <w:t xml:space="preserve">Vaccination of high value wild populations (e.g. the Little Penguin Parade) could provide protection against an H5N1 </w:t>
      </w:r>
      <w:proofErr w:type="gramStart"/>
      <w:r>
        <w:t>outbreak, but</w:t>
      </w:r>
      <w:proofErr w:type="gramEnd"/>
      <w:r>
        <w:t xml:space="preserve"> would need to be undertaken prior to disease arrival. Vaccination would need to achieve at least 70–80% coverage to provide adequate protection.</w:t>
      </w:r>
    </w:p>
    <w:p w14:paraId="4219E611" w14:textId="77777777" w:rsidR="00534095" w:rsidRDefault="00534095" w:rsidP="00534095">
      <w:pPr>
        <w:pStyle w:val="dotpointindented"/>
      </w:pPr>
      <w:r>
        <w:t xml:space="preserve">For other wildlife populations, there are limited options available to mitigate the impacts of an outbreak of H5N1 and therefore, priority should be given to boosting biosecurity and containment measures to limit spillover of infection to humans and domestic animals. </w:t>
      </w:r>
    </w:p>
    <w:p w14:paraId="769BF1D7" w14:textId="77777777" w:rsidR="00534095" w:rsidRDefault="00534095" w:rsidP="00534095">
      <w:pPr>
        <w:pStyle w:val="dotpointindented"/>
      </w:pPr>
      <w:r>
        <w:t>Due to the high risk of incursion of WNS into Australia, surveillance for the disease is recommended for the Victorian maternity caves of the SBWB. Due to the high uncertainty around the potential impacts of WNS on the SBWB, research is needed to provide greater understanding of the</w:t>
      </w:r>
      <w:r w:rsidRPr="00193382">
        <w:t xml:space="preserve"> </w:t>
      </w:r>
      <w:r>
        <w:t>frequency and duration of winter torpor in this species.</w:t>
      </w:r>
    </w:p>
    <w:p w14:paraId="5799B2E0" w14:textId="77777777" w:rsidR="00534095" w:rsidRDefault="00534095" w:rsidP="00534095">
      <w:pPr>
        <w:pStyle w:val="dotpointindented"/>
      </w:pPr>
      <w:r>
        <w:t>In the event of an incursion of WNS into a cave inhabited by SBWBs, options for mitigating disease impacts appear to be limited. However, consideration could be given to use of biocides for treating the sediments of infected caves, because recent evidence suggests this reduces fungal loads in some bat species.</w:t>
      </w:r>
    </w:p>
    <w:p w14:paraId="3E701943" w14:textId="77777777" w:rsidR="00534095" w:rsidRDefault="00534095" w:rsidP="00534095">
      <w:pPr>
        <w:pStyle w:val="dotpointindented"/>
      </w:pPr>
      <w:r>
        <w:t xml:space="preserve">Due to the ongoing impacts of the amphibian chytrid fungus in Bell Frogs, consideration should be given to deploying artificial thermal shelters for mitigation in locations at risk of high chytrid impacts. For other cold-adapted frog species at Extreme risk of impacts from Chytridiomycosis, research is urgently needed on developing novel strategies for mitigating the impacts of this disease. </w:t>
      </w:r>
    </w:p>
    <w:p w14:paraId="6D85E9AB" w14:textId="77777777" w:rsidR="00534095" w:rsidRDefault="00534095" w:rsidP="00534095">
      <w:pPr>
        <w:pStyle w:val="dotpointindented"/>
      </w:pPr>
      <w:r>
        <w:t xml:space="preserve">Managers should consider where surveillance may already be providing information on high-priority pathogens (ranked as ‘Extreme’ or ‘High’), and if this is not in place, consider where and how surveillance systems should be implemented for these high-risk diseases. </w:t>
      </w:r>
    </w:p>
    <w:p w14:paraId="215A1302" w14:textId="2B0D5FA7" w:rsidR="486A8BDC" w:rsidRDefault="00534095" w:rsidP="00534095">
      <w:pPr>
        <w:pStyle w:val="dotpointindented"/>
      </w:pPr>
      <w:r>
        <w:t>Finally, the increasing threats to wildlife caused by anthropogenic environmental changes are likely to result in more frequent wildlife disease emergencies. Hence, an increased focus on assessing and managing wildlife health is likely to be required to mitigate the worst impacts of disease emergence</w:t>
      </w:r>
      <w:r w:rsidR="000E0BE1">
        <w:t xml:space="preserve">. </w:t>
      </w:r>
      <w:r w:rsidR="0AED9214">
        <w:t xml:space="preserve"> </w:t>
      </w:r>
    </w:p>
    <w:p w14:paraId="05F34EBC" w14:textId="75B22D62" w:rsidR="00A12BD2" w:rsidRDefault="007F5B17" w:rsidP="0073394E">
      <w:pPr>
        <w:rPr>
          <w:szCs w:val="22"/>
        </w:rPr>
      </w:pPr>
      <w:r>
        <w:t xml:space="preserve"> </w:t>
      </w:r>
      <w:bookmarkStart w:id="136" w:name="_Toc409798452"/>
      <w:bookmarkStart w:id="137" w:name="_Toc286018780"/>
      <w:r w:rsidR="00A12BD2">
        <w:br w:type="page"/>
      </w:r>
    </w:p>
    <w:p w14:paraId="2A89379C" w14:textId="70211657" w:rsidR="00980E26" w:rsidRDefault="00980E26" w:rsidP="00322D91">
      <w:pPr>
        <w:pStyle w:val="Heading1-Numbered"/>
      </w:pPr>
      <w:bookmarkStart w:id="138" w:name="_Toc198634127"/>
      <w:r w:rsidRPr="00DC3852">
        <w:t>References</w:t>
      </w:r>
      <w:bookmarkEnd w:id="136"/>
      <w:bookmarkEnd w:id="137"/>
      <w:bookmarkEnd w:id="138"/>
    </w:p>
    <w:bookmarkStart w:id="139" w:name="_Hlk195513768"/>
    <w:p w14:paraId="61B29697" w14:textId="457C49A2" w:rsidR="006C28A0" w:rsidRDefault="00016932" w:rsidP="006C28A0">
      <w:pPr>
        <w:pStyle w:val="Bibliography"/>
      </w:pPr>
      <w:r>
        <w:rPr>
          <w:lang w:val="en-US"/>
        </w:rPr>
        <w:fldChar w:fldCharType="begin"/>
      </w:r>
      <w:r w:rsidR="006C28A0">
        <w:rPr>
          <w:lang w:val="en-US"/>
        </w:rPr>
        <w:instrText xml:space="preserve"> ADDIN ZOTERO_BIBL {"uncited":[],"omitted":[],"custom":[]} CSL_BIBLIOGRAPHY </w:instrText>
      </w:r>
      <w:r>
        <w:rPr>
          <w:lang w:val="en-US"/>
        </w:rPr>
        <w:fldChar w:fldCharType="separate"/>
      </w:r>
      <w:r w:rsidR="006C28A0">
        <w:t xml:space="preserve">ABARES (2022). </w:t>
      </w:r>
      <w:r w:rsidR="006C28A0" w:rsidRPr="00DA5824">
        <w:rPr>
          <w:i/>
          <w:iCs/>
        </w:rPr>
        <w:t>Direct economic impacts of a foot-and-mouth (FMD) disease incursion in Australia, an update of ABARES 2013 estimate</w:t>
      </w:r>
      <w:r w:rsidR="006C28A0">
        <w:t xml:space="preserve">. Australian Bureau of Agricultural and Resource Economics and Sciences report. Available at: https://www.agriculture.gov.au/abares/research-topics/biosecurity/biosecurity-economics/fmd-update-of-2013-estimate#daff-page-main </w:t>
      </w:r>
      <w:r w:rsidR="00974AAA">
        <w:t>(</w:t>
      </w:r>
      <w:r w:rsidR="006C28A0">
        <w:t>accessed 1 October 2024</w:t>
      </w:r>
      <w:r w:rsidR="00974AAA">
        <w:t>).</w:t>
      </w:r>
    </w:p>
    <w:p w14:paraId="1B4803F0" w14:textId="3CAFF711" w:rsidR="006C28A0" w:rsidRDefault="006C28A0" w:rsidP="006C28A0">
      <w:pPr>
        <w:pStyle w:val="Bibliography"/>
      </w:pPr>
      <w:r>
        <w:t xml:space="preserve">ABARES (2021). </w:t>
      </w:r>
      <w:r w:rsidRPr="00DA5824">
        <w:rPr>
          <w:i/>
          <w:iCs/>
        </w:rPr>
        <w:t xml:space="preserve">The national priority list of exotic environmental pests, weeds and diseases: </w:t>
      </w:r>
      <w:r w:rsidR="00974AAA" w:rsidRPr="00DA5824">
        <w:rPr>
          <w:i/>
          <w:iCs/>
        </w:rPr>
        <w:t>I</w:t>
      </w:r>
      <w:r w:rsidRPr="00DA5824">
        <w:rPr>
          <w:i/>
          <w:iCs/>
        </w:rPr>
        <w:t xml:space="preserve">nformation paper (Version 2.0). </w:t>
      </w:r>
      <w:r>
        <w:t xml:space="preserve">Australian Bureau of Agricultural and Resource Economics and Sciences report to the Chief Environmental Biosecurity Officer, Department of Agriculture, Water and the Environment. Canberra, Australia. Available at: https://www.agriculture.gov.au/biosecurity-trade/policy/environmental/priority-list </w:t>
      </w:r>
      <w:r w:rsidR="00974AAA">
        <w:t>(</w:t>
      </w:r>
      <w:r>
        <w:t>accessed 1 October 2024</w:t>
      </w:r>
      <w:r w:rsidR="00974AAA">
        <w:t>).</w:t>
      </w:r>
    </w:p>
    <w:p w14:paraId="34CBC2F0" w14:textId="130AF415" w:rsidR="006C28A0" w:rsidRDefault="006C28A0" w:rsidP="006C28A0">
      <w:pPr>
        <w:pStyle w:val="Bibliography"/>
      </w:pPr>
      <w:r>
        <w:t xml:space="preserve">AHA (2023). </w:t>
      </w:r>
      <w:r w:rsidRPr="00DA5824">
        <w:rPr>
          <w:i/>
          <w:iCs/>
        </w:rPr>
        <w:t>Australian Veterinary Emergency Plan (AUSVETPLAN) publications. Animal Health Australia report</w:t>
      </w:r>
      <w:r>
        <w:t xml:space="preserve">. Available at: https://animalhealthaustralia.com.au/ausvetplan/ </w:t>
      </w:r>
      <w:r w:rsidR="00974AAA">
        <w:t>(</w:t>
      </w:r>
      <w:r>
        <w:t>accessed 1 November 2024</w:t>
      </w:r>
      <w:r w:rsidR="00974AAA">
        <w:t>).</w:t>
      </w:r>
    </w:p>
    <w:p w14:paraId="0802463C" w14:textId="0EE7FC9D" w:rsidR="006C28A0" w:rsidRDefault="006C28A0" w:rsidP="006C28A0">
      <w:pPr>
        <w:pStyle w:val="Bibliography"/>
      </w:pPr>
      <w:r>
        <w:t>Alexander</w:t>
      </w:r>
      <w:r w:rsidR="00974AAA">
        <w:t>,</w:t>
      </w:r>
      <w:r>
        <w:t xml:space="preserve"> D</w:t>
      </w:r>
      <w:r w:rsidR="00974AAA">
        <w:t>.</w:t>
      </w:r>
      <w:r>
        <w:t>J</w:t>
      </w:r>
      <w:r w:rsidR="00974AAA">
        <w:t>.</w:t>
      </w:r>
      <w:r>
        <w:t xml:space="preserve"> (2000). A review of avian infuenza in different bird species. </w:t>
      </w:r>
      <w:r>
        <w:rPr>
          <w:i/>
          <w:iCs/>
        </w:rPr>
        <w:t>Veterinary Microbiology</w:t>
      </w:r>
      <w:r>
        <w:t>.</w:t>
      </w:r>
      <w:r w:rsidR="00974AAA">
        <w:t xml:space="preserve"> </w:t>
      </w:r>
      <w:r w:rsidR="00974AAA" w:rsidRPr="00DA5824">
        <w:rPr>
          <w:b/>
          <w:bCs/>
        </w:rPr>
        <w:t>7</w:t>
      </w:r>
      <w:r w:rsidR="00974AAA" w:rsidRPr="00974AAA">
        <w:t>4</w:t>
      </w:r>
      <w:r w:rsidR="00974AAA">
        <w:t xml:space="preserve"> </w:t>
      </w:r>
      <w:r w:rsidR="00974AAA" w:rsidRPr="00974AAA">
        <w:t>(1-2), 3–13 doi:10.1016/s0378-1135(00)00160-7</w:t>
      </w:r>
    </w:p>
    <w:p w14:paraId="5A4D257E" w14:textId="26428A12" w:rsidR="006C28A0" w:rsidRDefault="006C28A0" w:rsidP="006C28A0">
      <w:pPr>
        <w:pStyle w:val="Bibliography"/>
      </w:pPr>
      <w:r>
        <w:t>Barlow</w:t>
      </w:r>
      <w:r w:rsidR="00974AAA">
        <w:t>,</w:t>
      </w:r>
      <w:r>
        <w:t xml:space="preserve"> N</w:t>
      </w:r>
      <w:r w:rsidR="00974AAA">
        <w:t>.</w:t>
      </w:r>
      <w:r>
        <w:t>D</w:t>
      </w:r>
      <w:r w:rsidR="00974AAA">
        <w:t>.</w:t>
      </w:r>
      <w:r>
        <w:t xml:space="preserve"> (2000). Non-linear transmission and simple models for bovine tuberculosis. </w:t>
      </w:r>
      <w:r>
        <w:rPr>
          <w:i/>
          <w:iCs/>
        </w:rPr>
        <w:t>Journal of Animal Ecology</w:t>
      </w:r>
      <w:r>
        <w:t xml:space="preserve"> </w:t>
      </w:r>
      <w:r>
        <w:rPr>
          <w:b/>
          <w:bCs/>
        </w:rPr>
        <w:t>69</w:t>
      </w:r>
      <w:r>
        <w:t>, 703–713 doi:10.1046/j.1365-2656.2000.00428.x</w:t>
      </w:r>
    </w:p>
    <w:p w14:paraId="5CA4275E" w14:textId="5A204528" w:rsidR="006C28A0" w:rsidRDefault="006C28A0" w:rsidP="006C28A0">
      <w:pPr>
        <w:pStyle w:val="Bibliography"/>
      </w:pPr>
      <w:r>
        <w:t>Barron</w:t>
      </w:r>
      <w:r w:rsidR="00974AAA">
        <w:t>,</w:t>
      </w:r>
      <w:r>
        <w:t xml:space="preserve"> M</w:t>
      </w:r>
      <w:r w:rsidR="00974AAA">
        <w:t>.</w:t>
      </w:r>
      <w:r>
        <w:t>C</w:t>
      </w:r>
      <w:r w:rsidR="00974AAA">
        <w:t>.</w:t>
      </w:r>
      <w:r>
        <w:t>, Tompkins</w:t>
      </w:r>
      <w:r w:rsidR="00974AAA">
        <w:t>,</w:t>
      </w:r>
      <w:r>
        <w:t xml:space="preserve"> D</w:t>
      </w:r>
      <w:r w:rsidR="00974AAA">
        <w:t>.</w:t>
      </w:r>
      <w:r>
        <w:t>M</w:t>
      </w:r>
      <w:r w:rsidR="00974AAA">
        <w:t>.</w:t>
      </w:r>
      <w:r>
        <w:t>, Ramsey</w:t>
      </w:r>
      <w:r w:rsidR="00974AAA">
        <w:t>,</w:t>
      </w:r>
      <w:r>
        <w:t xml:space="preserve"> D</w:t>
      </w:r>
      <w:r w:rsidR="00974AAA">
        <w:t>.</w:t>
      </w:r>
      <w:r>
        <w:t>S</w:t>
      </w:r>
      <w:r w:rsidR="00974AAA">
        <w:t>.</w:t>
      </w:r>
      <w:r>
        <w:t>L</w:t>
      </w:r>
      <w:r w:rsidR="00974AAA">
        <w:t xml:space="preserve">. and </w:t>
      </w:r>
      <w:r>
        <w:t>Bosson</w:t>
      </w:r>
      <w:r w:rsidR="00974AAA">
        <w:t>,</w:t>
      </w:r>
      <w:r>
        <w:t xml:space="preserve"> M</w:t>
      </w:r>
      <w:r w:rsidR="00974AAA">
        <w:t>.</w:t>
      </w:r>
      <w:r>
        <w:t>A</w:t>
      </w:r>
      <w:r w:rsidR="00974AAA">
        <w:t>.</w:t>
      </w:r>
      <w:r>
        <w:t>J</w:t>
      </w:r>
      <w:r w:rsidR="00974AAA">
        <w:t>.</w:t>
      </w:r>
      <w:r>
        <w:t xml:space="preserve"> (2015). The role of multiple wildlife hosts in the persistence and spread of bovine tuberculosis in New Zealand. </w:t>
      </w:r>
      <w:r>
        <w:rPr>
          <w:i/>
          <w:iCs/>
        </w:rPr>
        <w:t>New Zealand Veterinary Journal</w:t>
      </w:r>
      <w:r>
        <w:t xml:space="preserve"> </w:t>
      </w:r>
      <w:r>
        <w:rPr>
          <w:b/>
          <w:bCs/>
        </w:rPr>
        <w:t>63</w:t>
      </w:r>
      <w:r>
        <w:t>, 68–76 doi:10.1080/00480169.2014.968229</w:t>
      </w:r>
    </w:p>
    <w:p w14:paraId="20871DC3" w14:textId="6173CA81" w:rsidR="006C28A0" w:rsidRDefault="006C28A0" w:rsidP="006C28A0">
      <w:pPr>
        <w:pStyle w:val="Bibliography"/>
      </w:pPr>
      <w:r>
        <w:t>Bellows</w:t>
      </w:r>
      <w:r w:rsidR="00974AAA">
        <w:t>,</w:t>
      </w:r>
      <w:r>
        <w:t xml:space="preserve"> T</w:t>
      </w:r>
      <w:r w:rsidR="00974AAA">
        <w:t>.</w:t>
      </w:r>
      <w:r>
        <w:t>S</w:t>
      </w:r>
      <w:r w:rsidR="00974AAA">
        <w:t>.</w:t>
      </w:r>
      <w:r>
        <w:t xml:space="preserve"> (1981). The descriptive properties of some models for density dependence. </w:t>
      </w:r>
      <w:r>
        <w:rPr>
          <w:i/>
          <w:iCs/>
        </w:rPr>
        <w:t>Journal of Animal Ecology</w:t>
      </w:r>
      <w:r>
        <w:t xml:space="preserve"> </w:t>
      </w:r>
      <w:r>
        <w:rPr>
          <w:b/>
          <w:bCs/>
        </w:rPr>
        <w:t>50</w:t>
      </w:r>
      <w:r>
        <w:t>, 139–156.</w:t>
      </w:r>
    </w:p>
    <w:p w14:paraId="7A8D88CB" w14:textId="5083D994" w:rsidR="006C28A0" w:rsidRDefault="006C28A0" w:rsidP="006C28A0">
      <w:pPr>
        <w:pStyle w:val="Bibliography"/>
      </w:pPr>
      <w:r>
        <w:t>Bennett</w:t>
      </w:r>
      <w:r w:rsidR="00974AAA">
        <w:t>,</w:t>
      </w:r>
      <w:r>
        <w:t xml:space="preserve"> A</w:t>
      </w:r>
      <w:r w:rsidR="00974AAA">
        <w:t>.</w:t>
      </w:r>
      <w:r>
        <w:t>F</w:t>
      </w:r>
      <w:r w:rsidR="00974AAA">
        <w:t>.</w:t>
      </w:r>
      <w:r>
        <w:t>, Haslem</w:t>
      </w:r>
      <w:r w:rsidR="00974AAA">
        <w:t>,</w:t>
      </w:r>
      <w:r>
        <w:t xml:space="preserve"> A</w:t>
      </w:r>
      <w:r w:rsidR="00974AAA">
        <w:t>.</w:t>
      </w:r>
      <w:r>
        <w:t>, White</w:t>
      </w:r>
      <w:r w:rsidR="00974AAA">
        <w:t>,</w:t>
      </w:r>
      <w:r>
        <w:t xml:space="preserve"> M</w:t>
      </w:r>
      <w:r w:rsidR="00974AAA">
        <w:t>.</w:t>
      </w:r>
      <w:r>
        <w:t>, Hollings</w:t>
      </w:r>
      <w:r w:rsidR="00974AAA">
        <w:t>,</w:t>
      </w:r>
      <w:r>
        <w:t xml:space="preserve"> T</w:t>
      </w:r>
      <w:r w:rsidR="00974AAA">
        <w:t>. and</w:t>
      </w:r>
      <w:r>
        <w:t xml:space="preserve"> Thomson</w:t>
      </w:r>
      <w:r w:rsidR="00974AAA">
        <w:t>,</w:t>
      </w:r>
      <w:r>
        <w:t xml:space="preserve"> J</w:t>
      </w:r>
      <w:r w:rsidR="00974AAA">
        <w:t>.</w:t>
      </w:r>
      <w:r>
        <w:t>R</w:t>
      </w:r>
      <w:r w:rsidR="00974AAA">
        <w:t>.</w:t>
      </w:r>
      <w:r>
        <w:t xml:space="preserve"> (2023). How expert are ‘experts’? Comparing expert predictions and empirical data on the use of farmland restoration sites by birds. </w:t>
      </w:r>
      <w:r>
        <w:rPr>
          <w:i/>
          <w:iCs/>
        </w:rPr>
        <w:t>Biological Conservation</w:t>
      </w:r>
      <w:r>
        <w:t xml:space="preserve"> </w:t>
      </w:r>
      <w:r>
        <w:rPr>
          <w:b/>
          <w:bCs/>
        </w:rPr>
        <w:t>282</w:t>
      </w:r>
      <w:r>
        <w:t>, 110018 doi:10.1016/j.biocon.2023.110018</w:t>
      </w:r>
    </w:p>
    <w:p w14:paraId="22C5D47A" w14:textId="6F996939" w:rsidR="006C28A0" w:rsidRDefault="006C28A0" w:rsidP="006C28A0">
      <w:pPr>
        <w:pStyle w:val="Bibliography"/>
      </w:pPr>
      <w:r>
        <w:t>Bennison</w:t>
      </w:r>
      <w:r w:rsidR="00974AAA">
        <w:t>,</w:t>
      </w:r>
      <w:r>
        <w:t xml:space="preserve"> A</w:t>
      </w:r>
      <w:r w:rsidR="00974AAA">
        <w:t>.</w:t>
      </w:r>
      <w:r>
        <w:t>, Byrne</w:t>
      </w:r>
      <w:r w:rsidR="00974AAA">
        <w:t>,</w:t>
      </w:r>
      <w:r>
        <w:t xml:space="preserve"> A</w:t>
      </w:r>
      <w:r w:rsidR="00974AAA">
        <w:t>.</w:t>
      </w:r>
      <w:r>
        <w:t>M</w:t>
      </w:r>
      <w:r w:rsidR="00974AAA">
        <w:t>.</w:t>
      </w:r>
      <w:r>
        <w:t>, Reid</w:t>
      </w:r>
      <w:r w:rsidR="00974AAA">
        <w:t>,</w:t>
      </w:r>
      <w:r>
        <w:t xml:space="preserve"> S</w:t>
      </w:r>
      <w:r w:rsidR="00974AAA">
        <w:t>.</w:t>
      </w:r>
      <w:r>
        <w:t>M</w:t>
      </w:r>
      <w:r w:rsidR="00974AAA">
        <w:t>.</w:t>
      </w:r>
      <w:r>
        <w:t>, Lynton-Jenkins</w:t>
      </w:r>
      <w:r w:rsidR="00974AAA">
        <w:t>,</w:t>
      </w:r>
      <w:r>
        <w:t xml:space="preserve"> J</w:t>
      </w:r>
      <w:r w:rsidR="00974AAA">
        <w:t>.</w:t>
      </w:r>
      <w:r>
        <w:t>G</w:t>
      </w:r>
      <w:r w:rsidR="00974AAA">
        <w:t>.</w:t>
      </w:r>
      <w:r>
        <w:t>, Mollett</w:t>
      </w:r>
      <w:r w:rsidR="00974AAA">
        <w:t>,</w:t>
      </w:r>
      <w:r>
        <w:t xml:space="preserve"> B</w:t>
      </w:r>
      <w:r w:rsidR="00974AAA">
        <w:t>.</w:t>
      </w:r>
      <w:r>
        <w:t>, Silva</w:t>
      </w:r>
      <w:r w:rsidR="00974AAA">
        <w:t>,</w:t>
      </w:r>
      <w:r>
        <w:t xml:space="preserve"> D</w:t>
      </w:r>
      <w:r w:rsidR="00974AAA">
        <w:t>.</w:t>
      </w:r>
      <w:r>
        <w:t>D</w:t>
      </w:r>
      <w:r w:rsidR="00974AAA">
        <w:t>.</w:t>
      </w:r>
      <w:r>
        <w:t>, Peers-Dent</w:t>
      </w:r>
      <w:r w:rsidR="00974AAA">
        <w:t>,</w:t>
      </w:r>
      <w:r>
        <w:t xml:space="preserve"> J</w:t>
      </w:r>
      <w:r w:rsidR="00974AAA">
        <w:t>.</w:t>
      </w:r>
      <w:r>
        <w:t>, Finlayson</w:t>
      </w:r>
      <w:r w:rsidR="00974AAA">
        <w:t>,</w:t>
      </w:r>
      <w:r>
        <w:t xml:space="preserve"> K</w:t>
      </w:r>
      <w:r w:rsidR="00974AAA">
        <w:t>.</w:t>
      </w:r>
      <w:r>
        <w:t>, Hall</w:t>
      </w:r>
      <w:r w:rsidR="00974AAA">
        <w:t>,</w:t>
      </w:r>
      <w:r>
        <w:t xml:space="preserve"> R</w:t>
      </w:r>
      <w:r w:rsidR="00974AAA">
        <w:t>.</w:t>
      </w:r>
      <w:r>
        <w:t>, Blockley</w:t>
      </w:r>
      <w:r w:rsidR="00974AAA">
        <w:t>,</w:t>
      </w:r>
      <w:r>
        <w:t xml:space="preserve"> F</w:t>
      </w:r>
      <w:r w:rsidR="00974AAA">
        <w:t>.</w:t>
      </w:r>
      <w:r>
        <w:t xml:space="preserve">, others (2023). Detection and spread of high pathogenicity avian influenza virus H5N1 in the Antarctic Region. </w:t>
      </w:r>
      <w:r>
        <w:rPr>
          <w:i/>
          <w:iCs/>
        </w:rPr>
        <w:t>bioRxiv</w:t>
      </w:r>
      <w:r>
        <w:t>, 2023–11.</w:t>
      </w:r>
    </w:p>
    <w:p w14:paraId="1A750232" w14:textId="1C17A178" w:rsidR="006C28A0" w:rsidRDefault="006C28A0" w:rsidP="006C28A0">
      <w:pPr>
        <w:pStyle w:val="Bibliography"/>
      </w:pPr>
      <w:r>
        <w:t>Berger</w:t>
      </w:r>
      <w:r w:rsidR="00974AAA">
        <w:t>,</w:t>
      </w:r>
      <w:r>
        <w:t xml:space="preserve"> L</w:t>
      </w:r>
      <w:r w:rsidR="00974AAA">
        <w:t>.</w:t>
      </w:r>
      <w:r>
        <w:t>, Roberts</w:t>
      </w:r>
      <w:r w:rsidR="00974AAA">
        <w:t>,</w:t>
      </w:r>
      <w:r>
        <w:t xml:space="preserve"> A</w:t>
      </w:r>
      <w:r w:rsidR="00974AAA">
        <w:t>.</w:t>
      </w:r>
      <w:r>
        <w:t>A</w:t>
      </w:r>
      <w:r w:rsidR="00974AAA">
        <w:t>.</w:t>
      </w:r>
      <w:r>
        <w:t>, Voyles</w:t>
      </w:r>
      <w:r w:rsidR="00974AAA">
        <w:t>,</w:t>
      </w:r>
      <w:r>
        <w:t xml:space="preserve"> J</w:t>
      </w:r>
      <w:r w:rsidR="00974AAA">
        <w:t>.</w:t>
      </w:r>
      <w:r>
        <w:t>, Longcore</w:t>
      </w:r>
      <w:r w:rsidR="00974AAA">
        <w:t>,</w:t>
      </w:r>
      <w:r>
        <w:t xml:space="preserve"> J</w:t>
      </w:r>
      <w:r w:rsidR="00974AAA">
        <w:t>.</w:t>
      </w:r>
      <w:r>
        <w:t>E</w:t>
      </w:r>
      <w:r w:rsidR="00974AAA">
        <w:t>.</w:t>
      </w:r>
      <w:r>
        <w:t>, Murray</w:t>
      </w:r>
      <w:r w:rsidR="00974AAA">
        <w:t>,</w:t>
      </w:r>
      <w:r>
        <w:t xml:space="preserve"> K</w:t>
      </w:r>
      <w:r w:rsidR="00974AAA">
        <w:t>.</w:t>
      </w:r>
      <w:r>
        <w:t>A</w:t>
      </w:r>
      <w:r w:rsidR="00974AAA">
        <w:t>. and</w:t>
      </w:r>
      <w:r>
        <w:t xml:space="preserve"> Skerratt</w:t>
      </w:r>
      <w:r w:rsidR="00974AAA">
        <w:t xml:space="preserve">, </w:t>
      </w:r>
      <w:r>
        <w:t>L</w:t>
      </w:r>
      <w:r w:rsidR="00974AAA">
        <w:t>.</w:t>
      </w:r>
      <w:r>
        <w:t>F</w:t>
      </w:r>
      <w:r w:rsidR="00974AAA">
        <w:t>.</w:t>
      </w:r>
      <w:r>
        <w:t xml:space="preserve"> (2016). History and recent progress on chytridiomycosis in amphibians. </w:t>
      </w:r>
      <w:r>
        <w:rPr>
          <w:i/>
          <w:iCs/>
        </w:rPr>
        <w:t>Fungal Ecology</w:t>
      </w:r>
      <w:r>
        <w:t xml:space="preserve"> </w:t>
      </w:r>
      <w:r>
        <w:rPr>
          <w:b/>
          <w:bCs/>
        </w:rPr>
        <w:t>19</w:t>
      </w:r>
      <w:r>
        <w:t>, 89–99 doi:10.1016/j.funeco.2015.09.007</w:t>
      </w:r>
    </w:p>
    <w:p w14:paraId="15E202A5" w14:textId="519A452B" w:rsidR="006C28A0" w:rsidRDefault="006C28A0" w:rsidP="006C28A0">
      <w:pPr>
        <w:pStyle w:val="Bibliography"/>
      </w:pPr>
      <w:r>
        <w:t>Berger</w:t>
      </w:r>
      <w:r w:rsidR="00974AAA">
        <w:t>,</w:t>
      </w:r>
      <w:r>
        <w:t xml:space="preserve"> L</w:t>
      </w:r>
      <w:r w:rsidR="00974AAA">
        <w:t>.</w:t>
      </w:r>
      <w:r>
        <w:t>, Speare</w:t>
      </w:r>
      <w:r w:rsidR="00974AAA">
        <w:t>,</w:t>
      </w:r>
      <w:r>
        <w:t xml:space="preserve"> R</w:t>
      </w:r>
      <w:r w:rsidR="00974AAA">
        <w:t>.</w:t>
      </w:r>
      <w:r>
        <w:t>, Daszak</w:t>
      </w:r>
      <w:r w:rsidR="00974AAA">
        <w:t>,</w:t>
      </w:r>
      <w:r>
        <w:t xml:space="preserve"> P</w:t>
      </w:r>
      <w:r w:rsidR="00974AAA">
        <w:t>.</w:t>
      </w:r>
      <w:r>
        <w:t>, Green</w:t>
      </w:r>
      <w:r w:rsidR="00974AAA">
        <w:t>,</w:t>
      </w:r>
      <w:r>
        <w:t xml:space="preserve"> D</w:t>
      </w:r>
      <w:r w:rsidR="00974AAA">
        <w:t>.</w:t>
      </w:r>
      <w:r>
        <w:t>E</w:t>
      </w:r>
      <w:r w:rsidR="00974AAA">
        <w:t>.</w:t>
      </w:r>
      <w:r>
        <w:t>, Cunningham</w:t>
      </w:r>
      <w:r w:rsidR="00974AAA">
        <w:t>,</w:t>
      </w:r>
      <w:r>
        <w:t xml:space="preserve"> A</w:t>
      </w:r>
      <w:r w:rsidR="00974AAA">
        <w:t>.</w:t>
      </w:r>
      <w:r>
        <w:t>A</w:t>
      </w:r>
      <w:r w:rsidR="00974AAA">
        <w:t>.</w:t>
      </w:r>
      <w:r>
        <w:t>, Goggin</w:t>
      </w:r>
      <w:r w:rsidR="00974AAA">
        <w:t>,</w:t>
      </w:r>
      <w:r>
        <w:t xml:space="preserve"> C</w:t>
      </w:r>
      <w:r w:rsidR="00974AAA">
        <w:t>.</w:t>
      </w:r>
      <w:r>
        <w:t>L</w:t>
      </w:r>
      <w:r w:rsidR="00974AAA">
        <w:t>.</w:t>
      </w:r>
      <w:r>
        <w:t>, Slocombe</w:t>
      </w:r>
      <w:r w:rsidR="00974AAA">
        <w:t>,</w:t>
      </w:r>
      <w:r>
        <w:t xml:space="preserve"> R</w:t>
      </w:r>
      <w:r w:rsidR="00974AAA">
        <w:t>.</w:t>
      </w:r>
      <w:r>
        <w:t>, Ragan</w:t>
      </w:r>
      <w:r w:rsidR="00974AAA">
        <w:t>,</w:t>
      </w:r>
      <w:r>
        <w:t xml:space="preserve"> M</w:t>
      </w:r>
      <w:r w:rsidR="00974AAA">
        <w:t>.</w:t>
      </w:r>
      <w:r>
        <w:t>A</w:t>
      </w:r>
      <w:r w:rsidR="00974AAA">
        <w:t>.</w:t>
      </w:r>
      <w:r>
        <w:t>, Hyatt</w:t>
      </w:r>
      <w:r w:rsidR="00974AAA">
        <w:t>,</w:t>
      </w:r>
      <w:r>
        <w:t xml:space="preserve"> A</w:t>
      </w:r>
      <w:r w:rsidR="00974AAA">
        <w:t>.</w:t>
      </w:r>
      <w:r>
        <w:t>D</w:t>
      </w:r>
      <w:r w:rsidR="00974AAA">
        <w:t>. and</w:t>
      </w:r>
      <w:r>
        <w:t xml:space="preserve"> McDonald</w:t>
      </w:r>
      <w:r w:rsidR="00974AAA">
        <w:t>,</w:t>
      </w:r>
      <w:r>
        <w:t xml:space="preserve"> K</w:t>
      </w:r>
      <w:r w:rsidR="00974AAA">
        <w:t>.</w:t>
      </w:r>
      <w:r>
        <w:t>R</w:t>
      </w:r>
      <w:r w:rsidR="00974AAA">
        <w:t>.</w:t>
      </w:r>
      <w:r>
        <w:t xml:space="preserve"> (1998). Chytridiomycosis causes amphibian mortality associated with population declines in the rain forests of Australia and Central America. </w:t>
      </w:r>
      <w:r>
        <w:rPr>
          <w:i/>
          <w:iCs/>
        </w:rPr>
        <w:t>Proceedings of the National Academy of Sciences of the United States of America</w:t>
      </w:r>
      <w:r>
        <w:t xml:space="preserve"> </w:t>
      </w:r>
      <w:r>
        <w:rPr>
          <w:b/>
          <w:bCs/>
        </w:rPr>
        <w:t>95</w:t>
      </w:r>
      <w:r>
        <w:t>, 9031.</w:t>
      </w:r>
    </w:p>
    <w:p w14:paraId="1A8C3C8D" w14:textId="43FD0261" w:rsidR="006C28A0" w:rsidRDefault="006C28A0" w:rsidP="006C28A0">
      <w:pPr>
        <w:pStyle w:val="Bibliography"/>
      </w:pPr>
      <w:r>
        <w:t>Berger</w:t>
      </w:r>
      <w:r w:rsidR="00974AAA">
        <w:t>,</w:t>
      </w:r>
      <w:r>
        <w:t xml:space="preserve"> L</w:t>
      </w:r>
      <w:r w:rsidR="00974AAA">
        <w:t>.</w:t>
      </w:r>
      <w:r>
        <w:t>, Speare</w:t>
      </w:r>
      <w:r w:rsidR="00974AAA">
        <w:t>,</w:t>
      </w:r>
      <w:r>
        <w:t xml:space="preserve"> R</w:t>
      </w:r>
      <w:r w:rsidR="00974AAA">
        <w:t>.</w:t>
      </w:r>
      <w:r>
        <w:t>, Hines</w:t>
      </w:r>
      <w:r w:rsidR="00974AAA">
        <w:t>,</w:t>
      </w:r>
      <w:r>
        <w:t xml:space="preserve"> H</w:t>
      </w:r>
      <w:r w:rsidR="00974AAA">
        <w:t>.</w:t>
      </w:r>
      <w:r>
        <w:t>, Marantelli</w:t>
      </w:r>
      <w:r w:rsidR="00974AAA">
        <w:t>,</w:t>
      </w:r>
      <w:r>
        <w:t xml:space="preserve"> G</w:t>
      </w:r>
      <w:r w:rsidR="00974AAA">
        <w:t>.</w:t>
      </w:r>
      <w:r>
        <w:t>, Hyatt</w:t>
      </w:r>
      <w:r w:rsidR="00974AAA">
        <w:t>,</w:t>
      </w:r>
      <w:r>
        <w:t xml:space="preserve"> A</w:t>
      </w:r>
      <w:r w:rsidR="00974AAA">
        <w:t>.</w:t>
      </w:r>
      <w:r>
        <w:t>, McDonald</w:t>
      </w:r>
      <w:r w:rsidR="00974AAA">
        <w:t>,</w:t>
      </w:r>
      <w:r>
        <w:t xml:space="preserve"> K</w:t>
      </w:r>
      <w:r w:rsidR="00974AAA">
        <w:t>.</w:t>
      </w:r>
      <w:r>
        <w:t>, Skerratt</w:t>
      </w:r>
      <w:r w:rsidR="00974AAA">
        <w:t>,</w:t>
      </w:r>
      <w:r>
        <w:t xml:space="preserve"> L</w:t>
      </w:r>
      <w:r w:rsidR="00974AAA">
        <w:t>.</w:t>
      </w:r>
      <w:r>
        <w:t>, Olsen</w:t>
      </w:r>
      <w:r w:rsidR="00974AAA">
        <w:t>,</w:t>
      </w:r>
      <w:r>
        <w:t xml:space="preserve"> V</w:t>
      </w:r>
      <w:r w:rsidR="00974AAA">
        <w:t>.</w:t>
      </w:r>
      <w:r>
        <w:t>, Clarke</w:t>
      </w:r>
      <w:r w:rsidR="00974AAA">
        <w:t>,</w:t>
      </w:r>
      <w:r>
        <w:t xml:space="preserve"> J</w:t>
      </w:r>
      <w:r w:rsidR="00974AAA">
        <w:t>.</w:t>
      </w:r>
      <w:r>
        <w:t>, Gillespie</w:t>
      </w:r>
      <w:r w:rsidR="00974AAA">
        <w:t>,</w:t>
      </w:r>
      <w:r>
        <w:t xml:space="preserve"> G</w:t>
      </w:r>
      <w:r w:rsidR="00974AAA">
        <w:t>.</w:t>
      </w:r>
      <w:r>
        <w:t>, Mahony</w:t>
      </w:r>
      <w:r w:rsidR="00974AAA">
        <w:t>,</w:t>
      </w:r>
      <w:r>
        <w:t xml:space="preserve"> M</w:t>
      </w:r>
      <w:r w:rsidR="00974AAA">
        <w:t>.</w:t>
      </w:r>
      <w:r>
        <w:t>, Sheppard</w:t>
      </w:r>
      <w:r w:rsidR="00974AAA">
        <w:t>,</w:t>
      </w:r>
      <w:r>
        <w:t xml:space="preserve"> N</w:t>
      </w:r>
      <w:r w:rsidR="00974AAA">
        <w:t>.</w:t>
      </w:r>
      <w:r>
        <w:t>, Williams</w:t>
      </w:r>
      <w:r w:rsidR="00974AAA">
        <w:t>,</w:t>
      </w:r>
      <w:r>
        <w:t xml:space="preserve"> C</w:t>
      </w:r>
      <w:r w:rsidR="00974AAA">
        <w:t>. and</w:t>
      </w:r>
      <w:r>
        <w:t xml:space="preserve"> Tyler</w:t>
      </w:r>
      <w:r w:rsidR="00974AAA">
        <w:t>,</w:t>
      </w:r>
      <w:r>
        <w:t xml:space="preserve"> M</w:t>
      </w:r>
      <w:r w:rsidR="00974AAA">
        <w:t>.</w:t>
      </w:r>
      <w:r>
        <w:t xml:space="preserve"> (2004). Effect of season and temperature on mortality in amphibians due to chytridiomycosis. </w:t>
      </w:r>
      <w:r>
        <w:rPr>
          <w:i/>
          <w:iCs/>
        </w:rPr>
        <w:t>Australian Veterinary Journal</w:t>
      </w:r>
      <w:r>
        <w:t xml:space="preserve"> </w:t>
      </w:r>
      <w:r>
        <w:rPr>
          <w:b/>
          <w:bCs/>
        </w:rPr>
        <w:t>82</w:t>
      </w:r>
      <w:r>
        <w:t>, 434–439 doi:10.1111/j.1751-0813.2004.tb11137.x</w:t>
      </w:r>
    </w:p>
    <w:p w14:paraId="5F59C35C" w14:textId="5133F38E" w:rsidR="00181D59" w:rsidRPr="00181D59" w:rsidRDefault="00181D59" w:rsidP="00181D59">
      <w:pPr>
        <w:pStyle w:val="Bibliography"/>
      </w:pPr>
      <w:r w:rsidRPr="00181D59">
        <w:t>Berger L</w:t>
      </w:r>
      <w:r>
        <w:t>.</w:t>
      </w:r>
      <w:r w:rsidRPr="00181D59">
        <w:t>, Skerratt L</w:t>
      </w:r>
      <w:r>
        <w:t>.</w:t>
      </w:r>
      <w:r w:rsidRPr="00181D59">
        <w:t>F</w:t>
      </w:r>
      <w:r>
        <w:t>.</w:t>
      </w:r>
      <w:r w:rsidRPr="00181D59">
        <w:t>, Kosch T</w:t>
      </w:r>
      <w:r>
        <w:t>.</w:t>
      </w:r>
      <w:r w:rsidRPr="00181D59">
        <w:t>A</w:t>
      </w:r>
      <w:r>
        <w:t>.</w:t>
      </w:r>
      <w:r w:rsidRPr="00181D59">
        <w:t>, Brannelly L</w:t>
      </w:r>
      <w:r>
        <w:t>.</w:t>
      </w:r>
      <w:r w:rsidRPr="00181D59">
        <w:t>A</w:t>
      </w:r>
      <w:r>
        <w:t>.</w:t>
      </w:r>
      <w:r w:rsidRPr="00181D59">
        <w:t>, Webb R</w:t>
      </w:r>
      <w:r>
        <w:t>.</w:t>
      </w:r>
      <w:r w:rsidRPr="00181D59">
        <w:t>J</w:t>
      </w:r>
      <w:r>
        <w:t>.</w:t>
      </w:r>
      <w:r w:rsidRPr="00181D59">
        <w:t xml:space="preserve"> and Waddle A</w:t>
      </w:r>
      <w:r>
        <w:t>.</w:t>
      </w:r>
      <w:r w:rsidRPr="00181D59">
        <w:t>W</w:t>
      </w:r>
      <w:r>
        <w:t>.</w:t>
      </w:r>
      <w:r w:rsidRPr="00181D59">
        <w:t xml:space="preserve"> (2024). Advances in Managing Chytridiomycosis for Australian Frogs: Gradarius Firmus Victoria. </w:t>
      </w:r>
      <w:r w:rsidRPr="00181D59">
        <w:rPr>
          <w:i/>
          <w:iCs/>
        </w:rPr>
        <w:t>Annual Review of Animal Biosciences</w:t>
      </w:r>
      <w:r w:rsidRPr="00181D59">
        <w:t xml:space="preserve"> 12, 113–133. doi:</w:t>
      </w:r>
      <w:hyperlink r:id="rId71" w:history="1">
        <w:r w:rsidRPr="00181D59">
          <w:t>10.1146/annurev-animal-021122-100823</w:t>
        </w:r>
      </w:hyperlink>
    </w:p>
    <w:p w14:paraId="10FBA114" w14:textId="37026205" w:rsidR="006C28A0" w:rsidRDefault="006C28A0" w:rsidP="006C28A0">
      <w:pPr>
        <w:pStyle w:val="Bibliography"/>
      </w:pPr>
      <w:r>
        <w:t>Blehert</w:t>
      </w:r>
      <w:r w:rsidR="00974AAA">
        <w:t>,</w:t>
      </w:r>
      <w:r>
        <w:t xml:space="preserve"> D</w:t>
      </w:r>
      <w:r w:rsidR="00974AAA">
        <w:t>.</w:t>
      </w:r>
      <w:r>
        <w:t>S</w:t>
      </w:r>
      <w:r w:rsidR="00974AAA">
        <w:t>.</w:t>
      </w:r>
      <w:r>
        <w:t>, Hicks</w:t>
      </w:r>
      <w:r w:rsidR="00974AAA">
        <w:t>,</w:t>
      </w:r>
      <w:r>
        <w:t xml:space="preserve"> A</w:t>
      </w:r>
      <w:r w:rsidR="00974AAA">
        <w:t>.</w:t>
      </w:r>
      <w:r>
        <w:t>C</w:t>
      </w:r>
      <w:r w:rsidR="00974AAA">
        <w:t>.</w:t>
      </w:r>
      <w:r>
        <w:t>, Behr</w:t>
      </w:r>
      <w:r w:rsidR="00974AAA">
        <w:t>,</w:t>
      </w:r>
      <w:r>
        <w:t xml:space="preserve"> M</w:t>
      </w:r>
      <w:r w:rsidR="00974AAA">
        <w:t>.</w:t>
      </w:r>
      <w:r>
        <w:t>, Meteyer</w:t>
      </w:r>
      <w:r w:rsidR="00974AAA">
        <w:t>,</w:t>
      </w:r>
      <w:r>
        <w:t xml:space="preserve"> C</w:t>
      </w:r>
      <w:r w:rsidR="00974AAA">
        <w:t>.</w:t>
      </w:r>
      <w:r>
        <w:t>U</w:t>
      </w:r>
      <w:r w:rsidR="00974AAA">
        <w:t>.</w:t>
      </w:r>
      <w:r>
        <w:t>, Berlowski-Zier</w:t>
      </w:r>
      <w:r w:rsidR="00974AAA">
        <w:t>,</w:t>
      </w:r>
      <w:r>
        <w:t xml:space="preserve"> B</w:t>
      </w:r>
      <w:r w:rsidR="00974AAA">
        <w:t>.</w:t>
      </w:r>
      <w:r>
        <w:t>M</w:t>
      </w:r>
      <w:r w:rsidR="00974AAA">
        <w:t>.</w:t>
      </w:r>
      <w:r>
        <w:t>, Buckles</w:t>
      </w:r>
      <w:r w:rsidR="00974AAA">
        <w:t>,</w:t>
      </w:r>
      <w:r>
        <w:t xml:space="preserve"> E</w:t>
      </w:r>
      <w:r w:rsidR="00974AAA">
        <w:t>.</w:t>
      </w:r>
      <w:r>
        <w:t>L</w:t>
      </w:r>
      <w:r w:rsidR="00974AAA">
        <w:t>.</w:t>
      </w:r>
      <w:r>
        <w:t>, Coleman</w:t>
      </w:r>
      <w:r w:rsidR="00974AAA">
        <w:t>,</w:t>
      </w:r>
      <w:r>
        <w:t xml:space="preserve"> J</w:t>
      </w:r>
      <w:r w:rsidR="00974AAA">
        <w:t>.</w:t>
      </w:r>
      <w:r>
        <w:t>T</w:t>
      </w:r>
      <w:r w:rsidR="00974AAA">
        <w:t>.</w:t>
      </w:r>
      <w:r>
        <w:t>H</w:t>
      </w:r>
      <w:r w:rsidR="00974AAA">
        <w:t>.</w:t>
      </w:r>
      <w:r>
        <w:t>, Darling</w:t>
      </w:r>
      <w:r w:rsidR="00974AAA">
        <w:t>,</w:t>
      </w:r>
      <w:r>
        <w:t xml:space="preserve"> S</w:t>
      </w:r>
      <w:r w:rsidR="00974AAA">
        <w:t>.</w:t>
      </w:r>
      <w:r>
        <w:t>R</w:t>
      </w:r>
      <w:r w:rsidR="00974AAA">
        <w:t>.</w:t>
      </w:r>
      <w:r>
        <w:t>, Gargas</w:t>
      </w:r>
      <w:r w:rsidR="00974AAA">
        <w:t>,</w:t>
      </w:r>
      <w:r>
        <w:t xml:space="preserve"> A</w:t>
      </w:r>
      <w:r w:rsidR="00974AAA">
        <w:t>.</w:t>
      </w:r>
      <w:r>
        <w:t>, Niver</w:t>
      </w:r>
      <w:r w:rsidR="00974AAA">
        <w:t>,</w:t>
      </w:r>
      <w:r>
        <w:t xml:space="preserve"> R</w:t>
      </w:r>
      <w:r w:rsidR="00974AAA">
        <w:t>.</w:t>
      </w:r>
      <w:r>
        <w:t>, Okoniewski</w:t>
      </w:r>
      <w:r w:rsidR="00974AAA">
        <w:t>,</w:t>
      </w:r>
      <w:r>
        <w:t xml:space="preserve"> J</w:t>
      </w:r>
      <w:r w:rsidR="00974AAA">
        <w:t>.</w:t>
      </w:r>
      <w:r>
        <w:t>C</w:t>
      </w:r>
      <w:r w:rsidR="00974AAA">
        <w:t>.</w:t>
      </w:r>
      <w:r>
        <w:t>, Rudd</w:t>
      </w:r>
      <w:r w:rsidR="00974AAA">
        <w:t>,</w:t>
      </w:r>
      <w:r>
        <w:t xml:space="preserve"> R</w:t>
      </w:r>
      <w:r w:rsidR="00974AAA">
        <w:t>.</w:t>
      </w:r>
      <w:r>
        <w:t>J</w:t>
      </w:r>
      <w:r w:rsidR="00974AAA">
        <w:t>. and</w:t>
      </w:r>
      <w:r>
        <w:t xml:space="preserve"> Stone</w:t>
      </w:r>
      <w:r w:rsidR="00974AAA">
        <w:t>,</w:t>
      </w:r>
      <w:r>
        <w:t xml:space="preserve"> W</w:t>
      </w:r>
      <w:r w:rsidR="00974AAA">
        <w:t>.</w:t>
      </w:r>
      <w:r>
        <w:t>B</w:t>
      </w:r>
      <w:r w:rsidR="00974AAA">
        <w:t>.</w:t>
      </w:r>
      <w:r>
        <w:t xml:space="preserve"> (2009). Bat </w:t>
      </w:r>
      <w:r w:rsidR="00E07B96">
        <w:t>White Nose Syndrome</w:t>
      </w:r>
      <w:r>
        <w:t xml:space="preserve">: An </w:t>
      </w:r>
      <w:r w:rsidR="00974AAA">
        <w:t>e</w:t>
      </w:r>
      <w:r>
        <w:t xml:space="preserve">merging </w:t>
      </w:r>
      <w:r w:rsidR="00974AAA">
        <w:t>f</w:t>
      </w:r>
      <w:r>
        <w:t xml:space="preserve">ungal </w:t>
      </w:r>
      <w:r w:rsidR="00974AAA">
        <w:t>p</w:t>
      </w:r>
      <w:r>
        <w:t xml:space="preserve">athogen? </w:t>
      </w:r>
      <w:r>
        <w:rPr>
          <w:i/>
          <w:iCs/>
        </w:rPr>
        <w:t>Science</w:t>
      </w:r>
      <w:r>
        <w:t xml:space="preserve"> </w:t>
      </w:r>
      <w:r>
        <w:rPr>
          <w:b/>
          <w:bCs/>
        </w:rPr>
        <w:t>323</w:t>
      </w:r>
      <w:r>
        <w:t>, 227–227 doi:10.1126/science.1163874</w:t>
      </w:r>
    </w:p>
    <w:p w14:paraId="205F240E" w14:textId="0195ED48" w:rsidR="006C28A0" w:rsidRDefault="006C28A0" w:rsidP="006C28A0">
      <w:pPr>
        <w:pStyle w:val="Bibliography"/>
      </w:pPr>
      <w:r>
        <w:t>Bonilla-Aldana</w:t>
      </w:r>
      <w:r w:rsidR="00974AAA">
        <w:t>,</w:t>
      </w:r>
      <w:r>
        <w:t xml:space="preserve"> D</w:t>
      </w:r>
      <w:r w:rsidR="00974AAA">
        <w:t>.</w:t>
      </w:r>
      <w:r>
        <w:t>K</w:t>
      </w:r>
      <w:r w:rsidR="00974AAA">
        <w:t>.</w:t>
      </w:r>
      <w:r>
        <w:t>, Dhama</w:t>
      </w:r>
      <w:r w:rsidR="00974AAA">
        <w:t>,</w:t>
      </w:r>
      <w:r>
        <w:t xml:space="preserve"> K</w:t>
      </w:r>
      <w:r w:rsidR="00974AAA">
        <w:t>. and</w:t>
      </w:r>
      <w:r>
        <w:t xml:space="preserve"> Rodriguez-Morales</w:t>
      </w:r>
      <w:r w:rsidR="00974AAA">
        <w:t>,</w:t>
      </w:r>
      <w:r>
        <w:t xml:space="preserve"> A</w:t>
      </w:r>
      <w:r w:rsidR="00974AAA">
        <w:t>.</w:t>
      </w:r>
      <w:r>
        <w:t>J</w:t>
      </w:r>
      <w:r w:rsidR="00974AAA">
        <w:t>.</w:t>
      </w:r>
      <w:r>
        <w:t xml:space="preserve"> (2020). Revisiting the</w:t>
      </w:r>
      <w:r w:rsidR="00974AAA">
        <w:t xml:space="preserve"> one health approach in the context of</w:t>
      </w:r>
      <w:r>
        <w:t xml:space="preserve"> COVID-19: A </w:t>
      </w:r>
      <w:r w:rsidR="00974AAA">
        <w:t>look into the ecology of this emerging disease</w:t>
      </w:r>
      <w:r>
        <w:t xml:space="preserve">. </w:t>
      </w:r>
      <w:r>
        <w:rPr>
          <w:i/>
          <w:iCs/>
        </w:rPr>
        <w:t>Advances in Animal and Veterinary Sciences</w:t>
      </w:r>
      <w:r>
        <w:t xml:space="preserve"> </w:t>
      </w:r>
      <w:r>
        <w:rPr>
          <w:b/>
          <w:bCs/>
        </w:rPr>
        <w:t>8</w:t>
      </w:r>
      <w:r>
        <w:t xml:space="preserve"> doi:10.17582/journal.aavs/2020/8.3.234.237</w:t>
      </w:r>
    </w:p>
    <w:p w14:paraId="7CF6F1DE" w14:textId="301C9FD6" w:rsidR="006C28A0" w:rsidRDefault="006C28A0" w:rsidP="006C28A0">
      <w:pPr>
        <w:pStyle w:val="Bibliography"/>
      </w:pPr>
      <w:r>
        <w:t>Bourouiba</w:t>
      </w:r>
      <w:r w:rsidR="007C55C4">
        <w:t>,</w:t>
      </w:r>
      <w:r>
        <w:t xml:space="preserve"> L</w:t>
      </w:r>
      <w:r w:rsidR="007C55C4">
        <w:t>.</w:t>
      </w:r>
      <w:r>
        <w:t>, Teslya</w:t>
      </w:r>
      <w:r w:rsidR="007C55C4">
        <w:t>,</w:t>
      </w:r>
      <w:r>
        <w:t xml:space="preserve"> A</w:t>
      </w:r>
      <w:r w:rsidR="007C55C4">
        <w:t>. and</w:t>
      </w:r>
      <w:r>
        <w:t xml:space="preserve"> Wu</w:t>
      </w:r>
      <w:r w:rsidR="007C55C4">
        <w:t>,</w:t>
      </w:r>
      <w:r>
        <w:t xml:space="preserve"> J</w:t>
      </w:r>
      <w:r w:rsidR="007C55C4">
        <w:t>.</w:t>
      </w:r>
      <w:r>
        <w:t xml:space="preserve"> (2011). Highly pathogenic avian influenza outbreak mitigated by seasonal low pathogenic strains: Insights from dynamic modeling. </w:t>
      </w:r>
      <w:r>
        <w:rPr>
          <w:i/>
          <w:iCs/>
        </w:rPr>
        <w:t>Journal of Theoretical Biology</w:t>
      </w:r>
      <w:r>
        <w:t xml:space="preserve"> </w:t>
      </w:r>
      <w:r>
        <w:rPr>
          <w:b/>
          <w:bCs/>
        </w:rPr>
        <w:t>271</w:t>
      </w:r>
      <w:r>
        <w:t>, 181–201 doi:10.1016/j.jtbi.2010.11.013</w:t>
      </w:r>
    </w:p>
    <w:p w14:paraId="28A9C81D" w14:textId="2E54DA40" w:rsidR="006C28A0" w:rsidRDefault="006C28A0" w:rsidP="006C28A0">
      <w:pPr>
        <w:pStyle w:val="Bibliography"/>
      </w:pPr>
      <w:r>
        <w:t>Briggs</w:t>
      </w:r>
      <w:r w:rsidR="007C55C4">
        <w:t>,</w:t>
      </w:r>
      <w:r>
        <w:t xml:space="preserve"> C</w:t>
      </w:r>
      <w:r w:rsidR="007C55C4">
        <w:t>.</w:t>
      </w:r>
      <w:r>
        <w:t>J</w:t>
      </w:r>
      <w:r w:rsidR="007C55C4">
        <w:t>.</w:t>
      </w:r>
      <w:r>
        <w:t>, Knapp</w:t>
      </w:r>
      <w:r w:rsidR="007C55C4">
        <w:t>,</w:t>
      </w:r>
      <w:r>
        <w:t xml:space="preserve"> R</w:t>
      </w:r>
      <w:r w:rsidR="007C55C4">
        <w:t>.</w:t>
      </w:r>
      <w:r>
        <w:t>A</w:t>
      </w:r>
      <w:r w:rsidR="007C55C4">
        <w:t>. and</w:t>
      </w:r>
      <w:r>
        <w:t xml:space="preserve"> Vredenburg</w:t>
      </w:r>
      <w:r w:rsidR="007C55C4">
        <w:t>,</w:t>
      </w:r>
      <w:r>
        <w:t xml:space="preserve"> V</w:t>
      </w:r>
      <w:r w:rsidR="007C55C4">
        <w:t>.</w:t>
      </w:r>
      <w:r>
        <w:t>T</w:t>
      </w:r>
      <w:r w:rsidR="007C55C4">
        <w:t>.</w:t>
      </w:r>
      <w:r>
        <w:t xml:space="preserve"> (2010). Enzootic and epizootic dynamics of the chytrid fungal pathogen of amphibians. </w:t>
      </w:r>
      <w:r>
        <w:rPr>
          <w:i/>
          <w:iCs/>
        </w:rPr>
        <w:t>Proceedings of the National Academy of Sciences</w:t>
      </w:r>
      <w:r>
        <w:t xml:space="preserve"> </w:t>
      </w:r>
      <w:r>
        <w:rPr>
          <w:b/>
          <w:bCs/>
        </w:rPr>
        <w:t>107</w:t>
      </w:r>
      <w:r>
        <w:t>, 9695–9700 doi:10.1073/pnas.0912886107</w:t>
      </w:r>
    </w:p>
    <w:p w14:paraId="146EBAC2" w14:textId="7F6E0684" w:rsidR="006C28A0" w:rsidRDefault="006C28A0" w:rsidP="006C28A0">
      <w:pPr>
        <w:pStyle w:val="Bibliography"/>
      </w:pPr>
      <w:r>
        <w:t>Briggs</w:t>
      </w:r>
      <w:r w:rsidR="007C55C4">
        <w:t>,</w:t>
      </w:r>
      <w:r>
        <w:t xml:space="preserve"> C</w:t>
      </w:r>
      <w:r w:rsidR="007C55C4">
        <w:t>.</w:t>
      </w:r>
      <w:r>
        <w:t>J</w:t>
      </w:r>
      <w:r w:rsidR="007C55C4">
        <w:t>.</w:t>
      </w:r>
      <w:r>
        <w:t>, Vredenburg</w:t>
      </w:r>
      <w:r w:rsidR="007C55C4">
        <w:t>,</w:t>
      </w:r>
      <w:r>
        <w:t xml:space="preserve"> V</w:t>
      </w:r>
      <w:r w:rsidR="007C55C4">
        <w:t>.</w:t>
      </w:r>
      <w:r>
        <w:t>T</w:t>
      </w:r>
      <w:r w:rsidR="007C55C4">
        <w:t>.</w:t>
      </w:r>
      <w:r>
        <w:t>, Knapp</w:t>
      </w:r>
      <w:r w:rsidR="007C55C4">
        <w:t>,</w:t>
      </w:r>
      <w:r>
        <w:t xml:space="preserve"> R</w:t>
      </w:r>
      <w:r w:rsidR="007C55C4">
        <w:t>.</w:t>
      </w:r>
      <w:r>
        <w:t>A</w:t>
      </w:r>
      <w:r w:rsidR="007C55C4">
        <w:t>. and</w:t>
      </w:r>
      <w:r>
        <w:t xml:space="preserve"> Rachowicz</w:t>
      </w:r>
      <w:r w:rsidR="007C55C4">
        <w:t>,</w:t>
      </w:r>
      <w:r>
        <w:t xml:space="preserve"> L</w:t>
      </w:r>
      <w:r w:rsidR="007C55C4">
        <w:t>.</w:t>
      </w:r>
      <w:r>
        <w:t>J</w:t>
      </w:r>
      <w:r w:rsidR="007C55C4">
        <w:t>.</w:t>
      </w:r>
      <w:r>
        <w:t xml:space="preserve"> (2005).</w:t>
      </w:r>
      <w:r w:rsidR="007C55C4">
        <w:t xml:space="preserve"> Investigating the population-level effects of Chytridiomycosis: An emerging infectious disease of amphibians</w:t>
      </w:r>
      <w:r>
        <w:t xml:space="preserve">. </w:t>
      </w:r>
      <w:r>
        <w:rPr>
          <w:i/>
          <w:iCs/>
        </w:rPr>
        <w:t>Ecology</w:t>
      </w:r>
      <w:r>
        <w:t xml:space="preserve"> </w:t>
      </w:r>
      <w:r>
        <w:rPr>
          <w:b/>
          <w:bCs/>
        </w:rPr>
        <w:t>86</w:t>
      </w:r>
      <w:r>
        <w:t>, 3149–3159 doi:10.1890/04-1428</w:t>
      </w:r>
    </w:p>
    <w:p w14:paraId="76FF5D1F" w14:textId="69E00101" w:rsidR="006C28A0" w:rsidRDefault="006C28A0" w:rsidP="006C28A0">
      <w:pPr>
        <w:pStyle w:val="Bibliography"/>
      </w:pPr>
      <w:r>
        <w:t>Brown</w:t>
      </w:r>
      <w:r w:rsidR="007C55C4">
        <w:t>,</w:t>
      </w:r>
      <w:r>
        <w:t xml:space="preserve"> I</w:t>
      </w:r>
      <w:r w:rsidR="007C55C4">
        <w:t>.</w:t>
      </w:r>
      <w:r>
        <w:t>H</w:t>
      </w:r>
      <w:r w:rsidR="007C55C4">
        <w:t>.</w:t>
      </w:r>
      <w:r>
        <w:t xml:space="preserve"> (2010). Summary of avian influenza activity in Europe, Asia, and Africa, 2006–2009. </w:t>
      </w:r>
      <w:r>
        <w:rPr>
          <w:i/>
          <w:iCs/>
        </w:rPr>
        <w:t>Avian diseases</w:t>
      </w:r>
      <w:r>
        <w:t xml:space="preserve"> </w:t>
      </w:r>
      <w:r>
        <w:rPr>
          <w:b/>
          <w:bCs/>
        </w:rPr>
        <w:t>54</w:t>
      </w:r>
      <w:r>
        <w:t>, 187–193.</w:t>
      </w:r>
    </w:p>
    <w:p w14:paraId="3DA45464" w14:textId="3AFCFFBF" w:rsidR="006C28A0" w:rsidRDefault="006C28A0" w:rsidP="006C28A0">
      <w:pPr>
        <w:pStyle w:val="Bibliography"/>
      </w:pPr>
      <w:r>
        <w:t>Caley</w:t>
      </w:r>
      <w:r w:rsidR="007C55C4">
        <w:t>,</w:t>
      </w:r>
      <w:r>
        <w:t xml:space="preserve"> P</w:t>
      </w:r>
      <w:r w:rsidR="007C55C4">
        <w:t>. and</w:t>
      </w:r>
      <w:r>
        <w:t xml:space="preserve"> Ramsey</w:t>
      </w:r>
      <w:r w:rsidR="007C55C4">
        <w:t>,</w:t>
      </w:r>
      <w:r>
        <w:t xml:space="preserve"> D</w:t>
      </w:r>
      <w:r w:rsidR="007C55C4">
        <w:t>.</w:t>
      </w:r>
      <w:r>
        <w:t xml:space="preserve"> (2001). Estimating disease transmission in wildlife, with emphasis on leptospirosis and bovine tuberculosis in possums, and effects of fertility control. </w:t>
      </w:r>
      <w:r>
        <w:rPr>
          <w:i/>
          <w:iCs/>
        </w:rPr>
        <w:t>Journal of Applied Ecology</w:t>
      </w:r>
      <w:r>
        <w:t xml:space="preserve"> </w:t>
      </w:r>
      <w:r>
        <w:rPr>
          <w:b/>
          <w:bCs/>
        </w:rPr>
        <w:t>38</w:t>
      </w:r>
      <w:r>
        <w:t>, 1362–1370.</w:t>
      </w:r>
    </w:p>
    <w:p w14:paraId="644649FB" w14:textId="7B3D2C27" w:rsidR="006C28A0" w:rsidRDefault="006C28A0" w:rsidP="006C28A0">
      <w:pPr>
        <w:pStyle w:val="Bibliography"/>
      </w:pPr>
      <w:r>
        <w:t>Campagna</w:t>
      </w:r>
      <w:r w:rsidR="007C55C4">
        <w:t>,</w:t>
      </w:r>
      <w:r>
        <w:t xml:space="preserve"> C</w:t>
      </w:r>
      <w:r w:rsidR="007C55C4">
        <w:t>.</w:t>
      </w:r>
      <w:r>
        <w:t>, Uhart</w:t>
      </w:r>
      <w:r w:rsidR="007C55C4">
        <w:t>,</w:t>
      </w:r>
      <w:r>
        <w:t xml:space="preserve"> M</w:t>
      </w:r>
      <w:r w:rsidR="007C55C4">
        <w:t>.</w:t>
      </w:r>
      <w:r>
        <w:t>, Falabella</w:t>
      </w:r>
      <w:r w:rsidR="007C55C4">
        <w:t>,</w:t>
      </w:r>
      <w:r>
        <w:t xml:space="preserve"> V</w:t>
      </w:r>
      <w:r w:rsidR="007C55C4">
        <w:t>.</w:t>
      </w:r>
      <w:r>
        <w:t>, Campagna</w:t>
      </w:r>
      <w:r w:rsidR="007C55C4">
        <w:t>,</w:t>
      </w:r>
      <w:r>
        <w:t xml:space="preserve"> J</w:t>
      </w:r>
      <w:r w:rsidR="007C55C4">
        <w:t>.</w:t>
      </w:r>
      <w:r>
        <w:t>, Zavattieri</w:t>
      </w:r>
      <w:r w:rsidR="007C55C4">
        <w:t>,</w:t>
      </w:r>
      <w:r>
        <w:t xml:space="preserve"> V</w:t>
      </w:r>
      <w:r w:rsidR="007C55C4">
        <w:t>.,</w:t>
      </w:r>
      <w:r>
        <w:t xml:space="preserve"> Vanstreels</w:t>
      </w:r>
      <w:r w:rsidR="007C55C4">
        <w:t>,</w:t>
      </w:r>
      <w:r>
        <w:t xml:space="preserve"> R</w:t>
      </w:r>
      <w:r w:rsidR="007C55C4">
        <w:t>.</w:t>
      </w:r>
      <w:r>
        <w:t>E</w:t>
      </w:r>
      <w:r w:rsidR="007C55C4">
        <w:t>. and</w:t>
      </w:r>
      <w:r>
        <w:t xml:space="preserve"> Lewis</w:t>
      </w:r>
      <w:r w:rsidR="007C55C4">
        <w:t>,</w:t>
      </w:r>
      <w:r>
        <w:t xml:space="preserve"> M</w:t>
      </w:r>
      <w:r w:rsidR="007C55C4">
        <w:t>.</w:t>
      </w:r>
      <w:r>
        <w:t>N</w:t>
      </w:r>
      <w:r w:rsidR="007C55C4">
        <w:t>.</w:t>
      </w:r>
      <w:r>
        <w:t xml:space="preserve"> (2024). Catastrophic mortality of southern elephant seals caused by H5N1 avian influenza. </w:t>
      </w:r>
      <w:r>
        <w:rPr>
          <w:i/>
          <w:iCs/>
        </w:rPr>
        <w:t>Marine Mammal Science</w:t>
      </w:r>
      <w:r>
        <w:t xml:space="preserve"> </w:t>
      </w:r>
      <w:r>
        <w:rPr>
          <w:b/>
          <w:bCs/>
        </w:rPr>
        <w:t>40</w:t>
      </w:r>
      <w:r w:rsidR="007C55C4" w:rsidRPr="00DA5824">
        <w:t>, 322–325</w:t>
      </w:r>
      <w:r w:rsidRPr="007C55C4">
        <w:t>.</w:t>
      </w:r>
    </w:p>
    <w:p w14:paraId="77911139" w14:textId="7C9B5CDC" w:rsidR="006C28A0" w:rsidRDefault="006C28A0" w:rsidP="006C28A0">
      <w:pPr>
        <w:pStyle w:val="Bibliography"/>
      </w:pPr>
      <w:r>
        <w:t>Carver</w:t>
      </w:r>
      <w:r w:rsidR="00460D80">
        <w:t>,</w:t>
      </w:r>
      <w:r>
        <w:t xml:space="preserve"> S</w:t>
      </w:r>
      <w:r w:rsidR="00460D80">
        <w:t>.</w:t>
      </w:r>
      <w:r>
        <w:t>, Peters</w:t>
      </w:r>
      <w:r w:rsidR="00460D80">
        <w:t>,</w:t>
      </w:r>
      <w:r>
        <w:t xml:space="preserve"> A</w:t>
      </w:r>
      <w:r w:rsidR="00460D80">
        <w:t>. and</w:t>
      </w:r>
      <w:r>
        <w:t xml:space="preserve"> Richards</w:t>
      </w:r>
      <w:r w:rsidR="00460D80">
        <w:t>,</w:t>
      </w:r>
      <w:r>
        <w:t xml:space="preserve"> S</w:t>
      </w:r>
      <w:r w:rsidR="00460D80">
        <w:t>.</w:t>
      </w:r>
      <w:r>
        <w:t>A</w:t>
      </w:r>
      <w:r w:rsidR="00460D80">
        <w:t>.</w:t>
      </w:r>
      <w:r>
        <w:t xml:space="preserve"> (2022). Model Integrated Disease Management to facilitate effective translatable solutions for wildlife disease issues. </w:t>
      </w:r>
      <w:r>
        <w:rPr>
          <w:i/>
          <w:iCs/>
        </w:rPr>
        <w:t>Journal of Applied Ecology</w:t>
      </w:r>
      <w:r>
        <w:t xml:space="preserve"> </w:t>
      </w:r>
      <w:r>
        <w:rPr>
          <w:b/>
          <w:bCs/>
        </w:rPr>
        <w:t>59</w:t>
      </w:r>
      <w:r>
        <w:t>, 2902–2910 doi:10.1111/1365-2664.14298</w:t>
      </w:r>
    </w:p>
    <w:p w14:paraId="134EBF41" w14:textId="7A5F32A9" w:rsidR="006C28A0" w:rsidRDefault="006C28A0" w:rsidP="006C28A0">
      <w:pPr>
        <w:pStyle w:val="Bibliography"/>
      </w:pPr>
      <w:r>
        <w:t>Cashins</w:t>
      </w:r>
      <w:r w:rsidR="00460D80">
        <w:t>,</w:t>
      </w:r>
      <w:r>
        <w:t xml:space="preserve"> S</w:t>
      </w:r>
      <w:r w:rsidR="00460D80">
        <w:t>.</w:t>
      </w:r>
      <w:r>
        <w:t>D</w:t>
      </w:r>
      <w:r w:rsidR="00460D80">
        <w:t>.</w:t>
      </w:r>
      <w:r>
        <w:t>, Grogan</w:t>
      </w:r>
      <w:r w:rsidR="00460D80">
        <w:t>,</w:t>
      </w:r>
      <w:r>
        <w:t xml:space="preserve"> L</w:t>
      </w:r>
      <w:r w:rsidR="00460D80">
        <w:t>.</w:t>
      </w:r>
      <w:r>
        <w:t>F</w:t>
      </w:r>
      <w:r w:rsidR="00460D80">
        <w:t>.</w:t>
      </w:r>
      <w:r>
        <w:t>, McFadden</w:t>
      </w:r>
      <w:r w:rsidR="00460D80">
        <w:t>,</w:t>
      </w:r>
      <w:r>
        <w:t xml:space="preserve"> M</w:t>
      </w:r>
      <w:r w:rsidR="00460D80">
        <w:t>.</w:t>
      </w:r>
      <w:r>
        <w:t>, Hunter</w:t>
      </w:r>
      <w:r w:rsidR="00460D80">
        <w:t>,</w:t>
      </w:r>
      <w:r>
        <w:t xml:space="preserve"> D</w:t>
      </w:r>
      <w:r w:rsidR="00460D80">
        <w:t>.</w:t>
      </w:r>
      <w:r>
        <w:t>, Harlow</w:t>
      </w:r>
      <w:r w:rsidR="00460D80">
        <w:t>,</w:t>
      </w:r>
      <w:r>
        <w:t xml:space="preserve"> P</w:t>
      </w:r>
      <w:r w:rsidR="00460D80">
        <w:t>.</w:t>
      </w:r>
      <w:r>
        <w:t>S</w:t>
      </w:r>
      <w:r w:rsidR="00460D80">
        <w:t>.</w:t>
      </w:r>
      <w:r>
        <w:t>, Berger</w:t>
      </w:r>
      <w:r w:rsidR="00460D80">
        <w:t>,</w:t>
      </w:r>
      <w:r>
        <w:t xml:space="preserve"> L</w:t>
      </w:r>
      <w:r w:rsidR="00460D80">
        <w:t>. and</w:t>
      </w:r>
      <w:r>
        <w:t xml:space="preserve"> Skerratt</w:t>
      </w:r>
      <w:r w:rsidR="00460D80">
        <w:t>,</w:t>
      </w:r>
      <w:r>
        <w:t xml:space="preserve"> L</w:t>
      </w:r>
      <w:r w:rsidR="00460D80">
        <w:t>.</w:t>
      </w:r>
      <w:r>
        <w:t>F</w:t>
      </w:r>
      <w:r w:rsidR="00460D80">
        <w:t>.</w:t>
      </w:r>
      <w:r>
        <w:t xml:space="preserve"> (2013). Prior </w:t>
      </w:r>
      <w:r w:rsidR="00460D80">
        <w:t>infection does not improve survival against the amphibian disease</w:t>
      </w:r>
      <w:r>
        <w:t xml:space="preserve"> Chytridiomycosis Ed B Gratwicke. </w:t>
      </w:r>
      <w:r>
        <w:rPr>
          <w:i/>
          <w:iCs/>
        </w:rPr>
        <w:t>PLoS ONE</w:t>
      </w:r>
      <w:r>
        <w:t xml:space="preserve"> </w:t>
      </w:r>
      <w:r>
        <w:rPr>
          <w:b/>
          <w:bCs/>
        </w:rPr>
        <w:t>8</w:t>
      </w:r>
      <w:r>
        <w:t>, e56747 doi:10.1371/journal.pone.0056747</w:t>
      </w:r>
    </w:p>
    <w:p w14:paraId="4F0BEAB7" w14:textId="3127870A" w:rsidR="006C28A0" w:rsidRDefault="006C28A0" w:rsidP="006C28A0">
      <w:pPr>
        <w:pStyle w:val="Bibliography"/>
      </w:pPr>
      <w:r>
        <w:t>Cheng</w:t>
      </w:r>
      <w:r w:rsidR="00460D80">
        <w:t>,</w:t>
      </w:r>
      <w:r>
        <w:t xml:space="preserve"> T</w:t>
      </w:r>
      <w:r w:rsidR="00460D80">
        <w:t>.</w:t>
      </w:r>
      <w:r>
        <w:t>L</w:t>
      </w:r>
      <w:r w:rsidR="00460D80">
        <w:t>.</w:t>
      </w:r>
      <w:r>
        <w:t>, Reichard</w:t>
      </w:r>
      <w:r w:rsidR="00460D80">
        <w:t>,</w:t>
      </w:r>
      <w:r>
        <w:t xml:space="preserve"> J</w:t>
      </w:r>
      <w:r w:rsidR="00460D80">
        <w:t>.</w:t>
      </w:r>
      <w:r>
        <w:t>D</w:t>
      </w:r>
      <w:r w:rsidR="00460D80">
        <w:t>.</w:t>
      </w:r>
      <w:r>
        <w:t>, Coleman</w:t>
      </w:r>
      <w:r w:rsidR="00460D80">
        <w:t>,</w:t>
      </w:r>
      <w:r>
        <w:t xml:space="preserve"> J</w:t>
      </w:r>
      <w:r w:rsidR="00460D80">
        <w:t>.</w:t>
      </w:r>
      <w:r>
        <w:t>T</w:t>
      </w:r>
      <w:r w:rsidR="00460D80">
        <w:t>.</w:t>
      </w:r>
      <w:r>
        <w:t>, Weller</w:t>
      </w:r>
      <w:r w:rsidR="00460D80">
        <w:t>,</w:t>
      </w:r>
      <w:r>
        <w:t xml:space="preserve"> T</w:t>
      </w:r>
      <w:r w:rsidR="00460D80">
        <w:t>.</w:t>
      </w:r>
      <w:r>
        <w:t>J</w:t>
      </w:r>
      <w:r w:rsidR="00460D80">
        <w:t>.</w:t>
      </w:r>
      <w:r>
        <w:t>, Thogmartin</w:t>
      </w:r>
      <w:r w:rsidR="00460D80">
        <w:t>,</w:t>
      </w:r>
      <w:r>
        <w:t xml:space="preserve"> W</w:t>
      </w:r>
      <w:r w:rsidR="00460D80">
        <w:t>.</w:t>
      </w:r>
      <w:r>
        <w:t>E</w:t>
      </w:r>
      <w:r w:rsidR="00460D80">
        <w:t>.</w:t>
      </w:r>
      <w:r>
        <w:t>, Reichert</w:t>
      </w:r>
      <w:r w:rsidR="00460D80">
        <w:t>,</w:t>
      </w:r>
      <w:r>
        <w:t xml:space="preserve"> B</w:t>
      </w:r>
      <w:r w:rsidR="00460D80">
        <w:t>.</w:t>
      </w:r>
      <w:r>
        <w:t>E</w:t>
      </w:r>
      <w:r w:rsidR="00460D80">
        <w:t>.</w:t>
      </w:r>
      <w:r>
        <w:t>, Bennett</w:t>
      </w:r>
      <w:r w:rsidR="00460D80">
        <w:t>,</w:t>
      </w:r>
      <w:r>
        <w:t xml:space="preserve"> A</w:t>
      </w:r>
      <w:r w:rsidR="00460D80">
        <w:t>.</w:t>
      </w:r>
      <w:r>
        <w:t>B</w:t>
      </w:r>
      <w:r w:rsidR="00460D80">
        <w:t>.</w:t>
      </w:r>
      <w:r>
        <w:t>, Broders</w:t>
      </w:r>
      <w:r w:rsidR="00460D80">
        <w:t>,</w:t>
      </w:r>
      <w:r>
        <w:t xml:space="preserve"> H</w:t>
      </w:r>
      <w:r w:rsidR="00460D80">
        <w:t>.</w:t>
      </w:r>
      <w:r>
        <w:t>G</w:t>
      </w:r>
      <w:r w:rsidR="00460D80">
        <w:t>.</w:t>
      </w:r>
      <w:r>
        <w:t>, Campbell</w:t>
      </w:r>
      <w:r w:rsidR="00460D80">
        <w:t>,</w:t>
      </w:r>
      <w:r>
        <w:t xml:space="preserve"> J</w:t>
      </w:r>
      <w:r w:rsidR="00460D80">
        <w:t>.</w:t>
      </w:r>
      <w:r>
        <w:t>, Etchison</w:t>
      </w:r>
      <w:r w:rsidR="00460D80">
        <w:t>,</w:t>
      </w:r>
      <w:r>
        <w:t xml:space="preserve"> K</w:t>
      </w:r>
      <w:r w:rsidR="00460D80">
        <w:t>.</w:t>
      </w:r>
      <w:r>
        <w:t xml:space="preserve">, others (2021). The scope and severity of </w:t>
      </w:r>
      <w:r w:rsidR="00E07B96">
        <w:t>White Nose Syndrome</w:t>
      </w:r>
      <w:r>
        <w:t xml:space="preserve"> on hibernating bats in North America. </w:t>
      </w:r>
      <w:r>
        <w:rPr>
          <w:i/>
          <w:iCs/>
        </w:rPr>
        <w:t>Conservation Biology</w:t>
      </w:r>
      <w:r>
        <w:t xml:space="preserve"> </w:t>
      </w:r>
      <w:r>
        <w:rPr>
          <w:b/>
          <w:bCs/>
        </w:rPr>
        <w:t>35</w:t>
      </w:r>
      <w:r>
        <w:t>, 1586–1597.</w:t>
      </w:r>
    </w:p>
    <w:p w14:paraId="173860F9" w14:textId="65031B07" w:rsidR="006C28A0" w:rsidRDefault="006C28A0" w:rsidP="006C28A0">
      <w:pPr>
        <w:pStyle w:val="Bibliography"/>
      </w:pPr>
      <w:r>
        <w:t>Cornwell</w:t>
      </w:r>
      <w:r w:rsidR="00460D80">
        <w:t>,</w:t>
      </w:r>
      <w:r>
        <w:t xml:space="preserve"> E</w:t>
      </w:r>
      <w:r w:rsidR="00460D80">
        <w:t>.</w:t>
      </w:r>
      <w:r>
        <w:t>, Elzinga</w:t>
      </w:r>
      <w:r w:rsidR="00460D80">
        <w:t>,</w:t>
      </w:r>
      <w:r>
        <w:t xml:space="preserve"> D</w:t>
      </w:r>
      <w:r w:rsidR="00460D80">
        <w:t>.</w:t>
      </w:r>
      <w:r>
        <w:t>C</w:t>
      </w:r>
      <w:r w:rsidR="00460D80">
        <w:t>.</w:t>
      </w:r>
      <w:r>
        <w:t>, Stowe</w:t>
      </w:r>
      <w:r w:rsidR="00460D80">
        <w:t>,</w:t>
      </w:r>
      <w:r>
        <w:t xml:space="preserve"> S</w:t>
      </w:r>
      <w:r w:rsidR="00460D80">
        <w:t>. and</w:t>
      </w:r>
      <w:r>
        <w:t xml:space="preserve"> Capaldi</w:t>
      </w:r>
      <w:r w:rsidR="00460D80">
        <w:t>,</w:t>
      </w:r>
      <w:r>
        <w:t xml:space="preserve"> A</w:t>
      </w:r>
      <w:r w:rsidR="00460D80">
        <w:t>.</w:t>
      </w:r>
      <w:r>
        <w:t xml:space="preserve"> (2019). Modeling vaccination strategies to control </w:t>
      </w:r>
      <w:r w:rsidR="00E07B96">
        <w:t>White Nose Syndrome</w:t>
      </w:r>
      <w:r>
        <w:t xml:space="preserve"> in little brown bat colonies. </w:t>
      </w:r>
      <w:r>
        <w:rPr>
          <w:i/>
          <w:iCs/>
        </w:rPr>
        <w:t>Ecological Modelling</w:t>
      </w:r>
      <w:r>
        <w:t xml:space="preserve"> </w:t>
      </w:r>
      <w:r>
        <w:rPr>
          <w:b/>
          <w:bCs/>
        </w:rPr>
        <w:t>407</w:t>
      </w:r>
      <w:r>
        <w:t>, 108724 doi:https://doi.org/10.1016/j.ecolmodel.2019.108724</w:t>
      </w:r>
    </w:p>
    <w:p w14:paraId="68ECF8E9" w14:textId="48D1DA3B" w:rsidR="006C28A0" w:rsidRDefault="006C28A0" w:rsidP="006C28A0">
      <w:pPr>
        <w:pStyle w:val="Bibliography"/>
      </w:pPr>
      <w:r>
        <w:t>Cox-Witton</w:t>
      </w:r>
      <w:r w:rsidR="00460D80">
        <w:t>,</w:t>
      </w:r>
      <w:r>
        <w:t xml:space="preserve"> K</w:t>
      </w:r>
      <w:r w:rsidR="00460D80">
        <w:t>.</w:t>
      </w:r>
      <w:r>
        <w:t>, Baker</w:t>
      </w:r>
      <w:r w:rsidR="00460D80">
        <w:t>,</w:t>
      </w:r>
      <w:r>
        <w:t xml:space="preserve"> M</w:t>
      </w:r>
      <w:r w:rsidR="00460D80">
        <w:t>.</w:t>
      </w:r>
      <w:r>
        <w:t>L</w:t>
      </w:r>
      <w:r w:rsidR="00460D80">
        <w:t>.</w:t>
      </w:r>
      <w:r>
        <w:t>, Edson</w:t>
      </w:r>
      <w:r w:rsidR="00460D80">
        <w:t>,</w:t>
      </w:r>
      <w:r>
        <w:t xml:space="preserve"> D</w:t>
      </w:r>
      <w:r w:rsidR="00460D80">
        <w:t>.</w:t>
      </w:r>
      <w:r>
        <w:t>, Peel</w:t>
      </w:r>
      <w:r w:rsidR="00460D80">
        <w:t>,</w:t>
      </w:r>
      <w:r>
        <w:t xml:space="preserve"> A</w:t>
      </w:r>
      <w:r w:rsidR="00460D80">
        <w:t>.</w:t>
      </w:r>
      <w:r>
        <w:t>J</w:t>
      </w:r>
      <w:r w:rsidR="00460D80">
        <w:t>.</w:t>
      </w:r>
      <w:r>
        <w:t>, Welbergen</w:t>
      </w:r>
      <w:r w:rsidR="00460D80">
        <w:t>,</w:t>
      </w:r>
      <w:r>
        <w:t xml:space="preserve"> J</w:t>
      </w:r>
      <w:r w:rsidR="00460D80">
        <w:t>.</w:t>
      </w:r>
      <w:r>
        <w:t>A</w:t>
      </w:r>
      <w:r w:rsidR="00460D80">
        <w:t>.</w:t>
      </w:r>
      <w:r>
        <w:t>, Field</w:t>
      </w:r>
      <w:r w:rsidR="00460D80">
        <w:t>,</w:t>
      </w:r>
      <w:r>
        <w:t xml:space="preserve"> H</w:t>
      </w:r>
      <w:r w:rsidR="00460D80">
        <w:t>.</w:t>
      </w:r>
      <w:r>
        <w:t xml:space="preserve"> (2021). Risk of SARS-CoV-2 transmission from humans to bats–An Australian assessment. </w:t>
      </w:r>
      <w:r>
        <w:rPr>
          <w:i/>
          <w:iCs/>
        </w:rPr>
        <w:t>One Health</w:t>
      </w:r>
      <w:r>
        <w:t xml:space="preserve"> </w:t>
      </w:r>
      <w:r>
        <w:rPr>
          <w:b/>
          <w:bCs/>
        </w:rPr>
        <w:t>13</w:t>
      </w:r>
      <w:r>
        <w:t>, 100247.</w:t>
      </w:r>
    </w:p>
    <w:p w14:paraId="6615F548" w14:textId="4330B84E" w:rsidR="006C28A0" w:rsidRDefault="006C28A0" w:rsidP="006C28A0">
      <w:pPr>
        <w:pStyle w:val="Bibliography"/>
      </w:pPr>
      <w:r>
        <w:t>Cripps</w:t>
      </w:r>
      <w:r w:rsidR="00460D80">
        <w:t>,</w:t>
      </w:r>
      <w:r>
        <w:t xml:space="preserve"> J</w:t>
      </w:r>
      <w:r w:rsidR="00460D80">
        <w:t>.</w:t>
      </w:r>
      <w:r>
        <w:t>K</w:t>
      </w:r>
      <w:r w:rsidR="00460D80">
        <w:t>.</w:t>
      </w:r>
      <w:r>
        <w:t>, Pacioni</w:t>
      </w:r>
      <w:r w:rsidR="00460D80">
        <w:t>,</w:t>
      </w:r>
      <w:r>
        <w:t xml:space="preserve"> C</w:t>
      </w:r>
      <w:r w:rsidR="00460D80">
        <w:t>.</w:t>
      </w:r>
      <w:r>
        <w:t>, Scroggie</w:t>
      </w:r>
      <w:r w:rsidR="00460D80">
        <w:t>,</w:t>
      </w:r>
      <w:r>
        <w:t xml:space="preserve"> M</w:t>
      </w:r>
      <w:r w:rsidR="00460D80">
        <w:t>.</w:t>
      </w:r>
      <w:r>
        <w:t>P</w:t>
      </w:r>
      <w:r w:rsidR="00460D80">
        <w:t>.</w:t>
      </w:r>
      <w:r>
        <w:t>, Woolnough</w:t>
      </w:r>
      <w:r w:rsidR="00460D80">
        <w:t>,</w:t>
      </w:r>
      <w:r>
        <w:t xml:space="preserve"> A</w:t>
      </w:r>
      <w:r w:rsidR="00460D80">
        <w:t>.</w:t>
      </w:r>
      <w:r>
        <w:t>P</w:t>
      </w:r>
      <w:r w:rsidR="00460D80">
        <w:t>. and</w:t>
      </w:r>
      <w:r>
        <w:t xml:space="preserve"> Ramsey</w:t>
      </w:r>
      <w:r w:rsidR="00460D80">
        <w:t>,</w:t>
      </w:r>
      <w:r>
        <w:t xml:space="preserve"> D</w:t>
      </w:r>
      <w:r w:rsidR="00460D80">
        <w:t>.</w:t>
      </w:r>
      <w:r>
        <w:t>S</w:t>
      </w:r>
      <w:r w:rsidR="00460D80">
        <w:t>.</w:t>
      </w:r>
      <w:r>
        <w:t>L</w:t>
      </w:r>
      <w:r w:rsidR="00460D80">
        <w:t>.</w:t>
      </w:r>
      <w:r>
        <w:t xml:space="preserve"> (2019). Introduced deer and their potential role in disease transmission to livestock in Australia. </w:t>
      </w:r>
      <w:r>
        <w:rPr>
          <w:i/>
          <w:iCs/>
        </w:rPr>
        <w:t>Mammal Review</w:t>
      </w:r>
      <w:r>
        <w:t xml:space="preserve"> </w:t>
      </w:r>
      <w:r>
        <w:rPr>
          <w:b/>
          <w:bCs/>
        </w:rPr>
        <w:t>49</w:t>
      </w:r>
      <w:r>
        <w:t>, 60–77.</w:t>
      </w:r>
    </w:p>
    <w:p w14:paraId="736FC7E9" w14:textId="4C3B8E6C" w:rsidR="006C28A0" w:rsidRDefault="006C28A0" w:rsidP="006C28A0">
      <w:pPr>
        <w:pStyle w:val="Bibliography"/>
      </w:pPr>
      <w:r>
        <w:t>Cunningham</w:t>
      </w:r>
      <w:r w:rsidR="00460D80">
        <w:t>,</w:t>
      </w:r>
      <w:r>
        <w:t xml:space="preserve"> A</w:t>
      </w:r>
      <w:r w:rsidR="00460D80">
        <w:t>.</w:t>
      </w:r>
      <w:r>
        <w:t>A</w:t>
      </w:r>
      <w:r w:rsidR="00460D80">
        <w:t>.</w:t>
      </w:r>
      <w:r>
        <w:t>, Daszak</w:t>
      </w:r>
      <w:r w:rsidR="00460D80">
        <w:t>,</w:t>
      </w:r>
      <w:r>
        <w:t xml:space="preserve"> P</w:t>
      </w:r>
      <w:r w:rsidR="00460D80">
        <w:t>. and</w:t>
      </w:r>
      <w:r>
        <w:t xml:space="preserve"> Wood</w:t>
      </w:r>
      <w:r w:rsidR="00460D80">
        <w:t>,</w:t>
      </w:r>
      <w:r>
        <w:t xml:space="preserve"> J</w:t>
      </w:r>
      <w:r w:rsidR="00460D80">
        <w:t>.</w:t>
      </w:r>
      <w:r>
        <w:t>L</w:t>
      </w:r>
      <w:r w:rsidR="00460D80">
        <w:t>.</w:t>
      </w:r>
      <w:r>
        <w:t>N</w:t>
      </w:r>
      <w:r w:rsidR="00460D80">
        <w:t>.</w:t>
      </w:r>
      <w:r>
        <w:t xml:space="preserve"> (2017). One Health, emerging infectious diseases and wildlife: </w:t>
      </w:r>
      <w:r w:rsidR="00460D80">
        <w:t>T</w:t>
      </w:r>
      <w:r>
        <w:t xml:space="preserve">wo decades of progress? </w:t>
      </w:r>
      <w:r>
        <w:rPr>
          <w:i/>
          <w:iCs/>
        </w:rPr>
        <w:t>Philosophical Transactions of the Royal Society B: Biological Sciences</w:t>
      </w:r>
      <w:r>
        <w:t xml:space="preserve"> </w:t>
      </w:r>
      <w:r>
        <w:rPr>
          <w:b/>
          <w:bCs/>
        </w:rPr>
        <w:t>372</w:t>
      </w:r>
      <w:r>
        <w:t>, 20160167 doi:10.1098/rstb.2016.0167</w:t>
      </w:r>
    </w:p>
    <w:p w14:paraId="2255200B" w14:textId="08D80A16" w:rsidR="006C28A0" w:rsidRDefault="006C28A0" w:rsidP="006C28A0">
      <w:pPr>
        <w:pStyle w:val="Bibliography"/>
      </w:pPr>
      <w:r>
        <w:t xml:space="preserve">DAFF (2019). </w:t>
      </w:r>
      <w:r w:rsidRPr="00DA5824">
        <w:rPr>
          <w:i/>
          <w:iCs/>
        </w:rPr>
        <w:t>The national list of notifiable animal diseases. Australian Department of Agriculture, Fisheries and Forestry report</w:t>
      </w:r>
      <w:r>
        <w:t xml:space="preserve">. Available at: https://www.agriculture.gov.au/sites/default/files/documents/notifiable.pdf </w:t>
      </w:r>
      <w:r w:rsidR="00460D80">
        <w:t>(</w:t>
      </w:r>
      <w:r>
        <w:t>accessed 1 October 2024</w:t>
      </w:r>
      <w:r w:rsidR="00460D80">
        <w:t>).</w:t>
      </w:r>
    </w:p>
    <w:p w14:paraId="36BB1D23" w14:textId="6BF0892C" w:rsidR="006C28A0" w:rsidRDefault="006C28A0" w:rsidP="006C28A0">
      <w:pPr>
        <w:pStyle w:val="Bibliography"/>
      </w:pPr>
      <w:r>
        <w:t>Daszak</w:t>
      </w:r>
      <w:r w:rsidR="00460D80">
        <w:t>,</w:t>
      </w:r>
      <w:r>
        <w:t xml:space="preserve"> P</w:t>
      </w:r>
      <w:r w:rsidR="00460D80">
        <w:t>.</w:t>
      </w:r>
      <w:r>
        <w:t>, Cunningham</w:t>
      </w:r>
      <w:r w:rsidR="00460D80">
        <w:t>,</w:t>
      </w:r>
      <w:r>
        <w:t xml:space="preserve"> A</w:t>
      </w:r>
      <w:r w:rsidR="00460D80">
        <w:t>.</w:t>
      </w:r>
      <w:r>
        <w:t>A</w:t>
      </w:r>
      <w:r w:rsidR="00460D80">
        <w:t>. and</w:t>
      </w:r>
      <w:r>
        <w:t xml:space="preserve"> Hyatt</w:t>
      </w:r>
      <w:r w:rsidR="00460D80">
        <w:t>,</w:t>
      </w:r>
      <w:r>
        <w:t xml:space="preserve"> A</w:t>
      </w:r>
      <w:r w:rsidR="00460D80">
        <w:t>.</w:t>
      </w:r>
      <w:r>
        <w:t>D</w:t>
      </w:r>
      <w:r w:rsidR="00460D80">
        <w:t>.</w:t>
      </w:r>
      <w:r>
        <w:t xml:space="preserve"> (2000). Emerging </w:t>
      </w:r>
      <w:r w:rsidR="00460D80">
        <w:t>i</w:t>
      </w:r>
      <w:r>
        <w:t>nfectious diseases of wildlife</w:t>
      </w:r>
      <w:r w:rsidR="00460D80">
        <w:t xml:space="preserve"> – T</w:t>
      </w:r>
      <w:r>
        <w:t xml:space="preserve">hreats to biodiversity and human health. </w:t>
      </w:r>
      <w:r>
        <w:rPr>
          <w:i/>
          <w:iCs/>
        </w:rPr>
        <w:t>Science</w:t>
      </w:r>
      <w:r>
        <w:t xml:space="preserve"> </w:t>
      </w:r>
      <w:r>
        <w:rPr>
          <w:b/>
          <w:bCs/>
        </w:rPr>
        <w:t>287</w:t>
      </w:r>
      <w:r>
        <w:t>, 443–449.</w:t>
      </w:r>
    </w:p>
    <w:p w14:paraId="4359AB12" w14:textId="178D33C3" w:rsidR="006C28A0" w:rsidRDefault="006C28A0" w:rsidP="006C28A0">
      <w:pPr>
        <w:pStyle w:val="Bibliography"/>
      </w:pPr>
      <w:r>
        <w:t xml:space="preserve">DAW (2016). </w:t>
      </w:r>
      <w:r w:rsidRPr="00DA5824">
        <w:rPr>
          <w:i/>
          <w:iCs/>
        </w:rPr>
        <w:t xml:space="preserve">Biosecurity import risk analysis guidelines 2016: </w:t>
      </w:r>
      <w:r w:rsidR="00460D80" w:rsidRPr="00DA5824">
        <w:rPr>
          <w:i/>
          <w:iCs/>
        </w:rPr>
        <w:t>M</w:t>
      </w:r>
      <w:r w:rsidRPr="00DA5824">
        <w:rPr>
          <w:i/>
          <w:iCs/>
        </w:rPr>
        <w:t>anaging biosecurity risks for imports into Australia. Australian Department of Agriculture and Water Resources report</w:t>
      </w:r>
      <w:r>
        <w:t xml:space="preserve">. Available at: https://www.agriculture.gov.au/biosecurity-trade/policy/risk-analysis/guidelines </w:t>
      </w:r>
      <w:r w:rsidR="00460D80">
        <w:t>(</w:t>
      </w:r>
      <w:r>
        <w:t>accessed 20 January 2024</w:t>
      </w:r>
      <w:r w:rsidR="00460D80">
        <w:t>).</w:t>
      </w:r>
    </w:p>
    <w:p w14:paraId="6204A5D5" w14:textId="7D7229FD" w:rsidR="006C28A0" w:rsidRDefault="006C28A0" w:rsidP="006C28A0">
      <w:pPr>
        <w:pStyle w:val="Bibliography"/>
      </w:pPr>
      <w:r>
        <w:t>DAWE (2020).</w:t>
      </w:r>
      <w:r w:rsidRPr="00DA5824">
        <w:rPr>
          <w:i/>
          <w:iCs/>
        </w:rPr>
        <w:t xml:space="preserve"> Import risk review for psittacine birds from all countries – draft review.</w:t>
      </w:r>
      <w:r>
        <w:t xml:space="preserve"> Australian Department of Agriculture, Water and the Environment report. Available at: https://www.agriculture.gov.au/sites/default/files/documents/draft-psittacine-review-for-public-comment.pdf </w:t>
      </w:r>
      <w:r w:rsidR="00A16085">
        <w:t>(</w:t>
      </w:r>
      <w:r>
        <w:t>accessed 18 January 2024</w:t>
      </w:r>
      <w:r w:rsidR="00A16085">
        <w:t>).</w:t>
      </w:r>
    </w:p>
    <w:p w14:paraId="675AC37A" w14:textId="68E8A0A4" w:rsidR="006C28A0" w:rsidRDefault="006C28A0" w:rsidP="006C28A0">
      <w:pPr>
        <w:pStyle w:val="Bibliography"/>
      </w:pPr>
      <w:r>
        <w:t xml:space="preserve">DCCEEW (2024). </w:t>
      </w:r>
      <w:r w:rsidRPr="00DA5824">
        <w:rPr>
          <w:i/>
          <w:iCs/>
        </w:rPr>
        <w:t xml:space="preserve">Key threatening processes under the EPBC Act. Australian Department of Climate Change, Energy, the Environment and Water report. </w:t>
      </w:r>
      <w:r>
        <w:t xml:space="preserve">Available at: http://www.environment.gov.au/cgi-bin/sprat/public/publicgetkeythreats.pl </w:t>
      </w:r>
      <w:r w:rsidR="00A16085">
        <w:t>(</w:t>
      </w:r>
      <w:r>
        <w:t>accessed 1 November 2024</w:t>
      </w:r>
      <w:r w:rsidR="00A16085">
        <w:t>).</w:t>
      </w:r>
    </w:p>
    <w:p w14:paraId="200A1D21" w14:textId="77777777" w:rsidR="006C28A0" w:rsidRDefault="006C28A0" w:rsidP="006C28A0">
      <w:pPr>
        <w:pStyle w:val="Bibliography"/>
      </w:pPr>
      <w:r>
        <w:t xml:space="preserve">DEECA (2023a). </w:t>
      </w:r>
      <w:r w:rsidRPr="00DA5824">
        <w:rPr>
          <w:i/>
          <w:iCs/>
        </w:rPr>
        <w:t>Flora and Fauna Guarantee Act 1988 Threatened List, June 2023.</w:t>
      </w:r>
      <w:r>
        <w:t xml:space="preserve"> Department of Energy, Environment and Climate Action, Victoria, Australia.</w:t>
      </w:r>
    </w:p>
    <w:p w14:paraId="3F0C2D7E" w14:textId="3F67B25B" w:rsidR="006C28A0" w:rsidRDefault="006C28A0" w:rsidP="006C28A0">
      <w:pPr>
        <w:pStyle w:val="Bibliography"/>
      </w:pPr>
      <w:r>
        <w:t xml:space="preserve">DEECA (2023b). </w:t>
      </w:r>
      <w:r w:rsidRPr="00DA5824">
        <w:rPr>
          <w:i/>
          <w:iCs/>
        </w:rPr>
        <w:t xml:space="preserve">The Victorian Government State Emergency Animal Disease Response Plan </w:t>
      </w:r>
      <w:r w:rsidR="00A16085" w:rsidRPr="00DA5824">
        <w:rPr>
          <w:i/>
          <w:iCs/>
        </w:rPr>
        <w:t>–</w:t>
      </w:r>
      <w:r w:rsidRPr="00DA5824">
        <w:rPr>
          <w:i/>
          <w:iCs/>
        </w:rPr>
        <w:t xml:space="preserve"> April 2023. </w:t>
      </w:r>
      <w:r>
        <w:t>Department of Energy, Environment and Climate Action, Victoria, Australia. Available at: https://agriculture.vic.gov.au/__data/assets/pdf_file/0017/1019222/2024_Victorian_EAD_response_plan.pdf</w:t>
      </w:r>
    </w:p>
    <w:p w14:paraId="5139FE95" w14:textId="77777777" w:rsidR="006C28A0" w:rsidRDefault="006C28A0" w:rsidP="006C28A0">
      <w:pPr>
        <w:pStyle w:val="Bibliography"/>
      </w:pPr>
      <w:r>
        <w:t xml:space="preserve">DELWP (2020). </w:t>
      </w:r>
      <w:r w:rsidRPr="00DA5824">
        <w:rPr>
          <w:i/>
          <w:iCs/>
        </w:rPr>
        <w:t>Threatened species and communities risk assessment. Victoria’s regional forest agreements</w:t>
      </w:r>
      <w:r>
        <w:t>. Department of Environment, Land, Water and Planning, Victoria, Australia.</w:t>
      </w:r>
    </w:p>
    <w:p w14:paraId="38E882BB" w14:textId="66D60AA7" w:rsidR="006C28A0" w:rsidRDefault="006C28A0" w:rsidP="006C28A0">
      <w:pPr>
        <w:pStyle w:val="Bibliography"/>
      </w:pPr>
      <w:r>
        <w:t>Dexter</w:t>
      </w:r>
      <w:r w:rsidR="00A16085">
        <w:t>,</w:t>
      </w:r>
      <w:r>
        <w:t xml:space="preserve"> N</w:t>
      </w:r>
      <w:r w:rsidR="00A16085">
        <w:t>.</w:t>
      </w:r>
      <w:r>
        <w:t xml:space="preserve"> (2003). Stochastic models of </w:t>
      </w:r>
      <w:r w:rsidR="00E07B96">
        <w:t>Foot and Mouth Disease</w:t>
      </w:r>
      <w:r>
        <w:t xml:space="preserve"> in </w:t>
      </w:r>
      <w:r w:rsidR="00A16085">
        <w:t>f</w:t>
      </w:r>
      <w:r w:rsidR="00E548AE">
        <w:t xml:space="preserve">eral </w:t>
      </w:r>
      <w:r w:rsidR="00A16085">
        <w:t>p</w:t>
      </w:r>
      <w:r w:rsidR="00E548AE">
        <w:t>ig</w:t>
      </w:r>
      <w:r>
        <w:t>s in the Australian semi</w:t>
      </w:r>
      <w:r>
        <w:rPr>
          <w:rFonts w:ascii="Cambria Math" w:hAnsi="Cambria Math" w:cs="Cambria Math"/>
        </w:rPr>
        <w:t>‐</w:t>
      </w:r>
      <w:r>
        <w:t xml:space="preserve">arid rangelands. </w:t>
      </w:r>
      <w:r>
        <w:rPr>
          <w:i/>
          <w:iCs/>
        </w:rPr>
        <w:t>Journal of Applied Ecology</w:t>
      </w:r>
      <w:r>
        <w:t xml:space="preserve"> </w:t>
      </w:r>
      <w:r>
        <w:rPr>
          <w:b/>
          <w:bCs/>
        </w:rPr>
        <w:t>40</w:t>
      </w:r>
      <w:r>
        <w:t>, 293–306 doi:10.1046/j.1365-2664.2003.00792.x</w:t>
      </w:r>
    </w:p>
    <w:p w14:paraId="4AEC094A" w14:textId="733F2B96" w:rsidR="006C28A0" w:rsidRDefault="006C28A0" w:rsidP="006C28A0">
      <w:pPr>
        <w:pStyle w:val="Bibliography"/>
      </w:pPr>
      <w:r>
        <w:t>Dwyer</w:t>
      </w:r>
      <w:r w:rsidR="00A16085">
        <w:t>,</w:t>
      </w:r>
      <w:r>
        <w:t xml:space="preserve"> P</w:t>
      </w:r>
      <w:r w:rsidR="00A16085">
        <w:t>.</w:t>
      </w:r>
      <w:r>
        <w:t xml:space="preserve"> (1964). Seasonal changes in activity and weight of </w:t>
      </w:r>
      <w:r w:rsidRPr="00DA5824">
        <w:rPr>
          <w:i/>
          <w:iCs/>
        </w:rPr>
        <w:t xml:space="preserve">Minipterus schreibersi blepotis </w:t>
      </w:r>
      <w:r>
        <w:t xml:space="preserve">(Chiroptera) in north-eastern NSW. </w:t>
      </w:r>
      <w:r>
        <w:rPr>
          <w:i/>
          <w:iCs/>
        </w:rPr>
        <w:t>Australian Journal of Zoology</w:t>
      </w:r>
      <w:r>
        <w:t xml:space="preserve"> </w:t>
      </w:r>
      <w:r>
        <w:rPr>
          <w:b/>
          <w:bCs/>
        </w:rPr>
        <w:t>12</w:t>
      </w:r>
      <w:r>
        <w:t>, 52–69.</w:t>
      </w:r>
    </w:p>
    <w:p w14:paraId="5C2D2F0D" w14:textId="77777777" w:rsidR="006C28A0" w:rsidRDefault="006C28A0" w:rsidP="006C28A0">
      <w:pPr>
        <w:pStyle w:val="Bibliography"/>
      </w:pPr>
      <w:r>
        <w:t xml:space="preserve">FAO (2024). </w:t>
      </w:r>
      <w:r w:rsidRPr="00DA5824">
        <w:rPr>
          <w:i/>
          <w:iCs/>
        </w:rPr>
        <w:t xml:space="preserve">Global Avian Influenza Viruses with Zoonotic Potential situation update. </w:t>
      </w:r>
      <w:r>
        <w:t>Available at: https://www.fao.org/animal-health/situation-updates/global-aiv-with-zoonotic-potential/bird-species-affected-by-h5nx-hpai/en</w:t>
      </w:r>
    </w:p>
    <w:p w14:paraId="4C72F763" w14:textId="2D315E3B" w:rsidR="006C28A0" w:rsidRDefault="006C28A0" w:rsidP="006C28A0">
      <w:pPr>
        <w:pStyle w:val="Bibliography"/>
      </w:pPr>
      <w:r>
        <w:t>Foley</w:t>
      </w:r>
      <w:r w:rsidR="00A16085">
        <w:t>,</w:t>
      </w:r>
      <w:r>
        <w:t xml:space="preserve"> J</w:t>
      </w:r>
      <w:r w:rsidR="00A16085">
        <w:t>.</w:t>
      </w:r>
      <w:r>
        <w:t>, Clifford</w:t>
      </w:r>
      <w:r w:rsidR="00A16085">
        <w:t>,</w:t>
      </w:r>
      <w:r>
        <w:t xml:space="preserve"> D</w:t>
      </w:r>
      <w:r w:rsidR="00A16085">
        <w:t>.</w:t>
      </w:r>
      <w:r>
        <w:t>, Castle</w:t>
      </w:r>
      <w:r w:rsidR="00A16085">
        <w:t>,</w:t>
      </w:r>
      <w:r>
        <w:t xml:space="preserve"> K</w:t>
      </w:r>
      <w:r w:rsidR="00A16085">
        <w:t>.</w:t>
      </w:r>
      <w:r>
        <w:t>, Cryan</w:t>
      </w:r>
      <w:r w:rsidR="00A16085">
        <w:t>,</w:t>
      </w:r>
      <w:r>
        <w:t xml:space="preserve"> P</w:t>
      </w:r>
      <w:r w:rsidR="00A16085">
        <w:t>. and</w:t>
      </w:r>
      <w:r>
        <w:t xml:space="preserve"> Ostfeld</w:t>
      </w:r>
      <w:r w:rsidR="00A16085">
        <w:t>,</w:t>
      </w:r>
      <w:r>
        <w:t xml:space="preserve"> R</w:t>
      </w:r>
      <w:r w:rsidR="00A16085">
        <w:t>.</w:t>
      </w:r>
      <w:r>
        <w:t>S</w:t>
      </w:r>
      <w:r w:rsidR="00A16085">
        <w:t>.</w:t>
      </w:r>
      <w:r>
        <w:t xml:space="preserve"> (2011). Investigating an</w:t>
      </w:r>
      <w:r w:rsidR="001017E9">
        <w:t>d managing the rapid emergence of</w:t>
      </w:r>
      <w:r>
        <w:t xml:space="preserve"> </w:t>
      </w:r>
      <w:r w:rsidR="00E07B96">
        <w:t>White Nose Syndrome</w:t>
      </w:r>
      <w:r>
        <w:t xml:space="preserve">, a </w:t>
      </w:r>
      <w:r w:rsidR="001017E9">
        <w:t>novel, fatal, infectious disease of hibernating ba</w:t>
      </w:r>
      <w:r>
        <w:t xml:space="preserve">ts: </w:t>
      </w:r>
      <w:r w:rsidR="00E07B96">
        <w:t>White Nose Syndrome</w:t>
      </w:r>
      <w:r>
        <w:t xml:space="preserve"> in </w:t>
      </w:r>
      <w:r w:rsidR="001017E9">
        <w:t>b</w:t>
      </w:r>
      <w:r>
        <w:t xml:space="preserve">ats. </w:t>
      </w:r>
      <w:r>
        <w:rPr>
          <w:i/>
          <w:iCs/>
        </w:rPr>
        <w:t>Conservation Biology</w:t>
      </w:r>
      <w:r w:rsidR="001017E9">
        <w:t xml:space="preserve"> </w:t>
      </w:r>
      <w:r w:rsidR="001017E9" w:rsidRPr="00DA5824">
        <w:rPr>
          <w:b/>
          <w:bCs/>
        </w:rPr>
        <w:t xml:space="preserve">25 </w:t>
      </w:r>
      <w:r w:rsidR="001017E9">
        <w:t>(2), 223–231</w:t>
      </w:r>
      <w:r>
        <w:t xml:space="preserve"> doi:10.1111/j.1523-1739.2010.01638.x</w:t>
      </w:r>
    </w:p>
    <w:p w14:paraId="71897FDB" w14:textId="59F8C729" w:rsidR="006C28A0" w:rsidRDefault="006C28A0" w:rsidP="006C28A0">
      <w:pPr>
        <w:pStyle w:val="Bibliography"/>
      </w:pPr>
      <w:r>
        <w:t>Gamarra-Toledo</w:t>
      </w:r>
      <w:r w:rsidR="001017E9">
        <w:t>,</w:t>
      </w:r>
      <w:r>
        <w:t xml:space="preserve"> V</w:t>
      </w:r>
      <w:r w:rsidR="001017E9">
        <w:t>.</w:t>
      </w:r>
      <w:r>
        <w:t>, Plaza</w:t>
      </w:r>
      <w:r w:rsidR="001017E9">
        <w:t>,</w:t>
      </w:r>
      <w:r>
        <w:t xml:space="preserve"> P</w:t>
      </w:r>
      <w:r w:rsidR="001017E9">
        <w:t>.</w:t>
      </w:r>
      <w:r>
        <w:t>I</w:t>
      </w:r>
      <w:r w:rsidR="001017E9">
        <w:t>.</w:t>
      </w:r>
      <w:r>
        <w:t>, Angulo</w:t>
      </w:r>
      <w:r w:rsidR="001017E9">
        <w:t>,</w:t>
      </w:r>
      <w:r>
        <w:t xml:space="preserve"> F</w:t>
      </w:r>
      <w:r w:rsidR="001017E9">
        <w:t>.</w:t>
      </w:r>
      <w:r>
        <w:t>, Gutiérrez</w:t>
      </w:r>
      <w:r w:rsidR="001017E9">
        <w:t>,</w:t>
      </w:r>
      <w:r>
        <w:t xml:space="preserve"> R</w:t>
      </w:r>
      <w:r w:rsidR="001017E9">
        <w:t>.</w:t>
      </w:r>
      <w:r>
        <w:t>, García-Tello</w:t>
      </w:r>
      <w:r w:rsidR="001017E9">
        <w:t>,</w:t>
      </w:r>
      <w:r>
        <w:t xml:space="preserve"> O</w:t>
      </w:r>
      <w:r w:rsidR="001017E9">
        <w:t>.</w:t>
      </w:r>
      <w:r>
        <w:t>, Saravia-Guevara</w:t>
      </w:r>
      <w:r w:rsidR="001017E9">
        <w:t>,</w:t>
      </w:r>
      <w:r>
        <w:t xml:space="preserve"> P</w:t>
      </w:r>
      <w:r w:rsidR="001017E9">
        <w:t>.</w:t>
      </w:r>
      <w:r>
        <w:t>, Mejía-Vargas</w:t>
      </w:r>
      <w:r w:rsidR="001017E9">
        <w:t>,</w:t>
      </w:r>
      <w:r>
        <w:t xml:space="preserve"> F</w:t>
      </w:r>
      <w:r w:rsidR="001017E9">
        <w:t>.</w:t>
      </w:r>
      <w:r>
        <w:t>, Epiquién-Rivera</w:t>
      </w:r>
      <w:r w:rsidR="001017E9">
        <w:t>,</w:t>
      </w:r>
      <w:r>
        <w:t xml:space="preserve"> M</w:t>
      </w:r>
      <w:r w:rsidR="001017E9">
        <w:t>.</w:t>
      </w:r>
      <w:r>
        <w:t>, Quiroz-Jiménez</w:t>
      </w:r>
      <w:r w:rsidR="001017E9">
        <w:t>,</w:t>
      </w:r>
      <w:r>
        <w:t xml:space="preserve"> G</w:t>
      </w:r>
      <w:r w:rsidR="001017E9">
        <w:t>.</w:t>
      </w:r>
      <w:r>
        <w:t>, Martinez</w:t>
      </w:r>
      <w:r w:rsidR="001017E9">
        <w:t>,</w:t>
      </w:r>
      <w:r>
        <w:t xml:space="preserve"> P</w:t>
      </w:r>
      <w:r w:rsidR="001017E9">
        <w:t>.</w:t>
      </w:r>
      <w:r>
        <w:t>, Huamán-Mendoza</w:t>
      </w:r>
      <w:r w:rsidR="001017E9">
        <w:t>,</w:t>
      </w:r>
      <w:r>
        <w:t xml:space="preserve"> D</w:t>
      </w:r>
      <w:r w:rsidR="001017E9">
        <w:t>.</w:t>
      </w:r>
      <w:r>
        <w:t>, Inga-Díaz</w:t>
      </w:r>
      <w:r w:rsidR="001017E9">
        <w:t>,</w:t>
      </w:r>
      <w:r>
        <w:t xml:space="preserve"> G</w:t>
      </w:r>
      <w:r w:rsidR="001017E9">
        <w:t>.</w:t>
      </w:r>
      <w:r>
        <w:t>, La Madrid</w:t>
      </w:r>
      <w:r w:rsidR="001017E9">
        <w:t>,</w:t>
      </w:r>
      <w:r>
        <w:t xml:space="preserve"> L</w:t>
      </w:r>
      <w:r w:rsidR="001017E9">
        <w:t>.</w:t>
      </w:r>
      <w:r>
        <w:t>E</w:t>
      </w:r>
      <w:r w:rsidR="001017E9">
        <w:t>.</w:t>
      </w:r>
      <w:r>
        <w:t>, Luyo</w:t>
      </w:r>
      <w:r w:rsidR="001017E9">
        <w:t>,</w:t>
      </w:r>
      <w:r>
        <w:t xml:space="preserve"> P</w:t>
      </w:r>
      <w:r w:rsidR="001017E9">
        <w:t>.</w:t>
      </w:r>
      <w:r>
        <w:t>, Ventura</w:t>
      </w:r>
      <w:r w:rsidR="001017E9">
        <w:t>,</w:t>
      </w:r>
      <w:r>
        <w:t xml:space="preserve"> S</w:t>
      </w:r>
      <w:r w:rsidR="001017E9">
        <w:t>.</w:t>
      </w:r>
      <w:r>
        <w:t>, Lambertucci</w:t>
      </w:r>
      <w:r w:rsidR="001017E9">
        <w:t>,</w:t>
      </w:r>
      <w:r>
        <w:t xml:space="preserve"> S</w:t>
      </w:r>
      <w:r w:rsidR="001017E9">
        <w:t>.</w:t>
      </w:r>
      <w:r>
        <w:t>A</w:t>
      </w:r>
      <w:r w:rsidR="001017E9">
        <w:t>.</w:t>
      </w:r>
      <w:r>
        <w:t xml:space="preserve"> (2023). Highly Pathogenic Avian Influenza (HPAI) strongly impacts wild birds in Peru. </w:t>
      </w:r>
      <w:r>
        <w:rPr>
          <w:i/>
          <w:iCs/>
        </w:rPr>
        <w:t>Biological Conservation</w:t>
      </w:r>
      <w:r>
        <w:t xml:space="preserve"> </w:t>
      </w:r>
      <w:r>
        <w:rPr>
          <w:b/>
          <w:bCs/>
        </w:rPr>
        <w:t>286</w:t>
      </w:r>
      <w:r>
        <w:t>, 110272 doi:10.1016/j.biocon.2023.110272</w:t>
      </w:r>
    </w:p>
    <w:p w14:paraId="42FAEE2B" w14:textId="37FD65E8" w:rsidR="006C28A0" w:rsidRDefault="006C28A0" w:rsidP="006C28A0">
      <w:pPr>
        <w:pStyle w:val="Bibliography"/>
      </w:pPr>
      <w:r>
        <w:t>Hamer</w:t>
      </w:r>
      <w:r w:rsidR="001017E9">
        <w:t>,</w:t>
      </w:r>
      <w:r>
        <w:t xml:space="preserve"> A</w:t>
      </w:r>
      <w:r w:rsidR="001017E9">
        <w:t>.</w:t>
      </w:r>
      <w:r>
        <w:t>, Lane</w:t>
      </w:r>
      <w:r w:rsidR="001017E9">
        <w:t>,</w:t>
      </w:r>
      <w:r>
        <w:t xml:space="preserve"> S</w:t>
      </w:r>
      <w:r w:rsidR="001017E9">
        <w:t>. and</w:t>
      </w:r>
      <w:r>
        <w:t xml:space="preserve"> Mahony</w:t>
      </w:r>
      <w:r w:rsidR="001017E9">
        <w:t>,</w:t>
      </w:r>
      <w:r>
        <w:t xml:space="preserve"> M</w:t>
      </w:r>
      <w:r w:rsidR="001017E9">
        <w:t>.</w:t>
      </w:r>
      <w:r>
        <w:t xml:space="preserve"> (2010). Using probabilistic models to investigate the disappearance of a widespread frog-species complex in high-altitude regions of south-eastern Australia. </w:t>
      </w:r>
      <w:r>
        <w:rPr>
          <w:i/>
          <w:iCs/>
        </w:rPr>
        <w:t>Animal Conservation</w:t>
      </w:r>
      <w:r>
        <w:t xml:space="preserve"> </w:t>
      </w:r>
      <w:r>
        <w:rPr>
          <w:b/>
          <w:bCs/>
        </w:rPr>
        <w:t>13</w:t>
      </w:r>
      <w:r>
        <w:t>, 275–285.</w:t>
      </w:r>
    </w:p>
    <w:p w14:paraId="2F8FB9F8" w14:textId="13AE781C" w:rsidR="006C28A0" w:rsidRDefault="006C28A0" w:rsidP="006C28A0">
      <w:pPr>
        <w:pStyle w:val="Bibliography"/>
      </w:pPr>
      <w:r>
        <w:t>van Harten</w:t>
      </w:r>
      <w:r w:rsidR="001017E9">
        <w:t>,</w:t>
      </w:r>
      <w:r>
        <w:t xml:space="preserve"> E</w:t>
      </w:r>
      <w:r w:rsidR="001017E9">
        <w:t>.</w:t>
      </w:r>
      <w:r>
        <w:t xml:space="preserve"> (2020). </w:t>
      </w:r>
      <w:r w:rsidRPr="00DA5824">
        <w:rPr>
          <w:i/>
          <w:iCs/>
        </w:rPr>
        <w:t xml:space="preserve">Population dynamics of the critically endangered, southern bent-winged bat </w:t>
      </w:r>
      <w:r w:rsidRPr="001017E9">
        <w:t>Miniopterus orianae bassanii.</w:t>
      </w:r>
      <w:r>
        <w:t xml:space="preserve"> PhD Thesis, La Trobe University</w:t>
      </w:r>
      <w:r w:rsidR="001017E9">
        <w:t>, Melbourne, Victoria</w:t>
      </w:r>
      <w:r>
        <w:t>.</w:t>
      </w:r>
    </w:p>
    <w:p w14:paraId="37DE2A79" w14:textId="71D2C45F" w:rsidR="006C28A0" w:rsidRDefault="006C28A0" w:rsidP="006C28A0">
      <w:pPr>
        <w:pStyle w:val="Bibliography"/>
      </w:pPr>
      <w:r>
        <w:t>van Harten</w:t>
      </w:r>
      <w:r w:rsidR="001017E9">
        <w:t>,</w:t>
      </w:r>
      <w:r>
        <w:t xml:space="preserve"> E</w:t>
      </w:r>
      <w:r w:rsidR="001017E9">
        <w:t>.</w:t>
      </w:r>
      <w:r>
        <w:t>, Lawrence</w:t>
      </w:r>
      <w:r w:rsidR="001017E9">
        <w:t>,</w:t>
      </w:r>
      <w:r>
        <w:t xml:space="preserve"> R</w:t>
      </w:r>
      <w:r w:rsidR="001017E9">
        <w:t>.</w:t>
      </w:r>
      <w:r>
        <w:t>, Lumsden</w:t>
      </w:r>
      <w:r w:rsidR="001017E9">
        <w:t>,</w:t>
      </w:r>
      <w:r>
        <w:t xml:space="preserve"> L</w:t>
      </w:r>
      <w:r w:rsidR="001017E9">
        <w:t>.</w:t>
      </w:r>
      <w:r>
        <w:t>F</w:t>
      </w:r>
      <w:r w:rsidR="001017E9">
        <w:t>.</w:t>
      </w:r>
      <w:r>
        <w:t>, Reardon</w:t>
      </w:r>
      <w:r w:rsidR="001017E9">
        <w:t>,</w:t>
      </w:r>
      <w:r>
        <w:t xml:space="preserve"> T</w:t>
      </w:r>
      <w:r w:rsidR="001017E9">
        <w:t>.</w:t>
      </w:r>
      <w:r>
        <w:t>, Bennett</w:t>
      </w:r>
      <w:r w:rsidR="001017E9">
        <w:t>,</w:t>
      </w:r>
      <w:r>
        <w:t xml:space="preserve"> A</w:t>
      </w:r>
      <w:r w:rsidR="001017E9">
        <w:t>.</w:t>
      </w:r>
      <w:r>
        <w:t>F</w:t>
      </w:r>
      <w:r w:rsidR="001017E9">
        <w:t>. and</w:t>
      </w:r>
      <w:r>
        <w:t xml:space="preserve"> Prowse</w:t>
      </w:r>
      <w:r w:rsidR="001017E9">
        <w:t>,</w:t>
      </w:r>
      <w:r>
        <w:t xml:space="preserve"> T</w:t>
      </w:r>
      <w:r w:rsidR="001017E9">
        <w:t>.</w:t>
      </w:r>
      <w:r>
        <w:t>A</w:t>
      </w:r>
      <w:r w:rsidR="001017E9">
        <w:t>.</w:t>
      </w:r>
      <w:r>
        <w:t>A</w:t>
      </w:r>
      <w:r w:rsidR="001017E9">
        <w:t>.</w:t>
      </w:r>
      <w:r>
        <w:t xml:space="preserve"> (2022a). Seasonal population dynamics and movement patterns of a critically endangered, cave-dwelling bat, Ed S Parsons. </w:t>
      </w:r>
      <w:r>
        <w:rPr>
          <w:i/>
          <w:iCs/>
        </w:rPr>
        <w:t>Wildlife Research</w:t>
      </w:r>
      <w:r>
        <w:t xml:space="preserve"> </w:t>
      </w:r>
      <w:r>
        <w:rPr>
          <w:b/>
          <w:bCs/>
        </w:rPr>
        <w:t>49</w:t>
      </w:r>
      <w:r>
        <w:t>, 646–658 doi:10.1071/WR21088</w:t>
      </w:r>
    </w:p>
    <w:p w14:paraId="61103374" w14:textId="308477ED" w:rsidR="006C28A0" w:rsidRDefault="006C28A0" w:rsidP="006C28A0">
      <w:pPr>
        <w:pStyle w:val="Bibliography"/>
      </w:pPr>
      <w:r>
        <w:t>van Harten</w:t>
      </w:r>
      <w:r w:rsidR="001017E9">
        <w:t>,</w:t>
      </w:r>
      <w:r>
        <w:t xml:space="preserve"> E</w:t>
      </w:r>
      <w:r w:rsidR="001017E9">
        <w:t>.</w:t>
      </w:r>
      <w:r>
        <w:t>, Lawrence</w:t>
      </w:r>
      <w:r w:rsidR="001017E9">
        <w:t>,</w:t>
      </w:r>
      <w:r>
        <w:t xml:space="preserve"> R</w:t>
      </w:r>
      <w:r w:rsidR="001017E9">
        <w:t>.</w:t>
      </w:r>
      <w:r>
        <w:t>, Lumsden</w:t>
      </w:r>
      <w:r w:rsidR="001017E9">
        <w:t>,</w:t>
      </w:r>
      <w:r>
        <w:t xml:space="preserve"> L</w:t>
      </w:r>
      <w:r w:rsidR="001017E9">
        <w:t>.</w:t>
      </w:r>
      <w:r>
        <w:t>F</w:t>
      </w:r>
      <w:r w:rsidR="001017E9">
        <w:t>.</w:t>
      </w:r>
      <w:r>
        <w:t>, Reardon</w:t>
      </w:r>
      <w:r w:rsidR="001017E9">
        <w:t>,</w:t>
      </w:r>
      <w:r>
        <w:t xml:space="preserve"> T</w:t>
      </w:r>
      <w:r w:rsidR="001017E9">
        <w:t>. and</w:t>
      </w:r>
      <w:r>
        <w:t xml:space="preserve"> Prowse</w:t>
      </w:r>
      <w:r w:rsidR="001017E9">
        <w:t>,</w:t>
      </w:r>
      <w:r>
        <w:t xml:space="preserve"> T</w:t>
      </w:r>
      <w:r w:rsidR="001017E9">
        <w:t>.</w:t>
      </w:r>
      <w:r>
        <w:t>A</w:t>
      </w:r>
      <w:r w:rsidR="001017E9">
        <w:t>.</w:t>
      </w:r>
      <w:r>
        <w:t>A</w:t>
      </w:r>
      <w:r w:rsidR="001017E9">
        <w:t>.</w:t>
      </w:r>
      <w:r>
        <w:t xml:space="preserve"> (2022b). Novel passive detection approach reveals low breeding season survival and apparent lactation cost in a critically endangered cave bat. </w:t>
      </w:r>
      <w:r>
        <w:rPr>
          <w:i/>
          <w:iCs/>
        </w:rPr>
        <w:t>Scientific Reports</w:t>
      </w:r>
      <w:r>
        <w:t xml:space="preserve"> </w:t>
      </w:r>
      <w:r>
        <w:rPr>
          <w:b/>
          <w:bCs/>
        </w:rPr>
        <w:t>12</w:t>
      </w:r>
      <w:r>
        <w:t>, 7390 doi:10.1038/s41598-022-11404-4</w:t>
      </w:r>
    </w:p>
    <w:p w14:paraId="4592DEA1" w14:textId="549E35AE" w:rsidR="006C28A0" w:rsidRDefault="006C28A0" w:rsidP="006C28A0">
      <w:pPr>
        <w:pStyle w:val="Bibliography"/>
      </w:pPr>
      <w:r>
        <w:t>Hartley</w:t>
      </w:r>
      <w:r w:rsidR="001017E9">
        <w:t>,</w:t>
      </w:r>
      <w:r>
        <w:t xml:space="preserve"> M</w:t>
      </w:r>
      <w:r w:rsidR="001017E9">
        <w:t>.</w:t>
      </w:r>
      <w:r>
        <w:t>, Voller</w:t>
      </w:r>
      <w:r w:rsidR="001017E9">
        <w:t>,</w:t>
      </w:r>
      <w:r>
        <w:t xml:space="preserve"> F</w:t>
      </w:r>
      <w:r w:rsidR="001017E9">
        <w:t>.</w:t>
      </w:r>
      <w:r>
        <w:t>, Murray</w:t>
      </w:r>
      <w:r w:rsidR="001017E9">
        <w:t>,</w:t>
      </w:r>
      <w:r>
        <w:t xml:space="preserve"> T</w:t>
      </w:r>
      <w:r w:rsidR="001017E9">
        <w:t>. and</w:t>
      </w:r>
      <w:r>
        <w:t xml:space="preserve"> Roberts</w:t>
      </w:r>
      <w:r w:rsidR="001017E9">
        <w:t>,</w:t>
      </w:r>
      <w:r>
        <w:t xml:space="preserve"> H</w:t>
      </w:r>
      <w:r w:rsidR="001017E9">
        <w:t>.</w:t>
      </w:r>
      <w:r>
        <w:t xml:space="preserve"> (2013). Qualitative veterinary risk assessment of the role of wild deer in the likelihood of incursion and the impact on effective disease control of selected exotic notifiable diseases in England. </w:t>
      </w:r>
      <w:r>
        <w:rPr>
          <w:i/>
          <w:iCs/>
        </w:rPr>
        <w:t>European Journal of Wildlife Research</w:t>
      </w:r>
      <w:r>
        <w:t xml:space="preserve"> </w:t>
      </w:r>
      <w:r>
        <w:rPr>
          <w:b/>
          <w:bCs/>
        </w:rPr>
        <w:t>59</w:t>
      </w:r>
      <w:r>
        <w:t>, 257–270 doi:10.1007/s10344-012-0674-7</w:t>
      </w:r>
    </w:p>
    <w:p w14:paraId="2E739923" w14:textId="7F8EB740" w:rsidR="006C28A0" w:rsidRDefault="006C28A0" w:rsidP="006C28A0">
      <w:pPr>
        <w:pStyle w:val="Bibliography"/>
      </w:pPr>
      <w:r>
        <w:t>Heard</w:t>
      </w:r>
      <w:r w:rsidR="00711E15">
        <w:t>,</w:t>
      </w:r>
      <w:r>
        <w:t xml:space="preserve"> G</w:t>
      </w:r>
      <w:r w:rsidR="00711E15">
        <w:t>.</w:t>
      </w:r>
      <w:r>
        <w:t>, Scroggie</w:t>
      </w:r>
      <w:r w:rsidR="00711E15">
        <w:t>,</w:t>
      </w:r>
      <w:r>
        <w:t xml:space="preserve"> M</w:t>
      </w:r>
      <w:r w:rsidR="00711E15">
        <w:t>.</w:t>
      </w:r>
      <w:r>
        <w:t>P</w:t>
      </w:r>
      <w:r w:rsidR="00711E15">
        <w:t>.</w:t>
      </w:r>
      <w:r>
        <w:t>, Hollanders</w:t>
      </w:r>
      <w:r w:rsidR="00711E15">
        <w:t>,</w:t>
      </w:r>
      <w:r>
        <w:t xml:space="preserve"> M</w:t>
      </w:r>
      <w:r w:rsidR="00711E15">
        <w:t>. and</w:t>
      </w:r>
      <w:r>
        <w:t xml:space="preserve"> Scheele</w:t>
      </w:r>
      <w:r w:rsidR="00711E15">
        <w:t>,</w:t>
      </w:r>
      <w:r>
        <w:t xml:space="preserve"> B</w:t>
      </w:r>
      <w:r w:rsidR="00711E15">
        <w:t>.</w:t>
      </w:r>
      <w:r>
        <w:t xml:space="preserve"> (</w:t>
      </w:r>
      <w:r w:rsidR="00711E15">
        <w:t>in press</w:t>
      </w:r>
      <w:r>
        <w:t xml:space="preserve">). Age truncation due to disease shrinks metapopulation viability for amphibians. </w:t>
      </w:r>
      <w:r>
        <w:rPr>
          <w:i/>
          <w:iCs/>
        </w:rPr>
        <w:t>Journal of Animal Ecology</w:t>
      </w:r>
      <w:r>
        <w:t>.</w:t>
      </w:r>
    </w:p>
    <w:p w14:paraId="23C6949B" w14:textId="5BC00879" w:rsidR="006C28A0" w:rsidRDefault="006C28A0" w:rsidP="006C28A0">
      <w:pPr>
        <w:pStyle w:val="Bibliography"/>
      </w:pPr>
      <w:r>
        <w:t>Heard</w:t>
      </w:r>
      <w:r w:rsidR="00711E15">
        <w:t>,</w:t>
      </w:r>
      <w:r>
        <w:t xml:space="preserve"> G</w:t>
      </w:r>
      <w:r w:rsidR="00711E15">
        <w:t>.</w:t>
      </w:r>
      <w:r>
        <w:t>W</w:t>
      </w:r>
      <w:r w:rsidR="00711E15">
        <w:t>.</w:t>
      </w:r>
      <w:r>
        <w:t>, Scroggie</w:t>
      </w:r>
      <w:r w:rsidR="00711E15">
        <w:t>,</w:t>
      </w:r>
      <w:r>
        <w:t xml:space="preserve"> M</w:t>
      </w:r>
      <w:r w:rsidR="00711E15">
        <w:t>.</w:t>
      </w:r>
      <w:r>
        <w:t>P</w:t>
      </w:r>
      <w:r w:rsidR="00711E15">
        <w:t>.</w:t>
      </w:r>
      <w:r>
        <w:t>, Clemann</w:t>
      </w:r>
      <w:r w:rsidR="00711E15">
        <w:t>,</w:t>
      </w:r>
      <w:r>
        <w:t xml:space="preserve"> N</w:t>
      </w:r>
      <w:r w:rsidR="00711E15">
        <w:t>. and</w:t>
      </w:r>
      <w:r>
        <w:t xml:space="preserve"> Ramsey</w:t>
      </w:r>
      <w:r w:rsidR="00711E15">
        <w:t>,</w:t>
      </w:r>
      <w:r>
        <w:t xml:space="preserve"> D</w:t>
      </w:r>
      <w:r w:rsidR="00711E15">
        <w:t>.</w:t>
      </w:r>
      <w:r>
        <w:t>S</w:t>
      </w:r>
      <w:r w:rsidR="00711E15">
        <w:t>.</w:t>
      </w:r>
      <w:r>
        <w:t>L</w:t>
      </w:r>
      <w:r w:rsidR="00711E15">
        <w:t>.</w:t>
      </w:r>
      <w:r>
        <w:t xml:space="preserve"> (2014). Wetland characteristics influence disease risk for a threatened amphibian. </w:t>
      </w:r>
      <w:r>
        <w:rPr>
          <w:i/>
          <w:iCs/>
        </w:rPr>
        <w:t>Ecological Applications</w:t>
      </w:r>
      <w:r>
        <w:t xml:space="preserve"> </w:t>
      </w:r>
      <w:r>
        <w:rPr>
          <w:b/>
          <w:bCs/>
        </w:rPr>
        <w:t>24</w:t>
      </w:r>
      <w:r>
        <w:t xml:space="preserve"> doi:10.1890/13-0389.1</w:t>
      </w:r>
    </w:p>
    <w:p w14:paraId="143FBD54" w14:textId="57E0E952" w:rsidR="006C28A0" w:rsidRDefault="006C28A0" w:rsidP="006C28A0">
      <w:pPr>
        <w:pStyle w:val="Bibliography"/>
      </w:pPr>
      <w:r>
        <w:t>Heard</w:t>
      </w:r>
      <w:r w:rsidR="00711E15">
        <w:t>,</w:t>
      </w:r>
      <w:r>
        <w:t xml:space="preserve"> G</w:t>
      </w:r>
      <w:r w:rsidR="00711E15">
        <w:t>.</w:t>
      </w:r>
      <w:r>
        <w:t>W</w:t>
      </w:r>
      <w:r w:rsidR="00711E15">
        <w:t>.</w:t>
      </w:r>
      <w:r>
        <w:t>, Scroggie</w:t>
      </w:r>
      <w:r w:rsidR="00711E15">
        <w:t>,</w:t>
      </w:r>
      <w:r>
        <w:t xml:space="preserve"> M</w:t>
      </w:r>
      <w:r w:rsidR="00711E15">
        <w:t>.</w:t>
      </w:r>
      <w:r>
        <w:t>P</w:t>
      </w:r>
      <w:r w:rsidR="00711E15">
        <w:t>.</w:t>
      </w:r>
      <w:r>
        <w:t>, Ramsey</w:t>
      </w:r>
      <w:r w:rsidR="00711E15">
        <w:t>,</w:t>
      </w:r>
      <w:r>
        <w:t xml:space="preserve"> D</w:t>
      </w:r>
      <w:r w:rsidR="00711E15">
        <w:t>.</w:t>
      </w:r>
      <w:r>
        <w:t>S</w:t>
      </w:r>
      <w:r w:rsidR="00711E15">
        <w:t>.</w:t>
      </w:r>
      <w:r>
        <w:t>L</w:t>
      </w:r>
      <w:r w:rsidR="00711E15">
        <w:t>.</w:t>
      </w:r>
      <w:r>
        <w:t>, Clemann</w:t>
      </w:r>
      <w:r w:rsidR="00711E15">
        <w:t>,</w:t>
      </w:r>
      <w:r>
        <w:t xml:space="preserve"> N</w:t>
      </w:r>
      <w:r w:rsidR="00711E15">
        <w:t>.</w:t>
      </w:r>
      <w:r>
        <w:t>, Hodgson</w:t>
      </w:r>
      <w:r w:rsidR="00711E15">
        <w:t>,</w:t>
      </w:r>
      <w:r>
        <w:t xml:space="preserve"> J</w:t>
      </w:r>
      <w:r w:rsidR="00711E15">
        <w:t>.</w:t>
      </w:r>
      <w:r>
        <w:t>A</w:t>
      </w:r>
      <w:r w:rsidR="00711E15">
        <w:t>. and</w:t>
      </w:r>
      <w:r>
        <w:t xml:space="preserve"> Thomas</w:t>
      </w:r>
      <w:r w:rsidR="00711E15">
        <w:t>,</w:t>
      </w:r>
      <w:r>
        <w:t xml:space="preserve"> C</w:t>
      </w:r>
      <w:r w:rsidR="00711E15">
        <w:t>.</w:t>
      </w:r>
      <w:r>
        <w:t>D</w:t>
      </w:r>
      <w:r w:rsidR="00711E15">
        <w:t>.</w:t>
      </w:r>
      <w:r>
        <w:t xml:space="preserve"> (2018). Can </w:t>
      </w:r>
      <w:r w:rsidR="00711E15">
        <w:t>habitat management mitigate disease impacts on threatened amphibian</w:t>
      </w:r>
      <w:r>
        <w:t xml:space="preserve">s? </w:t>
      </w:r>
      <w:r>
        <w:rPr>
          <w:i/>
          <w:iCs/>
        </w:rPr>
        <w:t>Conservation Letters</w:t>
      </w:r>
      <w:r>
        <w:t xml:space="preserve"> </w:t>
      </w:r>
      <w:r>
        <w:rPr>
          <w:b/>
          <w:bCs/>
        </w:rPr>
        <w:t>11</w:t>
      </w:r>
      <w:r>
        <w:t xml:space="preserve"> doi:10.1111/conl.12375</w:t>
      </w:r>
    </w:p>
    <w:p w14:paraId="6C4EE9C6" w14:textId="13E339D5" w:rsidR="006C28A0" w:rsidRDefault="006C28A0" w:rsidP="006C28A0">
      <w:pPr>
        <w:pStyle w:val="Bibliography"/>
      </w:pPr>
      <w:r>
        <w:t>Heard</w:t>
      </w:r>
      <w:r w:rsidR="00711E15">
        <w:t>,</w:t>
      </w:r>
      <w:r>
        <w:t xml:space="preserve"> G</w:t>
      </w:r>
      <w:r w:rsidR="00711E15">
        <w:t>.</w:t>
      </w:r>
      <w:r>
        <w:t>W</w:t>
      </w:r>
      <w:r w:rsidR="00711E15">
        <w:t>.</w:t>
      </w:r>
      <w:r>
        <w:t>, Thomas</w:t>
      </w:r>
      <w:r w:rsidR="00711E15">
        <w:t>,</w:t>
      </w:r>
      <w:r>
        <w:t xml:space="preserve"> C</w:t>
      </w:r>
      <w:r w:rsidR="00711E15">
        <w:t>.</w:t>
      </w:r>
      <w:r>
        <w:t>D</w:t>
      </w:r>
      <w:r w:rsidR="00711E15">
        <w:t>.</w:t>
      </w:r>
      <w:r>
        <w:t>, Hodgson</w:t>
      </w:r>
      <w:r w:rsidR="00711E15">
        <w:t>,</w:t>
      </w:r>
      <w:r>
        <w:t xml:space="preserve"> J</w:t>
      </w:r>
      <w:r w:rsidR="00711E15">
        <w:t>.</w:t>
      </w:r>
      <w:r>
        <w:t>A</w:t>
      </w:r>
      <w:r w:rsidR="00711E15">
        <w:t>.</w:t>
      </w:r>
      <w:r>
        <w:t>, Scroggie</w:t>
      </w:r>
      <w:r w:rsidR="00711E15">
        <w:t>,</w:t>
      </w:r>
      <w:r>
        <w:t xml:space="preserve"> M</w:t>
      </w:r>
      <w:r w:rsidR="00711E15">
        <w:t>.</w:t>
      </w:r>
      <w:r>
        <w:t>P</w:t>
      </w:r>
      <w:r w:rsidR="00711E15">
        <w:t>.</w:t>
      </w:r>
      <w:r>
        <w:t>, Ramsey</w:t>
      </w:r>
      <w:r w:rsidR="00711E15">
        <w:t>,</w:t>
      </w:r>
      <w:r>
        <w:t xml:space="preserve"> D</w:t>
      </w:r>
      <w:r w:rsidR="00711E15">
        <w:t>.</w:t>
      </w:r>
      <w:r>
        <w:t>S</w:t>
      </w:r>
      <w:r w:rsidR="00711E15">
        <w:t>.</w:t>
      </w:r>
      <w:r>
        <w:t>L</w:t>
      </w:r>
      <w:r w:rsidR="00711E15">
        <w:t>. and</w:t>
      </w:r>
      <w:r>
        <w:t xml:space="preserve"> Clemann</w:t>
      </w:r>
      <w:r w:rsidR="00711E15">
        <w:t>,</w:t>
      </w:r>
      <w:r>
        <w:t xml:space="preserve"> N</w:t>
      </w:r>
      <w:r w:rsidR="00711E15">
        <w:t>.</w:t>
      </w:r>
      <w:r>
        <w:t xml:space="preserve"> (2015). Refugia and connectivity sustain amphibian metapopulations afflicted by disease. </w:t>
      </w:r>
      <w:r>
        <w:rPr>
          <w:i/>
          <w:iCs/>
        </w:rPr>
        <w:t>Ecology Letters</w:t>
      </w:r>
      <w:r>
        <w:t xml:space="preserve"> </w:t>
      </w:r>
      <w:r>
        <w:rPr>
          <w:b/>
          <w:bCs/>
        </w:rPr>
        <w:t>18</w:t>
      </w:r>
      <w:r>
        <w:t xml:space="preserve"> doi:10.1111/ele.12463</w:t>
      </w:r>
    </w:p>
    <w:p w14:paraId="2A6B3BDB" w14:textId="17363364" w:rsidR="006C28A0" w:rsidRDefault="006C28A0" w:rsidP="006C28A0">
      <w:pPr>
        <w:pStyle w:val="Bibliography"/>
      </w:pPr>
      <w:r>
        <w:t>Hénaux</w:t>
      </w:r>
      <w:r w:rsidR="00711E15">
        <w:t>,</w:t>
      </w:r>
      <w:r>
        <w:t xml:space="preserve"> V</w:t>
      </w:r>
      <w:r w:rsidR="00711E15">
        <w:t>.</w:t>
      </w:r>
      <w:r>
        <w:t>, Parmley</w:t>
      </w:r>
      <w:r w:rsidR="00711E15">
        <w:t>,</w:t>
      </w:r>
      <w:r>
        <w:t xml:space="preserve"> J</w:t>
      </w:r>
      <w:r w:rsidR="00711E15">
        <w:t>.</w:t>
      </w:r>
      <w:r>
        <w:t>, Soos</w:t>
      </w:r>
      <w:r w:rsidR="00711E15">
        <w:t>,</w:t>
      </w:r>
      <w:r>
        <w:t xml:space="preserve"> C</w:t>
      </w:r>
      <w:r w:rsidR="00711E15">
        <w:t>. and</w:t>
      </w:r>
      <w:r>
        <w:t xml:space="preserve"> Samuel</w:t>
      </w:r>
      <w:r w:rsidR="00711E15">
        <w:t>,</w:t>
      </w:r>
      <w:r>
        <w:t xml:space="preserve"> M</w:t>
      </w:r>
      <w:r w:rsidR="00711E15">
        <w:t>.</w:t>
      </w:r>
      <w:r>
        <w:t>D</w:t>
      </w:r>
      <w:r w:rsidR="00711E15">
        <w:t>.</w:t>
      </w:r>
      <w:r>
        <w:t xml:space="preserve"> (2013). Estimating transmission of avian influenza in wild birds from incomplete epizootic data: </w:t>
      </w:r>
      <w:r w:rsidR="00711E15">
        <w:t>I</w:t>
      </w:r>
      <w:r>
        <w:t xml:space="preserve">mplications for surveillance and disease spread Ed M Bennett. </w:t>
      </w:r>
      <w:r>
        <w:rPr>
          <w:i/>
          <w:iCs/>
        </w:rPr>
        <w:t>Journal of Applied Ecology</w:t>
      </w:r>
      <w:r>
        <w:t xml:space="preserve"> </w:t>
      </w:r>
      <w:r>
        <w:rPr>
          <w:b/>
          <w:bCs/>
        </w:rPr>
        <w:t>50</w:t>
      </w:r>
      <w:r>
        <w:t>, 223–231 doi:10.1111/1365-2664.12031</w:t>
      </w:r>
    </w:p>
    <w:p w14:paraId="6EE3FBD3" w14:textId="5C7D243D" w:rsidR="006C28A0" w:rsidRDefault="006C28A0" w:rsidP="006C28A0">
      <w:pPr>
        <w:pStyle w:val="Bibliography"/>
      </w:pPr>
      <w:r>
        <w:t>Hénaux</w:t>
      </w:r>
      <w:r w:rsidR="00711E15">
        <w:t>,</w:t>
      </w:r>
      <w:r>
        <w:t xml:space="preserve"> V</w:t>
      </w:r>
      <w:r w:rsidR="00711E15">
        <w:t>.</w:t>
      </w:r>
      <w:r>
        <w:t>, Samuel</w:t>
      </w:r>
      <w:r w:rsidR="00711E15">
        <w:t>,</w:t>
      </w:r>
      <w:r>
        <w:t xml:space="preserve"> M</w:t>
      </w:r>
      <w:r w:rsidR="00711E15">
        <w:t>.</w:t>
      </w:r>
      <w:r>
        <w:t>D</w:t>
      </w:r>
      <w:r w:rsidR="00711E15">
        <w:t>. and</w:t>
      </w:r>
      <w:r>
        <w:t xml:space="preserve"> Bunck</w:t>
      </w:r>
      <w:r w:rsidR="00711E15">
        <w:t>,</w:t>
      </w:r>
      <w:r>
        <w:t xml:space="preserve"> C</w:t>
      </w:r>
      <w:r w:rsidR="00711E15">
        <w:t>.</w:t>
      </w:r>
      <w:r>
        <w:t>M</w:t>
      </w:r>
      <w:r w:rsidR="00711E15">
        <w:t>.</w:t>
      </w:r>
      <w:r>
        <w:t xml:space="preserve"> (2010). </w:t>
      </w:r>
      <w:r w:rsidR="00711E15">
        <w:t>model-based evaluation of highly and low pathogenic avian influenza dynamics in wild birds</w:t>
      </w:r>
      <w:r>
        <w:t xml:space="preserve"> Ed SJ Cornell. </w:t>
      </w:r>
      <w:r>
        <w:rPr>
          <w:i/>
          <w:iCs/>
        </w:rPr>
        <w:t>PLoS ONE</w:t>
      </w:r>
      <w:r>
        <w:t xml:space="preserve"> </w:t>
      </w:r>
      <w:r>
        <w:rPr>
          <w:b/>
          <w:bCs/>
        </w:rPr>
        <w:t>5</w:t>
      </w:r>
      <w:r>
        <w:t>, e10997 doi:10.1371/journal.pone.0010997</w:t>
      </w:r>
    </w:p>
    <w:p w14:paraId="3B40C17E" w14:textId="4E5AF321" w:rsidR="006C28A0" w:rsidRDefault="006C28A0" w:rsidP="006C28A0">
      <w:pPr>
        <w:pStyle w:val="Bibliography"/>
      </w:pPr>
      <w:r>
        <w:t>Holz</w:t>
      </w:r>
      <w:r w:rsidR="00711E15">
        <w:t>,</w:t>
      </w:r>
      <w:r>
        <w:t xml:space="preserve"> P</w:t>
      </w:r>
      <w:r w:rsidR="00711E15">
        <w:t>.</w:t>
      </w:r>
      <w:r>
        <w:t>, Hufschmid</w:t>
      </w:r>
      <w:r w:rsidR="00711E15">
        <w:t>,</w:t>
      </w:r>
      <w:r>
        <w:t xml:space="preserve"> J</w:t>
      </w:r>
      <w:r w:rsidR="00711E15">
        <w:t>.</w:t>
      </w:r>
      <w:r>
        <w:t>, Boardman</w:t>
      </w:r>
      <w:r w:rsidR="00711E15">
        <w:t>,</w:t>
      </w:r>
      <w:r>
        <w:t xml:space="preserve"> W</w:t>
      </w:r>
      <w:r w:rsidR="00711E15">
        <w:t>.</w:t>
      </w:r>
      <w:r>
        <w:t>, Cassey</w:t>
      </w:r>
      <w:r w:rsidR="00711E15">
        <w:t>,</w:t>
      </w:r>
      <w:r>
        <w:t xml:space="preserve"> P</w:t>
      </w:r>
      <w:r w:rsidR="00711E15">
        <w:t>.</w:t>
      </w:r>
      <w:r>
        <w:t>, Firestone</w:t>
      </w:r>
      <w:r w:rsidR="00711E15">
        <w:t>,</w:t>
      </w:r>
      <w:r>
        <w:t xml:space="preserve"> S</w:t>
      </w:r>
      <w:r w:rsidR="00711E15">
        <w:t>.</w:t>
      </w:r>
      <w:r>
        <w:t>, Lumsden</w:t>
      </w:r>
      <w:r w:rsidR="00711E15">
        <w:t>,</w:t>
      </w:r>
      <w:r>
        <w:t xml:space="preserve"> L</w:t>
      </w:r>
      <w:r w:rsidR="00711E15">
        <w:t>.</w:t>
      </w:r>
      <w:r>
        <w:t>, Prowse</w:t>
      </w:r>
      <w:r w:rsidR="00711E15">
        <w:t>,</w:t>
      </w:r>
      <w:r>
        <w:t xml:space="preserve"> T</w:t>
      </w:r>
      <w:r w:rsidR="00711E15">
        <w:t>.</w:t>
      </w:r>
      <w:r>
        <w:t>, Reardon</w:t>
      </w:r>
      <w:r w:rsidR="00711E15">
        <w:t>,</w:t>
      </w:r>
      <w:r>
        <w:t xml:space="preserve"> T</w:t>
      </w:r>
      <w:r w:rsidR="00711E15">
        <w:t>. and</w:t>
      </w:r>
      <w:r>
        <w:t xml:space="preserve"> Stevenson</w:t>
      </w:r>
      <w:r w:rsidR="00711E15">
        <w:t>,</w:t>
      </w:r>
      <w:r>
        <w:t xml:space="preserve"> M</w:t>
      </w:r>
      <w:r w:rsidR="00711E15">
        <w:t>.</w:t>
      </w:r>
      <w:r>
        <w:t xml:space="preserve"> (2016). </w:t>
      </w:r>
      <w:r w:rsidRPr="00DA5824">
        <w:rPr>
          <w:i/>
          <w:iCs/>
        </w:rPr>
        <w:t xml:space="preserve">Qualitative risk assessment: </w:t>
      </w:r>
      <w:r w:rsidR="00E07B96" w:rsidRPr="00DA5824">
        <w:rPr>
          <w:i/>
          <w:iCs/>
        </w:rPr>
        <w:t>White Nose Syndrome</w:t>
      </w:r>
      <w:r w:rsidRPr="00DA5824">
        <w:rPr>
          <w:i/>
          <w:iCs/>
        </w:rPr>
        <w:t xml:space="preserve"> in bats in Australia</w:t>
      </w:r>
      <w:r w:rsidR="00431AF7" w:rsidRPr="00DA5824">
        <w:rPr>
          <w:i/>
          <w:iCs/>
        </w:rPr>
        <w:t xml:space="preserve">. </w:t>
      </w:r>
      <w:r w:rsidRPr="00DA5824">
        <w:rPr>
          <w:i/>
          <w:iCs/>
        </w:rPr>
        <w:t>A report prepared for Wildlife Health Australia</w:t>
      </w:r>
      <w:r>
        <w:t>. Wildlife Health Australia: Sydney, NSW, Australia.</w:t>
      </w:r>
    </w:p>
    <w:p w14:paraId="3E4BD1B8" w14:textId="2EC5CB63" w:rsidR="006C28A0" w:rsidRDefault="006C28A0" w:rsidP="006C28A0">
      <w:pPr>
        <w:pStyle w:val="Bibliography"/>
      </w:pPr>
      <w:r>
        <w:t>Holz</w:t>
      </w:r>
      <w:r w:rsidR="00AB27D3">
        <w:t>,</w:t>
      </w:r>
      <w:r>
        <w:t xml:space="preserve"> P</w:t>
      </w:r>
      <w:r w:rsidR="00AB27D3">
        <w:t>.</w:t>
      </w:r>
      <w:r>
        <w:t>, Hufschmid</w:t>
      </w:r>
      <w:r w:rsidR="00AB27D3">
        <w:t>,</w:t>
      </w:r>
      <w:r>
        <w:t xml:space="preserve"> J</w:t>
      </w:r>
      <w:r w:rsidR="00AB27D3">
        <w:t>.</w:t>
      </w:r>
      <w:r>
        <w:t>, Boardman</w:t>
      </w:r>
      <w:r w:rsidR="00AB27D3">
        <w:t>,</w:t>
      </w:r>
      <w:r>
        <w:t xml:space="preserve"> W</w:t>
      </w:r>
      <w:r w:rsidR="00AB27D3">
        <w:t>.</w:t>
      </w:r>
      <w:r>
        <w:t>S</w:t>
      </w:r>
      <w:r w:rsidR="00AB27D3">
        <w:t>.</w:t>
      </w:r>
      <w:r>
        <w:t>J</w:t>
      </w:r>
      <w:r w:rsidR="00AB27D3">
        <w:t>.</w:t>
      </w:r>
      <w:r>
        <w:t>, Cassey</w:t>
      </w:r>
      <w:r w:rsidR="00AB27D3">
        <w:t>,</w:t>
      </w:r>
      <w:r>
        <w:t xml:space="preserve"> P</w:t>
      </w:r>
      <w:r w:rsidR="00AB27D3">
        <w:t>.</w:t>
      </w:r>
      <w:r>
        <w:t>, Firestone</w:t>
      </w:r>
      <w:r w:rsidR="00AB27D3">
        <w:t>,</w:t>
      </w:r>
      <w:r>
        <w:t xml:space="preserve"> S</w:t>
      </w:r>
      <w:r w:rsidR="00AB27D3">
        <w:t>.</w:t>
      </w:r>
      <w:r>
        <w:t>, Lumsden</w:t>
      </w:r>
      <w:r w:rsidR="00AB27D3">
        <w:t>,</w:t>
      </w:r>
      <w:r>
        <w:t xml:space="preserve"> L</w:t>
      </w:r>
      <w:r w:rsidR="00AB27D3">
        <w:t>.</w:t>
      </w:r>
      <w:r>
        <w:t>F</w:t>
      </w:r>
      <w:r w:rsidR="00AB27D3">
        <w:t>.</w:t>
      </w:r>
      <w:r>
        <w:t>, Prowse</w:t>
      </w:r>
      <w:r w:rsidR="00AB27D3">
        <w:t>,</w:t>
      </w:r>
      <w:r>
        <w:t xml:space="preserve"> T</w:t>
      </w:r>
      <w:r w:rsidR="00AB27D3">
        <w:t>.</w:t>
      </w:r>
      <w:r>
        <w:t>A</w:t>
      </w:r>
      <w:r w:rsidR="00AB27D3">
        <w:t>.</w:t>
      </w:r>
      <w:r>
        <w:t>A</w:t>
      </w:r>
      <w:r w:rsidR="00AB27D3">
        <w:t>.</w:t>
      </w:r>
      <w:r>
        <w:t>, Reardon</w:t>
      </w:r>
      <w:r w:rsidR="00AB27D3">
        <w:t>,</w:t>
      </w:r>
      <w:r>
        <w:t xml:space="preserve"> T</w:t>
      </w:r>
      <w:r w:rsidR="00AB27D3">
        <w:t>. and</w:t>
      </w:r>
      <w:r>
        <w:t xml:space="preserve"> Stevenson</w:t>
      </w:r>
      <w:r w:rsidR="00AB27D3">
        <w:t>,</w:t>
      </w:r>
      <w:r>
        <w:t xml:space="preserve"> M</w:t>
      </w:r>
      <w:r w:rsidR="00AB27D3">
        <w:t>.</w:t>
      </w:r>
      <w:r>
        <w:t xml:space="preserve"> (2019). Does the fungus causing </w:t>
      </w:r>
      <w:r w:rsidR="00E07B96">
        <w:t>White Nose Syndrome</w:t>
      </w:r>
      <w:r>
        <w:t xml:space="preserve"> pose a significant risk to Australian bats? </w:t>
      </w:r>
      <w:r>
        <w:rPr>
          <w:i/>
          <w:iCs/>
        </w:rPr>
        <w:t>Wildlife Research</w:t>
      </w:r>
      <w:r>
        <w:t xml:space="preserve"> </w:t>
      </w:r>
      <w:r>
        <w:rPr>
          <w:b/>
          <w:bCs/>
        </w:rPr>
        <w:t>46</w:t>
      </w:r>
      <w:r>
        <w:t>, 657 doi:10.1071/WR18194</w:t>
      </w:r>
    </w:p>
    <w:p w14:paraId="7DB95C9A" w14:textId="443793D4" w:rsidR="006C28A0" w:rsidRDefault="006C28A0" w:rsidP="006C28A0">
      <w:pPr>
        <w:pStyle w:val="Bibliography"/>
      </w:pPr>
      <w:r>
        <w:t>Holz</w:t>
      </w:r>
      <w:r w:rsidR="00AB27D3">
        <w:t>,</w:t>
      </w:r>
      <w:r>
        <w:t xml:space="preserve"> P</w:t>
      </w:r>
      <w:r w:rsidR="00AB27D3">
        <w:t>.</w:t>
      </w:r>
      <w:r>
        <w:t>H</w:t>
      </w:r>
      <w:r w:rsidR="00AB27D3">
        <w:t>.</w:t>
      </w:r>
      <w:r>
        <w:t>, Lumsden</w:t>
      </w:r>
      <w:r w:rsidR="00AB27D3">
        <w:t>,</w:t>
      </w:r>
      <w:r>
        <w:t xml:space="preserve"> L</w:t>
      </w:r>
      <w:r w:rsidR="00AB27D3">
        <w:t>.</w:t>
      </w:r>
      <w:r>
        <w:t>F</w:t>
      </w:r>
      <w:r w:rsidR="00AB27D3">
        <w:t>.</w:t>
      </w:r>
      <w:r>
        <w:t>, Marenda</w:t>
      </w:r>
      <w:r w:rsidR="00AB27D3">
        <w:t>,</w:t>
      </w:r>
      <w:r>
        <w:t xml:space="preserve"> M</w:t>
      </w:r>
      <w:r w:rsidR="00AB27D3">
        <w:t>.</w:t>
      </w:r>
      <w:r>
        <w:t>S</w:t>
      </w:r>
      <w:r w:rsidR="00AB27D3">
        <w:t>.</w:t>
      </w:r>
      <w:r>
        <w:t>, Browning</w:t>
      </w:r>
      <w:r w:rsidR="00AB27D3">
        <w:t>,</w:t>
      </w:r>
      <w:r>
        <w:t xml:space="preserve"> G</w:t>
      </w:r>
      <w:r w:rsidR="00AB27D3">
        <w:t>.</w:t>
      </w:r>
      <w:r>
        <w:t>F</w:t>
      </w:r>
      <w:r w:rsidR="00AB27D3">
        <w:t>. and</w:t>
      </w:r>
      <w:r>
        <w:t xml:space="preserve"> Hufschmid</w:t>
      </w:r>
      <w:r w:rsidR="00AB27D3">
        <w:t>,</w:t>
      </w:r>
      <w:r>
        <w:t xml:space="preserve"> J</w:t>
      </w:r>
      <w:r w:rsidR="00AB27D3">
        <w:t>.</w:t>
      </w:r>
      <w:r>
        <w:t xml:space="preserve"> (2018). Two subspecies of bent-winged bats (</w:t>
      </w:r>
      <w:r w:rsidRPr="00DA5824">
        <w:rPr>
          <w:i/>
          <w:iCs/>
        </w:rPr>
        <w:t xml:space="preserve">Miniopterus orianae bassanii </w:t>
      </w:r>
      <w:r>
        <w:t xml:space="preserve">and </w:t>
      </w:r>
      <w:r w:rsidRPr="00DA5824">
        <w:rPr>
          <w:i/>
          <w:iCs/>
        </w:rPr>
        <w:t>oceanensis</w:t>
      </w:r>
      <w:r>
        <w:t xml:space="preserve">) in southern Australia have diverse fungal skin flora but not </w:t>
      </w:r>
      <w:r w:rsidRPr="00DA5824">
        <w:rPr>
          <w:i/>
          <w:iCs/>
        </w:rPr>
        <w:t>Pseudogymnoascus destructans</w:t>
      </w:r>
      <w:r>
        <w:t xml:space="preserve"> Ed ML Baker. </w:t>
      </w:r>
      <w:r>
        <w:rPr>
          <w:i/>
          <w:iCs/>
        </w:rPr>
        <w:t>PLOS ONE</w:t>
      </w:r>
      <w:r>
        <w:t xml:space="preserve"> </w:t>
      </w:r>
      <w:r>
        <w:rPr>
          <w:b/>
          <w:bCs/>
        </w:rPr>
        <w:t>13</w:t>
      </w:r>
      <w:r>
        <w:t>, e0204282 doi:10.1371/journal.pone.0204282</w:t>
      </w:r>
    </w:p>
    <w:p w14:paraId="4B227B34" w14:textId="5E50F09C" w:rsidR="006C28A0" w:rsidRDefault="006C28A0" w:rsidP="006C28A0">
      <w:pPr>
        <w:pStyle w:val="Bibliography"/>
      </w:pPr>
      <w:r>
        <w:t>Hoyt</w:t>
      </w:r>
      <w:r w:rsidR="00AB27D3">
        <w:t>,</w:t>
      </w:r>
      <w:r>
        <w:t xml:space="preserve"> J</w:t>
      </w:r>
      <w:r w:rsidR="00AB27D3">
        <w:t>.</w:t>
      </w:r>
      <w:r>
        <w:t>R</w:t>
      </w:r>
      <w:r w:rsidR="00AB27D3">
        <w:t>.</w:t>
      </w:r>
      <w:r>
        <w:t>, Kilpatrick</w:t>
      </w:r>
      <w:r w:rsidR="00AB27D3">
        <w:t>,</w:t>
      </w:r>
      <w:r>
        <w:t xml:space="preserve"> A</w:t>
      </w:r>
      <w:r w:rsidR="00AB27D3">
        <w:t>.</w:t>
      </w:r>
      <w:r>
        <w:t>M</w:t>
      </w:r>
      <w:r w:rsidR="00AB27D3">
        <w:t>.</w:t>
      </w:r>
      <w:r w:rsidR="000B04EF">
        <w:t xml:space="preserve"> and</w:t>
      </w:r>
      <w:r>
        <w:t xml:space="preserve"> Langwig</w:t>
      </w:r>
      <w:r w:rsidR="00AB27D3">
        <w:t>,</w:t>
      </w:r>
      <w:r>
        <w:t xml:space="preserve"> K</w:t>
      </w:r>
      <w:r w:rsidR="00AB27D3">
        <w:t>.</w:t>
      </w:r>
      <w:r>
        <w:t>E</w:t>
      </w:r>
      <w:r w:rsidR="00AB27D3">
        <w:t>.</w:t>
      </w:r>
      <w:r>
        <w:t xml:space="preserve"> (2021). Ecology and impacts of </w:t>
      </w:r>
      <w:r w:rsidR="00E07B96">
        <w:t>White Nose Syndrome</w:t>
      </w:r>
      <w:r>
        <w:t xml:space="preserve"> on bats. </w:t>
      </w:r>
      <w:r>
        <w:rPr>
          <w:i/>
          <w:iCs/>
        </w:rPr>
        <w:t>Nature Reviews Microbiology</w:t>
      </w:r>
      <w:r>
        <w:t xml:space="preserve"> </w:t>
      </w:r>
      <w:r>
        <w:rPr>
          <w:b/>
          <w:bCs/>
        </w:rPr>
        <w:t>19</w:t>
      </w:r>
      <w:r>
        <w:t>, 196–210.</w:t>
      </w:r>
    </w:p>
    <w:p w14:paraId="04DD4C17" w14:textId="3685368E" w:rsidR="006C28A0" w:rsidRDefault="006C28A0" w:rsidP="006C28A0">
      <w:pPr>
        <w:pStyle w:val="Bibliography"/>
      </w:pPr>
      <w:r>
        <w:t>Hoyt</w:t>
      </w:r>
      <w:r w:rsidR="00AB27D3">
        <w:t>,</w:t>
      </w:r>
      <w:r>
        <w:t xml:space="preserve"> J</w:t>
      </w:r>
      <w:r w:rsidR="00AB27D3">
        <w:t>.</w:t>
      </w:r>
      <w:r>
        <w:t>R</w:t>
      </w:r>
      <w:r w:rsidR="00AB27D3">
        <w:t>.</w:t>
      </w:r>
      <w:r>
        <w:t>, Parise</w:t>
      </w:r>
      <w:r w:rsidR="00AB27D3">
        <w:t>,</w:t>
      </w:r>
      <w:r>
        <w:t xml:space="preserve"> K</w:t>
      </w:r>
      <w:r w:rsidR="00AB27D3">
        <w:t>.</w:t>
      </w:r>
      <w:r>
        <w:t>L</w:t>
      </w:r>
      <w:r w:rsidR="00AB27D3">
        <w:t>.</w:t>
      </w:r>
      <w:r>
        <w:t>, DePue</w:t>
      </w:r>
      <w:r w:rsidR="00AB27D3">
        <w:t>,</w:t>
      </w:r>
      <w:r>
        <w:t xml:space="preserve"> J</w:t>
      </w:r>
      <w:r w:rsidR="00AB27D3">
        <w:t>.</w:t>
      </w:r>
      <w:r>
        <w:t>E</w:t>
      </w:r>
      <w:r w:rsidR="00AB27D3">
        <w:t>.</w:t>
      </w:r>
      <w:r>
        <w:t>, Kaarakka</w:t>
      </w:r>
      <w:r w:rsidR="00AB27D3">
        <w:t>,</w:t>
      </w:r>
      <w:r>
        <w:t xml:space="preserve"> H</w:t>
      </w:r>
      <w:r w:rsidR="00AB27D3">
        <w:t>.</w:t>
      </w:r>
      <w:r>
        <w:t>M</w:t>
      </w:r>
      <w:r w:rsidR="00AB27D3">
        <w:t>.</w:t>
      </w:r>
      <w:r>
        <w:t>, Redell</w:t>
      </w:r>
      <w:r w:rsidR="00AB27D3">
        <w:t>,</w:t>
      </w:r>
      <w:r>
        <w:t xml:space="preserve"> J</w:t>
      </w:r>
      <w:r w:rsidR="00AB27D3">
        <w:t>.</w:t>
      </w:r>
      <w:r>
        <w:t>A</w:t>
      </w:r>
      <w:r w:rsidR="00AB27D3">
        <w:t>.</w:t>
      </w:r>
      <w:r>
        <w:t>, Scullon</w:t>
      </w:r>
      <w:r w:rsidR="00AB27D3">
        <w:t>,</w:t>
      </w:r>
      <w:r>
        <w:t xml:space="preserve"> W</w:t>
      </w:r>
      <w:r w:rsidR="00AB27D3">
        <w:t>.</w:t>
      </w:r>
      <w:r>
        <w:t>H</w:t>
      </w:r>
      <w:r w:rsidR="00AB27D3">
        <w:t>.</w:t>
      </w:r>
      <w:r>
        <w:t>, O’Reskie</w:t>
      </w:r>
      <w:r w:rsidR="00AB27D3">
        <w:t>,</w:t>
      </w:r>
      <w:r>
        <w:t xml:space="preserve"> R</w:t>
      </w:r>
      <w:r w:rsidR="00AB27D3">
        <w:t>.</w:t>
      </w:r>
      <w:r>
        <w:t>, Foster</w:t>
      </w:r>
      <w:r w:rsidR="00AB27D3">
        <w:t>,</w:t>
      </w:r>
      <w:r>
        <w:t xml:space="preserve"> J</w:t>
      </w:r>
      <w:r w:rsidR="00AB27D3">
        <w:t>.</w:t>
      </w:r>
      <w:r>
        <w:t>T</w:t>
      </w:r>
      <w:r w:rsidR="00AB27D3">
        <w:t>.</w:t>
      </w:r>
      <w:r>
        <w:t>, Kilpatrick</w:t>
      </w:r>
      <w:r w:rsidR="00AB27D3">
        <w:t>,</w:t>
      </w:r>
      <w:r>
        <w:t xml:space="preserve"> A</w:t>
      </w:r>
      <w:r w:rsidR="00AB27D3">
        <w:t>.</w:t>
      </w:r>
      <w:r>
        <w:t>M</w:t>
      </w:r>
      <w:r w:rsidR="00AB27D3">
        <w:t>.</w:t>
      </w:r>
      <w:r>
        <w:t>, Langwig</w:t>
      </w:r>
      <w:r w:rsidR="00AB27D3">
        <w:t>,</w:t>
      </w:r>
      <w:r>
        <w:t xml:space="preserve"> K</w:t>
      </w:r>
      <w:r w:rsidR="00AB27D3">
        <w:t>.</w:t>
      </w:r>
      <w:r>
        <w:t>E</w:t>
      </w:r>
      <w:r w:rsidR="00AB27D3">
        <w:t>. and</w:t>
      </w:r>
      <w:r>
        <w:t xml:space="preserve"> White</w:t>
      </w:r>
      <w:r w:rsidR="00AB27D3">
        <w:t>,</w:t>
      </w:r>
      <w:r>
        <w:t xml:space="preserve"> J</w:t>
      </w:r>
      <w:r w:rsidR="00AB27D3">
        <w:t>.</w:t>
      </w:r>
      <w:r>
        <w:t>P</w:t>
      </w:r>
      <w:r w:rsidR="00AB27D3">
        <w:t>.</w:t>
      </w:r>
      <w:r>
        <w:t xml:space="preserve"> (2023). Reducing environmentally mediated transmission to moderate impacts of an emerging wildlife disease. </w:t>
      </w:r>
      <w:r>
        <w:rPr>
          <w:i/>
          <w:iCs/>
        </w:rPr>
        <w:t>Journal of Applied Ecology</w:t>
      </w:r>
      <w:r>
        <w:t xml:space="preserve"> </w:t>
      </w:r>
      <w:r>
        <w:rPr>
          <w:b/>
          <w:bCs/>
        </w:rPr>
        <w:t>60</w:t>
      </w:r>
      <w:r>
        <w:t>, 923–933 doi:10.1111/1365-2664.14371</w:t>
      </w:r>
    </w:p>
    <w:p w14:paraId="38BCCBCC" w14:textId="793A8621" w:rsidR="006C28A0" w:rsidRDefault="006C28A0" w:rsidP="006C28A0">
      <w:pPr>
        <w:pStyle w:val="Bibliography"/>
      </w:pPr>
      <w:r>
        <w:t xml:space="preserve">IUCN (2024). </w:t>
      </w:r>
      <w:r w:rsidRPr="00DA5824">
        <w:rPr>
          <w:i/>
          <w:iCs/>
        </w:rPr>
        <w:t>The IUCN red list of threatened species. Version 2024-1</w:t>
      </w:r>
      <w:r>
        <w:t xml:space="preserve">. Available at: http://www.iucnredlist.org </w:t>
      </w:r>
      <w:r w:rsidR="00AB27D3">
        <w:t>(</w:t>
      </w:r>
      <w:r>
        <w:t>accessed 30 September 2024</w:t>
      </w:r>
      <w:r w:rsidR="00AB27D3">
        <w:t>).</w:t>
      </w:r>
    </w:p>
    <w:p w14:paraId="3DE328DA" w14:textId="73DD3D5D" w:rsidR="006C28A0" w:rsidRDefault="006C28A0" w:rsidP="006C28A0">
      <w:pPr>
        <w:pStyle w:val="Bibliography"/>
      </w:pPr>
      <w:r>
        <w:t>Jackson</w:t>
      </w:r>
      <w:r w:rsidR="00AB27D3">
        <w:t>,</w:t>
      </w:r>
      <w:r>
        <w:t xml:space="preserve"> R</w:t>
      </w:r>
      <w:r w:rsidR="00AB27D3">
        <w:t>.</w:t>
      </w:r>
      <w:r>
        <w:t>T</w:t>
      </w:r>
      <w:r w:rsidR="00AB27D3">
        <w:t>.</w:t>
      </w:r>
      <w:r>
        <w:t>, Willcox</w:t>
      </w:r>
      <w:r w:rsidR="00AB27D3">
        <w:t>,</w:t>
      </w:r>
      <w:r>
        <w:t xml:space="preserve"> E</w:t>
      </w:r>
      <w:r w:rsidR="00AB27D3">
        <w:t>.</w:t>
      </w:r>
      <w:r>
        <w:t>V</w:t>
      </w:r>
      <w:r w:rsidR="00AB27D3">
        <w:t>. and</w:t>
      </w:r>
      <w:r>
        <w:t xml:space="preserve"> Bernard</w:t>
      </w:r>
      <w:r w:rsidR="00AB27D3">
        <w:t>,</w:t>
      </w:r>
      <w:r>
        <w:t xml:space="preserve"> R</w:t>
      </w:r>
      <w:r w:rsidR="00AB27D3">
        <w:t>.</w:t>
      </w:r>
      <w:r>
        <w:t>F</w:t>
      </w:r>
      <w:r w:rsidR="00AB27D3">
        <w:t>.</w:t>
      </w:r>
      <w:r>
        <w:t xml:space="preserve"> (2022a). Winter torpor expression varies in four bat species with differential susceptibility to </w:t>
      </w:r>
      <w:r w:rsidR="00E07B96">
        <w:t>White Nose Syndrome</w:t>
      </w:r>
      <w:r>
        <w:t xml:space="preserve">. </w:t>
      </w:r>
      <w:r>
        <w:rPr>
          <w:i/>
          <w:iCs/>
        </w:rPr>
        <w:t>Scientific Reports</w:t>
      </w:r>
      <w:r>
        <w:t xml:space="preserve"> </w:t>
      </w:r>
      <w:r>
        <w:rPr>
          <w:b/>
          <w:bCs/>
        </w:rPr>
        <w:t>12</w:t>
      </w:r>
      <w:r>
        <w:t>, 5688 doi:10.1038/s41598-022-09692-x</w:t>
      </w:r>
    </w:p>
    <w:p w14:paraId="4EA30192" w14:textId="416D9F1C" w:rsidR="006C28A0" w:rsidRDefault="006C28A0" w:rsidP="006C28A0">
      <w:pPr>
        <w:pStyle w:val="Bibliography"/>
      </w:pPr>
      <w:r>
        <w:t>Jackson</w:t>
      </w:r>
      <w:r w:rsidR="00AB27D3">
        <w:t>,</w:t>
      </w:r>
      <w:r>
        <w:t xml:space="preserve"> R</w:t>
      </w:r>
      <w:r w:rsidR="00AB27D3">
        <w:t>.</w:t>
      </w:r>
      <w:r>
        <w:t>T</w:t>
      </w:r>
      <w:r w:rsidR="00AB27D3">
        <w:t>.</w:t>
      </w:r>
      <w:r>
        <w:t>, Willcox</w:t>
      </w:r>
      <w:r w:rsidR="00AB27D3">
        <w:t>,</w:t>
      </w:r>
      <w:r>
        <w:t xml:space="preserve"> E</w:t>
      </w:r>
      <w:r w:rsidR="00AB27D3">
        <w:t>.</w:t>
      </w:r>
      <w:r>
        <w:t>V</w:t>
      </w:r>
      <w:r w:rsidR="00AB27D3">
        <w:t>.</w:t>
      </w:r>
      <w:r>
        <w:t>, Zobel</w:t>
      </w:r>
      <w:r w:rsidR="00AB27D3">
        <w:t>,</w:t>
      </w:r>
      <w:r>
        <w:t xml:space="preserve"> J</w:t>
      </w:r>
      <w:r w:rsidR="00AB27D3">
        <w:t>.</w:t>
      </w:r>
      <w:r>
        <w:t>M</w:t>
      </w:r>
      <w:r w:rsidR="00AB27D3">
        <w:t>. and</w:t>
      </w:r>
      <w:r>
        <w:t xml:space="preserve"> Bernard</w:t>
      </w:r>
      <w:r w:rsidR="00AB27D3">
        <w:t>,</w:t>
      </w:r>
      <w:r>
        <w:t xml:space="preserve"> R</w:t>
      </w:r>
      <w:r w:rsidR="00AB27D3">
        <w:t>.</w:t>
      </w:r>
      <w:r>
        <w:t>F</w:t>
      </w:r>
      <w:r w:rsidR="00AB27D3">
        <w:t>.</w:t>
      </w:r>
      <w:r>
        <w:t xml:space="preserve"> (2022b). Emergence activity at hibernacula differs among four bat species affected by white</w:t>
      </w:r>
      <w:r>
        <w:rPr>
          <w:rFonts w:ascii="Cambria Math" w:hAnsi="Cambria Math" w:cs="Cambria Math"/>
        </w:rPr>
        <w:t>‐</w:t>
      </w:r>
      <w:r>
        <w:t xml:space="preserve">nose syndrome. </w:t>
      </w:r>
      <w:r>
        <w:rPr>
          <w:i/>
          <w:iCs/>
        </w:rPr>
        <w:t>Ecology and Evolution</w:t>
      </w:r>
      <w:r>
        <w:t xml:space="preserve"> </w:t>
      </w:r>
      <w:r>
        <w:rPr>
          <w:b/>
          <w:bCs/>
        </w:rPr>
        <w:t>12</w:t>
      </w:r>
      <w:r>
        <w:t>, e9113 doi:10.1002/ece3.9113</w:t>
      </w:r>
    </w:p>
    <w:p w14:paraId="5E8017BA" w14:textId="581D2A25" w:rsidR="006C28A0" w:rsidRDefault="006C28A0" w:rsidP="006C28A0">
      <w:pPr>
        <w:pStyle w:val="Bibliography"/>
      </w:pPr>
      <w:r>
        <w:t>Jakob-Hoff</w:t>
      </w:r>
      <w:r w:rsidR="00AB27D3">
        <w:t>,</w:t>
      </w:r>
      <w:r>
        <w:t xml:space="preserve"> R</w:t>
      </w:r>
      <w:r w:rsidR="00AB27D3">
        <w:t>.</w:t>
      </w:r>
      <w:r>
        <w:t>M</w:t>
      </w:r>
      <w:r w:rsidR="00AB27D3">
        <w:t>.</w:t>
      </w:r>
      <w:r>
        <w:t>, MacDiarmid</w:t>
      </w:r>
      <w:r w:rsidR="00AB27D3">
        <w:t>,</w:t>
      </w:r>
      <w:r>
        <w:t xml:space="preserve"> S</w:t>
      </w:r>
      <w:r w:rsidR="00AB27D3">
        <w:t>.</w:t>
      </w:r>
      <w:r>
        <w:t>C</w:t>
      </w:r>
      <w:r w:rsidR="00AB27D3">
        <w:t>.</w:t>
      </w:r>
      <w:r>
        <w:t>, Lees</w:t>
      </w:r>
      <w:r w:rsidR="00AB27D3">
        <w:t>,</w:t>
      </w:r>
      <w:r>
        <w:t xml:space="preserve"> C</w:t>
      </w:r>
      <w:r w:rsidR="00AB27D3">
        <w:t>.</w:t>
      </w:r>
      <w:r>
        <w:t>, Miller</w:t>
      </w:r>
      <w:r w:rsidR="00AB27D3">
        <w:t>,</w:t>
      </w:r>
      <w:r>
        <w:t xml:space="preserve"> P</w:t>
      </w:r>
      <w:r w:rsidR="00AB27D3">
        <w:t>.</w:t>
      </w:r>
      <w:r>
        <w:t>S</w:t>
      </w:r>
      <w:r w:rsidR="00AB27D3">
        <w:t>.</w:t>
      </w:r>
      <w:r>
        <w:t>, Travis</w:t>
      </w:r>
      <w:r w:rsidR="00AB27D3">
        <w:t>,</w:t>
      </w:r>
      <w:r>
        <w:t xml:space="preserve"> D</w:t>
      </w:r>
      <w:r w:rsidR="00AB27D3">
        <w:t>. and</w:t>
      </w:r>
      <w:r>
        <w:t xml:space="preserve"> Kock</w:t>
      </w:r>
      <w:r w:rsidR="00AB27D3">
        <w:t>,</w:t>
      </w:r>
      <w:r>
        <w:t xml:space="preserve"> R</w:t>
      </w:r>
      <w:r w:rsidR="00AB27D3">
        <w:t>.</w:t>
      </w:r>
      <w:r>
        <w:t xml:space="preserve"> (2014). </w:t>
      </w:r>
      <w:r w:rsidR="00AB27D3" w:rsidRPr="00DA5824">
        <w:rPr>
          <w:i/>
          <w:iCs/>
        </w:rPr>
        <w:t>M</w:t>
      </w:r>
      <w:r w:rsidRPr="00DA5824">
        <w:rPr>
          <w:i/>
          <w:iCs/>
        </w:rPr>
        <w:t xml:space="preserve">anual of </w:t>
      </w:r>
      <w:r w:rsidR="00AB27D3" w:rsidRPr="00DA5824">
        <w:rPr>
          <w:i/>
          <w:iCs/>
        </w:rPr>
        <w:t>P</w:t>
      </w:r>
      <w:r w:rsidRPr="00DA5824">
        <w:rPr>
          <w:i/>
          <w:iCs/>
        </w:rPr>
        <w:t xml:space="preserve">rocedures for </w:t>
      </w:r>
      <w:r w:rsidR="00AB27D3" w:rsidRPr="00DA5824">
        <w:rPr>
          <w:i/>
          <w:iCs/>
        </w:rPr>
        <w:t>W</w:t>
      </w:r>
      <w:r w:rsidRPr="00DA5824">
        <w:rPr>
          <w:i/>
          <w:iCs/>
        </w:rPr>
        <w:t xml:space="preserve">ildlife </w:t>
      </w:r>
      <w:r w:rsidR="00AB27D3" w:rsidRPr="00DA5824">
        <w:rPr>
          <w:i/>
          <w:iCs/>
        </w:rPr>
        <w:t>D</w:t>
      </w:r>
      <w:r w:rsidRPr="00DA5824">
        <w:rPr>
          <w:i/>
          <w:iCs/>
        </w:rPr>
        <w:t xml:space="preserve">isease </w:t>
      </w:r>
      <w:r w:rsidR="00AB27D3" w:rsidRPr="00DA5824">
        <w:rPr>
          <w:i/>
          <w:iCs/>
        </w:rPr>
        <w:t>R</w:t>
      </w:r>
      <w:r w:rsidRPr="00DA5824">
        <w:rPr>
          <w:i/>
          <w:iCs/>
        </w:rPr>
        <w:t xml:space="preserve">isk </w:t>
      </w:r>
      <w:r w:rsidR="00AB27D3" w:rsidRPr="00DA5824">
        <w:rPr>
          <w:i/>
          <w:iCs/>
        </w:rPr>
        <w:t>A</w:t>
      </w:r>
      <w:r w:rsidRPr="00DA5824">
        <w:rPr>
          <w:i/>
          <w:iCs/>
        </w:rPr>
        <w:t>nalysis.</w:t>
      </w:r>
      <w:r>
        <w:t xml:space="preserve"> OIE and IUCN</w:t>
      </w:r>
      <w:r w:rsidR="00AB27D3">
        <w:t>,</w:t>
      </w:r>
      <w:r>
        <w:t xml:space="preserve"> Paris</w:t>
      </w:r>
      <w:r w:rsidR="00AB27D3">
        <w:t>, France.</w:t>
      </w:r>
    </w:p>
    <w:p w14:paraId="731B24AA" w14:textId="39F6D7F5" w:rsidR="006C28A0" w:rsidRDefault="006C28A0" w:rsidP="006C28A0">
      <w:pPr>
        <w:pStyle w:val="Bibliography"/>
      </w:pPr>
      <w:r>
        <w:t>Kasimov</w:t>
      </w:r>
      <w:r w:rsidR="00AB27D3">
        <w:t>,</w:t>
      </w:r>
      <w:r>
        <w:t xml:space="preserve"> V</w:t>
      </w:r>
      <w:r w:rsidR="00AB27D3">
        <w:t>.</w:t>
      </w:r>
      <w:r>
        <w:t>, Wille</w:t>
      </w:r>
      <w:r w:rsidR="00AB27D3">
        <w:t>,</w:t>
      </w:r>
      <w:r>
        <w:t xml:space="preserve"> M</w:t>
      </w:r>
      <w:r w:rsidR="00AB27D3">
        <w:t>.</w:t>
      </w:r>
      <w:r>
        <w:t>, Sarker</w:t>
      </w:r>
      <w:r w:rsidR="00AB27D3">
        <w:t>,</w:t>
      </w:r>
      <w:r>
        <w:t xml:space="preserve"> S</w:t>
      </w:r>
      <w:r w:rsidR="00AB27D3">
        <w:t>.</w:t>
      </w:r>
      <w:r>
        <w:t>, Dong</w:t>
      </w:r>
      <w:r w:rsidR="00AB27D3">
        <w:t>,</w:t>
      </w:r>
      <w:r>
        <w:t xml:space="preserve"> Y</w:t>
      </w:r>
      <w:r w:rsidR="00AB27D3">
        <w:t>.</w:t>
      </w:r>
      <w:r>
        <w:t>, Shao</w:t>
      </w:r>
      <w:r w:rsidR="00AB27D3">
        <w:t>,</w:t>
      </w:r>
      <w:r>
        <w:t xml:space="preserve"> R</w:t>
      </w:r>
      <w:r w:rsidR="00AB27D3">
        <w:t>.</w:t>
      </w:r>
      <w:r>
        <w:t>, Hall</w:t>
      </w:r>
      <w:r w:rsidR="00AB27D3">
        <w:t>,</w:t>
      </w:r>
      <w:r>
        <w:t xml:space="preserve"> C</w:t>
      </w:r>
      <w:r w:rsidR="00AB27D3">
        <w:t>.</w:t>
      </w:r>
      <w:r>
        <w:t>, Potvin</w:t>
      </w:r>
      <w:r w:rsidR="00AB27D3">
        <w:t>,</w:t>
      </w:r>
      <w:r>
        <w:t xml:space="preserve"> D</w:t>
      </w:r>
      <w:r w:rsidR="00AB27D3">
        <w:t>.</w:t>
      </w:r>
      <w:r>
        <w:t>, Conroy</w:t>
      </w:r>
      <w:r w:rsidR="00AB27D3">
        <w:t>,</w:t>
      </w:r>
      <w:r>
        <w:t xml:space="preserve"> G</w:t>
      </w:r>
      <w:r w:rsidR="00AB27D3">
        <w:t>.</w:t>
      </w:r>
      <w:r>
        <w:t>, Valenza</w:t>
      </w:r>
      <w:r w:rsidR="00AB27D3">
        <w:t>,</w:t>
      </w:r>
      <w:r>
        <w:t xml:space="preserve"> L</w:t>
      </w:r>
      <w:r w:rsidR="00AB27D3">
        <w:t>.</w:t>
      </w:r>
      <w:r>
        <w:t>, Gillett</w:t>
      </w:r>
      <w:r w:rsidR="00AB27D3">
        <w:t>,</w:t>
      </w:r>
      <w:r>
        <w:t xml:space="preserve"> A</w:t>
      </w:r>
      <w:r w:rsidR="00AB27D3">
        <w:t>.</w:t>
      </w:r>
      <w:r>
        <w:t>, Timms</w:t>
      </w:r>
      <w:r w:rsidR="00AB27D3">
        <w:t>,</w:t>
      </w:r>
      <w:r>
        <w:t xml:space="preserve"> P</w:t>
      </w:r>
      <w:r w:rsidR="00AB27D3">
        <w:t>. and</w:t>
      </w:r>
      <w:r>
        <w:t xml:space="preserve"> Jelocnik</w:t>
      </w:r>
      <w:r w:rsidR="00AB27D3">
        <w:t>,</w:t>
      </w:r>
      <w:r>
        <w:t xml:space="preserve"> M</w:t>
      </w:r>
      <w:r w:rsidR="00AB27D3">
        <w:t>.</w:t>
      </w:r>
      <w:r>
        <w:t xml:space="preserve"> (2023). Unexpected </w:t>
      </w:r>
      <w:r w:rsidR="00AB27D3">
        <w:t>pathogen diversity detected in australian avifauna highlights potential biosecurity challenges</w:t>
      </w:r>
      <w:r>
        <w:t xml:space="preserve">. </w:t>
      </w:r>
      <w:r>
        <w:rPr>
          <w:i/>
          <w:iCs/>
        </w:rPr>
        <w:t>Viruses</w:t>
      </w:r>
      <w:r>
        <w:t xml:space="preserve"> </w:t>
      </w:r>
      <w:r>
        <w:rPr>
          <w:b/>
          <w:bCs/>
        </w:rPr>
        <w:t>15</w:t>
      </w:r>
      <w:r>
        <w:t>, 143 doi:10.3390/v15010143</w:t>
      </w:r>
    </w:p>
    <w:p w14:paraId="735A95C0" w14:textId="4CA1E747" w:rsidR="006C28A0" w:rsidRDefault="006C28A0" w:rsidP="006C28A0">
      <w:pPr>
        <w:pStyle w:val="Bibliography"/>
      </w:pPr>
      <w:r>
        <w:t>Keeling</w:t>
      </w:r>
      <w:r w:rsidR="00E11B22">
        <w:t>,</w:t>
      </w:r>
      <w:r>
        <w:t xml:space="preserve"> M</w:t>
      </w:r>
      <w:r w:rsidR="00E11B22">
        <w:t>.</w:t>
      </w:r>
      <w:r>
        <w:t>J</w:t>
      </w:r>
      <w:r w:rsidR="00E11B22">
        <w:t>. and</w:t>
      </w:r>
      <w:r>
        <w:t xml:space="preserve"> Rohani</w:t>
      </w:r>
      <w:r w:rsidR="00E11B22">
        <w:t>,</w:t>
      </w:r>
      <w:r>
        <w:t xml:space="preserve"> P</w:t>
      </w:r>
      <w:r w:rsidR="00E11B22">
        <w:t>.</w:t>
      </w:r>
      <w:r>
        <w:t xml:space="preserve"> (2008). </w:t>
      </w:r>
      <w:r w:rsidRPr="00DA5824">
        <w:rPr>
          <w:i/>
          <w:iCs/>
        </w:rPr>
        <w:t>Modelling Infectious Diseases in Humans and Animals</w:t>
      </w:r>
      <w:r>
        <w:t>. Princeton University Press, Princeton, New Jersey</w:t>
      </w:r>
      <w:r w:rsidR="00E11B22">
        <w:t>, USA.</w:t>
      </w:r>
    </w:p>
    <w:p w14:paraId="752FDAA9" w14:textId="7A327943" w:rsidR="006C28A0" w:rsidRDefault="006C28A0" w:rsidP="006C28A0">
      <w:pPr>
        <w:pStyle w:val="Bibliography"/>
      </w:pPr>
      <w:r>
        <w:t>Kermack</w:t>
      </w:r>
      <w:r w:rsidR="00E11B22">
        <w:t>,</w:t>
      </w:r>
      <w:r>
        <w:t xml:space="preserve"> W</w:t>
      </w:r>
      <w:r w:rsidR="00E11B22">
        <w:t>.</w:t>
      </w:r>
      <w:r>
        <w:t>O</w:t>
      </w:r>
      <w:r w:rsidR="00E11B22">
        <w:t>. and</w:t>
      </w:r>
      <w:r>
        <w:t xml:space="preserve"> McKendrick</w:t>
      </w:r>
      <w:r w:rsidR="00E11B22">
        <w:t>,</w:t>
      </w:r>
      <w:r>
        <w:t xml:space="preserve"> A</w:t>
      </w:r>
      <w:r w:rsidR="00E11B22">
        <w:t>.</w:t>
      </w:r>
      <w:r>
        <w:t>G</w:t>
      </w:r>
      <w:r w:rsidR="00E11B22">
        <w:t>.</w:t>
      </w:r>
      <w:r>
        <w:t xml:space="preserve"> (1927). A contribution to the mathematical theory of epidemics. </w:t>
      </w:r>
      <w:r>
        <w:rPr>
          <w:i/>
          <w:iCs/>
        </w:rPr>
        <w:t>Proceedings of the Royal Society</w:t>
      </w:r>
      <w:r>
        <w:t xml:space="preserve"> </w:t>
      </w:r>
      <w:r>
        <w:rPr>
          <w:b/>
          <w:bCs/>
        </w:rPr>
        <w:t>A115</w:t>
      </w:r>
      <w:r>
        <w:t>, 700–721.</w:t>
      </w:r>
    </w:p>
    <w:p w14:paraId="47E48599" w14:textId="4F959B61" w:rsidR="006C28A0" w:rsidRDefault="006C28A0" w:rsidP="006C28A0">
      <w:pPr>
        <w:pStyle w:val="Bibliography"/>
      </w:pPr>
      <w:r>
        <w:t>Kinney</w:t>
      </w:r>
      <w:r w:rsidR="00E11B22">
        <w:t>,</w:t>
      </w:r>
      <w:r>
        <w:t xml:space="preserve"> V</w:t>
      </w:r>
      <w:r w:rsidR="00E11B22">
        <w:t>.</w:t>
      </w:r>
      <w:r>
        <w:t>C</w:t>
      </w:r>
      <w:r w:rsidR="00E11B22">
        <w:t>.</w:t>
      </w:r>
      <w:r>
        <w:t>, Heemeyer</w:t>
      </w:r>
      <w:r w:rsidR="00E11B22">
        <w:t>,</w:t>
      </w:r>
      <w:r>
        <w:t xml:space="preserve"> J</w:t>
      </w:r>
      <w:r w:rsidR="00E11B22">
        <w:t>.</w:t>
      </w:r>
      <w:r>
        <w:t>L</w:t>
      </w:r>
      <w:r w:rsidR="00E11B22">
        <w:t>.</w:t>
      </w:r>
      <w:r>
        <w:t>, Pessier</w:t>
      </w:r>
      <w:r w:rsidR="00E11B22">
        <w:t>,</w:t>
      </w:r>
      <w:r>
        <w:t xml:space="preserve"> A</w:t>
      </w:r>
      <w:r w:rsidR="00E11B22">
        <w:t>.</w:t>
      </w:r>
      <w:r>
        <w:t>P</w:t>
      </w:r>
      <w:r w:rsidR="00E11B22">
        <w:t>. and</w:t>
      </w:r>
      <w:r>
        <w:t xml:space="preserve"> Lannoo</w:t>
      </w:r>
      <w:r w:rsidR="00E11B22">
        <w:t>,</w:t>
      </w:r>
      <w:r>
        <w:t xml:space="preserve"> M</w:t>
      </w:r>
      <w:r w:rsidR="00E11B22">
        <w:t>.</w:t>
      </w:r>
      <w:r>
        <w:t>J</w:t>
      </w:r>
      <w:r w:rsidR="00E11B22">
        <w:t>.</w:t>
      </w:r>
      <w:r>
        <w:t xml:space="preserve"> (2011). Seasonal </w:t>
      </w:r>
      <w:r w:rsidR="00E11B22">
        <w:t>p</w:t>
      </w:r>
      <w:r>
        <w:t xml:space="preserve">attern of </w:t>
      </w:r>
      <w:r w:rsidRPr="00DA5824">
        <w:rPr>
          <w:i/>
          <w:iCs/>
        </w:rPr>
        <w:t>Batrachochytrium dendrobatidis</w:t>
      </w:r>
      <w:r>
        <w:t xml:space="preserve"> </w:t>
      </w:r>
      <w:r w:rsidR="00E11B22">
        <w:t>i</w:t>
      </w:r>
      <w:r>
        <w:t xml:space="preserve">nfection and </w:t>
      </w:r>
      <w:r w:rsidR="00E11B22">
        <w:t>m</w:t>
      </w:r>
      <w:r>
        <w:t xml:space="preserve">ortality in </w:t>
      </w:r>
      <w:r w:rsidRPr="00DA5824">
        <w:rPr>
          <w:i/>
          <w:iCs/>
        </w:rPr>
        <w:t>Lithobates areolatus</w:t>
      </w:r>
      <w:r>
        <w:t xml:space="preserve">: Affirmation of Vredenburg’s </w:t>
      </w:r>
      <w:r w:rsidR="0022442B">
        <w:t>‘</w:t>
      </w:r>
      <w:r>
        <w:t>10,000 Zoospore Rule</w:t>
      </w:r>
      <w:r w:rsidR="0022442B">
        <w:t>’</w:t>
      </w:r>
      <w:r>
        <w:t xml:space="preserve"> Ed K Nielsen. </w:t>
      </w:r>
      <w:r>
        <w:rPr>
          <w:i/>
          <w:iCs/>
        </w:rPr>
        <w:t>PLoS ONE</w:t>
      </w:r>
      <w:r>
        <w:t xml:space="preserve"> </w:t>
      </w:r>
      <w:r>
        <w:rPr>
          <w:b/>
          <w:bCs/>
        </w:rPr>
        <w:t>6</w:t>
      </w:r>
      <w:r>
        <w:t>, e16708 doi:10.1371/journal.pone.0016708</w:t>
      </w:r>
    </w:p>
    <w:p w14:paraId="24E61055" w14:textId="3976B380" w:rsidR="006C28A0" w:rsidRDefault="006C28A0" w:rsidP="006C28A0">
      <w:pPr>
        <w:pStyle w:val="Bibliography"/>
      </w:pPr>
      <w:r>
        <w:t>Legge</w:t>
      </w:r>
      <w:r w:rsidR="00E11B22">
        <w:t>,</w:t>
      </w:r>
      <w:r>
        <w:t xml:space="preserve"> S</w:t>
      </w:r>
      <w:r w:rsidR="00E11B22">
        <w:t>.</w:t>
      </w:r>
      <w:r>
        <w:t>, Rumpff</w:t>
      </w:r>
      <w:r w:rsidR="00E11B22">
        <w:t>,</w:t>
      </w:r>
      <w:r>
        <w:t xml:space="preserve"> L</w:t>
      </w:r>
      <w:r w:rsidR="00E11B22">
        <w:t>.</w:t>
      </w:r>
      <w:r>
        <w:t>, Garnett</w:t>
      </w:r>
      <w:r w:rsidR="00E11B22">
        <w:t>,</w:t>
      </w:r>
      <w:r>
        <w:t xml:space="preserve"> S</w:t>
      </w:r>
      <w:r w:rsidR="00E11B22">
        <w:t>.</w:t>
      </w:r>
      <w:r>
        <w:t>T</w:t>
      </w:r>
      <w:r w:rsidR="00E11B22">
        <w:t>. and</w:t>
      </w:r>
      <w:r>
        <w:t xml:space="preserve"> Woinarski</w:t>
      </w:r>
      <w:r w:rsidR="00E11B22">
        <w:t>,</w:t>
      </w:r>
      <w:r>
        <w:t xml:space="preserve"> J</w:t>
      </w:r>
      <w:r w:rsidR="00E11B22">
        <w:t>.</w:t>
      </w:r>
      <w:r>
        <w:t>C</w:t>
      </w:r>
      <w:r w:rsidR="00E11B22">
        <w:t>.</w:t>
      </w:r>
      <w:r>
        <w:t xml:space="preserve"> (2023). Loss of terrestrial biodiversity in Australia: Magnitude, causation, and response. </w:t>
      </w:r>
      <w:r>
        <w:rPr>
          <w:i/>
          <w:iCs/>
        </w:rPr>
        <w:t>Science</w:t>
      </w:r>
      <w:r>
        <w:t xml:space="preserve"> </w:t>
      </w:r>
      <w:r>
        <w:rPr>
          <w:b/>
          <w:bCs/>
        </w:rPr>
        <w:t>381</w:t>
      </w:r>
      <w:r>
        <w:t>, 622–631.</w:t>
      </w:r>
    </w:p>
    <w:p w14:paraId="290D46E0" w14:textId="2143C3CD" w:rsidR="006C28A0" w:rsidRDefault="006C28A0" w:rsidP="006C28A0">
      <w:pPr>
        <w:pStyle w:val="Bibliography"/>
      </w:pPr>
      <w:r>
        <w:t>Leguia</w:t>
      </w:r>
      <w:r w:rsidR="00E11B22">
        <w:t>,</w:t>
      </w:r>
      <w:r>
        <w:t xml:space="preserve"> M</w:t>
      </w:r>
      <w:r w:rsidR="00E11B22">
        <w:t>.</w:t>
      </w:r>
      <w:r>
        <w:t>, Garcia-Glaessner</w:t>
      </w:r>
      <w:r w:rsidR="00E11B22">
        <w:t>,</w:t>
      </w:r>
      <w:r>
        <w:t xml:space="preserve"> A</w:t>
      </w:r>
      <w:r w:rsidR="00E11B22">
        <w:t>.</w:t>
      </w:r>
      <w:r>
        <w:t>, Muñoz-Saavedra</w:t>
      </w:r>
      <w:r w:rsidR="00E11B22">
        <w:t>,</w:t>
      </w:r>
      <w:r>
        <w:t xml:space="preserve"> B</w:t>
      </w:r>
      <w:r w:rsidR="00E11B22">
        <w:t>.</w:t>
      </w:r>
      <w:r>
        <w:t>, Juarez</w:t>
      </w:r>
      <w:r w:rsidR="00E11B22">
        <w:t>,</w:t>
      </w:r>
      <w:r>
        <w:t xml:space="preserve"> D</w:t>
      </w:r>
      <w:r w:rsidR="00E11B22">
        <w:t>.</w:t>
      </w:r>
      <w:r>
        <w:t>, Barrera</w:t>
      </w:r>
      <w:r w:rsidR="00E11B22">
        <w:t>,</w:t>
      </w:r>
      <w:r>
        <w:t xml:space="preserve"> P</w:t>
      </w:r>
      <w:r w:rsidR="00E11B22">
        <w:t>.</w:t>
      </w:r>
      <w:r>
        <w:t>, Calvo-Mac</w:t>
      </w:r>
      <w:r w:rsidR="00E11B22">
        <w:t>,</w:t>
      </w:r>
      <w:r>
        <w:t xml:space="preserve"> C</w:t>
      </w:r>
      <w:r w:rsidR="00E11B22">
        <w:t>.</w:t>
      </w:r>
      <w:r>
        <w:t>, Jara</w:t>
      </w:r>
      <w:r w:rsidR="00E11B22">
        <w:t>,</w:t>
      </w:r>
      <w:r>
        <w:t xml:space="preserve"> J</w:t>
      </w:r>
      <w:r w:rsidR="00E11B22">
        <w:t>.</w:t>
      </w:r>
      <w:r>
        <w:t>, Silva</w:t>
      </w:r>
      <w:r w:rsidR="00E11B22">
        <w:t>,</w:t>
      </w:r>
      <w:r>
        <w:t xml:space="preserve"> W</w:t>
      </w:r>
      <w:r w:rsidR="00E11B22">
        <w:t>.</w:t>
      </w:r>
      <w:r>
        <w:t>, Ploog</w:t>
      </w:r>
      <w:r w:rsidR="00E11B22">
        <w:t>,</w:t>
      </w:r>
      <w:r>
        <w:t xml:space="preserve"> K</w:t>
      </w:r>
      <w:r w:rsidR="00E11B22">
        <w:t>.</w:t>
      </w:r>
      <w:r>
        <w:t xml:space="preserve">, Amaro, Lady, others (2023). Highly pathogenic avian influenza A (H5N1) in marine mammals and seabirds in Peru. </w:t>
      </w:r>
      <w:r>
        <w:rPr>
          <w:i/>
          <w:iCs/>
        </w:rPr>
        <w:t>Nature Communications</w:t>
      </w:r>
      <w:r>
        <w:t xml:space="preserve"> </w:t>
      </w:r>
      <w:r>
        <w:rPr>
          <w:b/>
          <w:bCs/>
        </w:rPr>
        <w:t>14</w:t>
      </w:r>
      <w:r>
        <w:t>, 5489.</w:t>
      </w:r>
    </w:p>
    <w:p w14:paraId="7D64C97A" w14:textId="19D1187C" w:rsidR="006C28A0" w:rsidRDefault="006C28A0" w:rsidP="006C28A0">
      <w:pPr>
        <w:pStyle w:val="Bibliography"/>
      </w:pPr>
      <w:r>
        <w:t>May</w:t>
      </w:r>
      <w:r w:rsidR="00E11B22">
        <w:t>,</w:t>
      </w:r>
      <w:r>
        <w:t xml:space="preserve"> R</w:t>
      </w:r>
      <w:r w:rsidR="00E11B22">
        <w:t>.</w:t>
      </w:r>
      <w:r>
        <w:t>M</w:t>
      </w:r>
      <w:r w:rsidR="00E11B22">
        <w:t>. and</w:t>
      </w:r>
      <w:r>
        <w:t xml:space="preserve"> Anderson</w:t>
      </w:r>
      <w:r w:rsidR="00E11B22">
        <w:t>,</w:t>
      </w:r>
      <w:r>
        <w:t xml:space="preserve"> R</w:t>
      </w:r>
      <w:r w:rsidR="00E11B22">
        <w:t>.</w:t>
      </w:r>
      <w:r>
        <w:t>M</w:t>
      </w:r>
      <w:r w:rsidR="00E11B22">
        <w:t>.</w:t>
      </w:r>
      <w:r>
        <w:t xml:space="preserve"> (1979). Population biology of infectious diseases: Part I. </w:t>
      </w:r>
      <w:r>
        <w:rPr>
          <w:i/>
          <w:iCs/>
        </w:rPr>
        <w:t>Nature</w:t>
      </w:r>
      <w:r>
        <w:t xml:space="preserve"> </w:t>
      </w:r>
      <w:r>
        <w:rPr>
          <w:b/>
          <w:bCs/>
        </w:rPr>
        <w:t>280</w:t>
      </w:r>
      <w:r>
        <w:t>, 361–367.</w:t>
      </w:r>
    </w:p>
    <w:p w14:paraId="1E923FD0" w14:textId="7651B909" w:rsidR="006C28A0" w:rsidRDefault="006C28A0" w:rsidP="006C28A0">
      <w:pPr>
        <w:pStyle w:val="Bibliography"/>
      </w:pPr>
      <w:r>
        <w:t>McCallum</w:t>
      </w:r>
      <w:r w:rsidR="00E11B22">
        <w:t>,</w:t>
      </w:r>
      <w:r>
        <w:t xml:space="preserve"> H</w:t>
      </w:r>
      <w:r w:rsidR="00E11B22">
        <w:t>.</w:t>
      </w:r>
      <w:r>
        <w:t>, Barlow</w:t>
      </w:r>
      <w:r w:rsidR="00E11B22">
        <w:t>,</w:t>
      </w:r>
      <w:r>
        <w:t xml:space="preserve"> N</w:t>
      </w:r>
      <w:r w:rsidR="00E11B22">
        <w:t>. and</w:t>
      </w:r>
      <w:r>
        <w:t xml:space="preserve"> Hone</w:t>
      </w:r>
      <w:r w:rsidR="00E11B22">
        <w:t>,</w:t>
      </w:r>
      <w:r>
        <w:t xml:space="preserve"> J</w:t>
      </w:r>
      <w:r w:rsidR="00E11B22">
        <w:t>.</w:t>
      </w:r>
      <w:r>
        <w:t xml:space="preserve"> (2001). How should pathogen transmission be modelled? </w:t>
      </w:r>
      <w:r>
        <w:rPr>
          <w:i/>
          <w:iCs/>
        </w:rPr>
        <w:t xml:space="preserve">Trends in Ecology </w:t>
      </w:r>
      <w:r w:rsidR="00E11B22">
        <w:rPr>
          <w:i/>
          <w:iCs/>
        </w:rPr>
        <w:t>and</w:t>
      </w:r>
      <w:r>
        <w:rPr>
          <w:i/>
          <w:iCs/>
        </w:rPr>
        <w:t xml:space="preserve"> Evolution</w:t>
      </w:r>
      <w:r>
        <w:t xml:space="preserve"> </w:t>
      </w:r>
      <w:r>
        <w:rPr>
          <w:b/>
          <w:bCs/>
        </w:rPr>
        <w:t>16</w:t>
      </w:r>
      <w:r>
        <w:t>, 295–300 doi:10.1016/S0169-5347(01)02144-9</w:t>
      </w:r>
    </w:p>
    <w:p w14:paraId="6BA6D704" w14:textId="01CDAA76" w:rsidR="006C28A0" w:rsidRDefault="006C28A0" w:rsidP="006C28A0">
      <w:pPr>
        <w:pStyle w:val="Bibliography"/>
      </w:pPr>
      <w:r>
        <w:t>Meyer</w:t>
      </w:r>
      <w:r w:rsidR="00E11B22">
        <w:t>,</w:t>
      </w:r>
      <w:r>
        <w:t xml:space="preserve"> A</w:t>
      </w:r>
      <w:r w:rsidR="00E11B22">
        <w:t>.</w:t>
      </w:r>
      <w:r>
        <w:t>D</w:t>
      </w:r>
      <w:r w:rsidR="00E11B22">
        <w:t>.</w:t>
      </w:r>
      <w:r>
        <w:t>, Stevens</w:t>
      </w:r>
      <w:r w:rsidR="00E11B22">
        <w:t>,</w:t>
      </w:r>
      <w:r>
        <w:t xml:space="preserve"> D</w:t>
      </w:r>
      <w:r w:rsidR="00E11B22">
        <w:t>.</w:t>
      </w:r>
      <w:r>
        <w:t>F</w:t>
      </w:r>
      <w:r w:rsidR="00E11B22">
        <w:t xml:space="preserve">. and </w:t>
      </w:r>
      <w:r>
        <w:t>Blackwood</w:t>
      </w:r>
      <w:r w:rsidR="00E11B22">
        <w:t>,</w:t>
      </w:r>
      <w:r>
        <w:t xml:space="preserve"> J</w:t>
      </w:r>
      <w:r w:rsidR="00E11B22">
        <w:t>.</w:t>
      </w:r>
      <w:r>
        <w:t>C</w:t>
      </w:r>
      <w:r w:rsidR="00E11B22">
        <w:t>.</w:t>
      </w:r>
      <w:r>
        <w:t xml:space="preserve"> (2016). Predicting bat colony survival under controls targeting multiple transmission routes of </w:t>
      </w:r>
      <w:r w:rsidR="00E07B96">
        <w:t>White Nose Syndrome</w:t>
      </w:r>
      <w:r>
        <w:t xml:space="preserve">. </w:t>
      </w:r>
      <w:r>
        <w:rPr>
          <w:i/>
          <w:iCs/>
        </w:rPr>
        <w:t>Journal of Theoretical Biology</w:t>
      </w:r>
      <w:r>
        <w:t xml:space="preserve"> </w:t>
      </w:r>
      <w:r>
        <w:rPr>
          <w:b/>
          <w:bCs/>
        </w:rPr>
        <w:t>409</w:t>
      </w:r>
      <w:r>
        <w:t>, 60–69 doi:10.1016/j.jtbi.2016.08.033</w:t>
      </w:r>
    </w:p>
    <w:p w14:paraId="7A93A717" w14:textId="10ABDA88" w:rsidR="006C28A0" w:rsidRDefault="006C28A0" w:rsidP="006C28A0">
      <w:pPr>
        <w:pStyle w:val="Bibliography"/>
      </w:pPr>
      <w:r>
        <w:t>Molini</w:t>
      </w:r>
      <w:r w:rsidR="00E11B22">
        <w:t>,</w:t>
      </w:r>
      <w:r>
        <w:t xml:space="preserve"> U</w:t>
      </w:r>
      <w:r w:rsidR="00E11B22">
        <w:t>.</w:t>
      </w:r>
      <w:r>
        <w:t>, Aikukutu</w:t>
      </w:r>
      <w:r w:rsidR="00E11B22">
        <w:t>,</w:t>
      </w:r>
      <w:r>
        <w:t xml:space="preserve"> G</w:t>
      </w:r>
      <w:r w:rsidR="00E11B22">
        <w:t>.</w:t>
      </w:r>
      <w:r>
        <w:t>, Roux</w:t>
      </w:r>
      <w:r w:rsidR="00E11B22">
        <w:t>,</w:t>
      </w:r>
      <w:r>
        <w:t xml:space="preserve"> J-P</w:t>
      </w:r>
      <w:r w:rsidR="00E11B22">
        <w:t>.</w:t>
      </w:r>
      <w:r>
        <w:t>, Kemper</w:t>
      </w:r>
      <w:r w:rsidR="00E11B22">
        <w:t>,</w:t>
      </w:r>
      <w:r>
        <w:t xml:space="preserve"> J</w:t>
      </w:r>
      <w:r w:rsidR="00E11B22">
        <w:t>.</w:t>
      </w:r>
      <w:r>
        <w:t>, Ntahonshikira</w:t>
      </w:r>
      <w:r w:rsidR="00E11B22">
        <w:t>,</w:t>
      </w:r>
      <w:r>
        <w:t xml:space="preserve"> C</w:t>
      </w:r>
      <w:r w:rsidR="00E11B22">
        <w:t>.</w:t>
      </w:r>
      <w:r>
        <w:t>, Marruchella</w:t>
      </w:r>
      <w:r w:rsidR="00E11B22">
        <w:t>,</w:t>
      </w:r>
      <w:r>
        <w:t xml:space="preserve"> G</w:t>
      </w:r>
      <w:r w:rsidR="00E11B22">
        <w:t>.</w:t>
      </w:r>
      <w:r>
        <w:t>, Khaiseb</w:t>
      </w:r>
      <w:r w:rsidR="00E11B22">
        <w:t>,</w:t>
      </w:r>
      <w:r>
        <w:t xml:space="preserve"> S</w:t>
      </w:r>
      <w:r w:rsidR="00E11B22">
        <w:t>.</w:t>
      </w:r>
      <w:r>
        <w:t>, Cattoli</w:t>
      </w:r>
      <w:r w:rsidR="00E11B22">
        <w:t>,</w:t>
      </w:r>
      <w:r>
        <w:t xml:space="preserve"> G</w:t>
      </w:r>
      <w:r w:rsidR="00E11B22">
        <w:t>. and</w:t>
      </w:r>
      <w:r>
        <w:t xml:space="preserve"> Dundon</w:t>
      </w:r>
      <w:r w:rsidR="00E11B22">
        <w:t>,</w:t>
      </w:r>
      <w:r>
        <w:t xml:space="preserve"> W</w:t>
      </w:r>
      <w:r w:rsidR="00E11B22">
        <w:t>.</w:t>
      </w:r>
      <w:r>
        <w:t>G</w:t>
      </w:r>
      <w:r w:rsidR="00E11B22">
        <w:t>.</w:t>
      </w:r>
      <w:r>
        <w:t xml:space="preserve"> (2020). Avian Influenza H5N8 </w:t>
      </w:r>
      <w:r w:rsidR="00E11B22">
        <w:t>o</w:t>
      </w:r>
      <w:r>
        <w:t>utbreak in African Penguins (</w:t>
      </w:r>
      <w:r w:rsidRPr="00DA5824">
        <w:rPr>
          <w:i/>
          <w:iCs/>
        </w:rPr>
        <w:t>Spheniscus demersus</w:t>
      </w:r>
      <w:r>
        <w:t xml:space="preserve">), Namibia, 2019. </w:t>
      </w:r>
      <w:r>
        <w:rPr>
          <w:i/>
          <w:iCs/>
        </w:rPr>
        <w:t>Journal of Wildlife Diseases</w:t>
      </w:r>
      <w:r>
        <w:t xml:space="preserve"> </w:t>
      </w:r>
      <w:r>
        <w:rPr>
          <w:b/>
          <w:bCs/>
        </w:rPr>
        <w:t>56</w:t>
      </w:r>
      <w:r>
        <w:t>, 214 doi:10.7589/2019-03-067</w:t>
      </w:r>
    </w:p>
    <w:p w14:paraId="0D7E1A44" w14:textId="7D7B0D37" w:rsidR="006C28A0" w:rsidRDefault="006C28A0" w:rsidP="006C28A0">
      <w:pPr>
        <w:pStyle w:val="Bibliography"/>
      </w:pPr>
      <w:r>
        <w:t xml:space="preserve">OIE (2024). </w:t>
      </w:r>
      <w:r w:rsidRPr="00DA5824">
        <w:rPr>
          <w:i/>
          <w:iCs/>
        </w:rPr>
        <w:t>Statement on avian influenza and mammals.</w:t>
      </w:r>
      <w:r>
        <w:t xml:space="preserve"> World Organisation for Animal Health. Available at: https://www.woah.org/en/statement-on-avian-influenza-and-mammals/ </w:t>
      </w:r>
      <w:r w:rsidR="00E11B22">
        <w:t>(</w:t>
      </w:r>
      <w:r>
        <w:t>accessed 1 November 2024</w:t>
      </w:r>
      <w:r w:rsidR="00E11B22">
        <w:t>).</w:t>
      </w:r>
    </w:p>
    <w:p w14:paraId="39C24E63" w14:textId="2B94480B" w:rsidR="006C28A0" w:rsidRDefault="006C28A0" w:rsidP="006C28A0">
      <w:pPr>
        <w:pStyle w:val="Bibliography"/>
      </w:pPr>
      <w:r>
        <w:t>Olsen</w:t>
      </w:r>
      <w:r w:rsidR="00E11B22">
        <w:t>,</w:t>
      </w:r>
      <w:r>
        <w:t xml:space="preserve"> B</w:t>
      </w:r>
      <w:r w:rsidR="00E11B22">
        <w:t>.</w:t>
      </w:r>
      <w:r>
        <w:t>, Munster</w:t>
      </w:r>
      <w:r w:rsidR="00E11B22">
        <w:t>,</w:t>
      </w:r>
      <w:r>
        <w:t xml:space="preserve"> V</w:t>
      </w:r>
      <w:r w:rsidR="00E11B22">
        <w:t>.</w:t>
      </w:r>
      <w:r>
        <w:t>J</w:t>
      </w:r>
      <w:r w:rsidR="00E11B22">
        <w:t>.</w:t>
      </w:r>
      <w:r>
        <w:t>, Wallensten</w:t>
      </w:r>
      <w:r w:rsidR="00E11B22">
        <w:t>,</w:t>
      </w:r>
      <w:r>
        <w:t xml:space="preserve"> A</w:t>
      </w:r>
      <w:r w:rsidR="00E11B22">
        <w:t>.</w:t>
      </w:r>
      <w:r>
        <w:t>, Waldenstrom</w:t>
      </w:r>
      <w:r w:rsidR="00E11B22">
        <w:t>,</w:t>
      </w:r>
      <w:r>
        <w:t xml:space="preserve"> J</w:t>
      </w:r>
      <w:r w:rsidR="00E11B22">
        <w:t>.</w:t>
      </w:r>
      <w:r>
        <w:t>, Osterhaus</w:t>
      </w:r>
      <w:r w:rsidR="00E11B22">
        <w:t>,</w:t>
      </w:r>
      <w:r>
        <w:t xml:space="preserve"> A</w:t>
      </w:r>
      <w:r w:rsidR="00E11B22">
        <w:t>.</w:t>
      </w:r>
      <w:r>
        <w:t>D</w:t>
      </w:r>
      <w:r w:rsidR="00E11B22">
        <w:t>.</w:t>
      </w:r>
      <w:r>
        <w:t>M</w:t>
      </w:r>
      <w:r w:rsidR="00E11B22">
        <w:t>.</w:t>
      </w:r>
      <w:r>
        <w:t>E</w:t>
      </w:r>
      <w:r w:rsidR="00E11B22">
        <w:t>. and</w:t>
      </w:r>
      <w:r>
        <w:t xml:space="preserve"> Fouchier</w:t>
      </w:r>
      <w:r w:rsidR="00E11B22">
        <w:t>,</w:t>
      </w:r>
      <w:r>
        <w:t xml:space="preserve"> R</w:t>
      </w:r>
      <w:r w:rsidR="00E11B22">
        <w:t>.</w:t>
      </w:r>
      <w:r>
        <w:t>A</w:t>
      </w:r>
      <w:r w:rsidR="00E11B22">
        <w:t>.</w:t>
      </w:r>
      <w:r>
        <w:t>M</w:t>
      </w:r>
      <w:r w:rsidR="00E11B22">
        <w:t>.</w:t>
      </w:r>
      <w:r>
        <w:t xml:space="preserve"> (2006). Global </w:t>
      </w:r>
      <w:r w:rsidR="00E11B22">
        <w:t>patterns of influenza a virus in wild birds</w:t>
      </w:r>
      <w:r>
        <w:t xml:space="preserve">. </w:t>
      </w:r>
      <w:r>
        <w:rPr>
          <w:i/>
          <w:iCs/>
        </w:rPr>
        <w:t>Science</w:t>
      </w:r>
      <w:r>
        <w:t xml:space="preserve"> </w:t>
      </w:r>
      <w:r>
        <w:rPr>
          <w:b/>
          <w:bCs/>
        </w:rPr>
        <w:t>312</w:t>
      </w:r>
      <w:r>
        <w:t>, 384–388 doi:10.1126/science.1122438</w:t>
      </w:r>
    </w:p>
    <w:p w14:paraId="6E4601D5" w14:textId="22518767" w:rsidR="006C28A0" w:rsidRDefault="006C28A0" w:rsidP="006C28A0">
      <w:pPr>
        <w:pStyle w:val="Bibliography"/>
      </w:pPr>
      <w:r>
        <w:t>Ostfeld</w:t>
      </w:r>
      <w:r w:rsidR="00BB4866">
        <w:t>,</w:t>
      </w:r>
      <w:r>
        <w:t xml:space="preserve"> R</w:t>
      </w:r>
      <w:r w:rsidR="00BB4866">
        <w:t>.</w:t>
      </w:r>
      <w:r>
        <w:t>S</w:t>
      </w:r>
      <w:r w:rsidR="00BB4866">
        <w:t>.</w:t>
      </w:r>
      <w:r>
        <w:t xml:space="preserve"> (2009). Biodiversity loss and the rise of zoonotic pathogens. </w:t>
      </w:r>
      <w:r>
        <w:rPr>
          <w:i/>
          <w:iCs/>
        </w:rPr>
        <w:t>Clinical microbiology and infection</w:t>
      </w:r>
      <w:r>
        <w:t xml:space="preserve"> </w:t>
      </w:r>
      <w:r>
        <w:rPr>
          <w:b/>
          <w:bCs/>
        </w:rPr>
        <w:t>15</w:t>
      </w:r>
      <w:r>
        <w:t>, 40–43.</w:t>
      </w:r>
    </w:p>
    <w:p w14:paraId="0EC1285E" w14:textId="06C1622F" w:rsidR="006C28A0" w:rsidRDefault="006C28A0" w:rsidP="006C28A0">
      <w:pPr>
        <w:pStyle w:val="Bibliography"/>
      </w:pPr>
      <w:r>
        <w:t>Pearson</w:t>
      </w:r>
      <w:r w:rsidR="00BB4866">
        <w:t>,</w:t>
      </w:r>
      <w:r>
        <w:t xml:space="preserve"> H</w:t>
      </w:r>
      <w:r w:rsidR="00BB4866">
        <w:t>.</w:t>
      </w:r>
      <w:r>
        <w:t>E</w:t>
      </w:r>
      <w:r w:rsidR="00BB4866">
        <w:t>.</w:t>
      </w:r>
      <w:r>
        <w:t>, Toribio</w:t>
      </w:r>
      <w:r w:rsidR="00BB4866">
        <w:t>,</w:t>
      </w:r>
      <w:r>
        <w:t xml:space="preserve"> J-A</w:t>
      </w:r>
      <w:r w:rsidR="00BB4866">
        <w:t>.</w:t>
      </w:r>
      <w:r>
        <w:t>L</w:t>
      </w:r>
      <w:r w:rsidR="00BB4866">
        <w:t>.</w:t>
      </w:r>
      <w:r>
        <w:t>, Lapidge</w:t>
      </w:r>
      <w:r w:rsidR="00BB4866">
        <w:t>,</w:t>
      </w:r>
      <w:r>
        <w:t xml:space="preserve"> S</w:t>
      </w:r>
      <w:r w:rsidR="00BB4866">
        <w:t>.</w:t>
      </w:r>
      <w:r>
        <w:t>J</w:t>
      </w:r>
      <w:r w:rsidR="00BB4866">
        <w:t>. and</w:t>
      </w:r>
      <w:r>
        <w:t xml:space="preserve"> Hernández-Jover</w:t>
      </w:r>
      <w:r w:rsidR="00BB4866">
        <w:t>,</w:t>
      </w:r>
      <w:r>
        <w:t xml:space="preserve"> M</w:t>
      </w:r>
      <w:r w:rsidR="00BB4866">
        <w:t>.</w:t>
      </w:r>
      <w:r>
        <w:t xml:space="preserve"> (2016). Evaluating the risk of pathogen transmission from wild animals to domestic pigs in Australia. </w:t>
      </w:r>
      <w:r>
        <w:rPr>
          <w:i/>
          <w:iCs/>
        </w:rPr>
        <w:t xml:space="preserve">Preventive </w:t>
      </w:r>
      <w:r w:rsidR="00BB4866">
        <w:rPr>
          <w:i/>
          <w:iCs/>
        </w:rPr>
        <w:t>V</w:t>
      </w:r>
      <w:r>
        <w:rPr>
          <w:i/>
          <w:iCs/>
        </w:rPr>
        <w:t xml:space="preserve">eterinary </w:t>
      </w:r>
      <w:r w:rsidR="00BB4866">
        <w:rPr>
          <w:i/>
          <w:iCs/>
        </w:rPr>
        <w:t>M</w:t>
      </w:r>
      <w:r>
        <w:rPr>
          <w:i/>
          <w:iCs/>
        </w:rPr>
        <w:t>edicine</w:t>
      </w:r>
      <w:r>
        <w:t xml:space="preserve"> </w:t>
      </w:r>
      <w:r>
        <w:rPr>
          <w:b/>
          <w:bCs/>
        </w:rPr>
        <w:t>123</w:t>
      </w:r>
      <w:r>
        <w:t>, 39–51.</w:t>
      </w:r>
    </w:p>
    <w:p w14:paraId="2336457D" w14:textId="78F3CAD4" w:rsidR="006C28A0" w:rsidRDefault="006C28A0" w:rsidP="006C28A0">
      <w:pPr>
        <w:pStyle w:val="Bibliography"/>
      </w:pPr>
      <w:r>
        <w:t>Pech</w:t>
      </w:r>
      <w:r w:rsidR="00BB4866">
        <w:t>,</w:t>
      </w:r>
      <w:r>
        <w:t xml:space="preserve"> R</w:t>
      </w:r>
      <w:r w:rsidR="00BB4866">
        <w:t>. and</w:t>
      </w:r>
      <w:r>
        <w:t xml:space="preserve"> Hone</w:t>
      </w:r>
      <w:r w:rsidR="00BB4866">
        <w:t>,</w:t>
      </w:r>
      <w:r>
        <w:t xml:space="preserve"> J</w:t>
      </w:r>
      <w:r w:rsidR="00BB4866">
        <w:t>.</w:t>
      </w:r>
      <w:r>
        <w:t xml:space="preserve"> (1988). A model of the dynamics and control of an outbreak of </w:t>
      </w:r>
      <w:r w:rsidR="00E07B96">
        <w:t>Foot and Mouth Disease</w:t>
      </w:r>
      <w:r>
        <w:t xml:space="preserve"> in </w:t>
      </w:r>
      <w:r w:rsidR="00E548AE">
        <w:t>Feral Pig</w:t>
      </w:r>
      <w:r>
        <w:t xml:space="preserve">s in Australia. </w:t>
      </w:r>
      <w:r>
        <w:rPr>
          <w:i/>
          <w:iCs/>
        </w:rPr>
        <w:t>Journal of Applied Ecology</w:t>
      </w:r>
      <w:r>
        <w:t>, 63–77.</w:t>
      </w:r>
    </w:p>
    <w:p w14:paraId="74148DBF" w14:textId="484ACAB7" w:rsidR="006C28A0" w:rsidRDefault="006C28A0" w:rsidP="006C28A0">
      <w:pPr>
        <w:pStyle w:val="Bibliography"/>
      </w:pPr>
      <w:r>
        <w:t>Prowse</w:t>
      </w:r>
      <w:r w:rsidR="00BB4866">
        <w:t>,</w:t>
      </w:r>
      <w:r>
        <w:t xml:space="preserve"> T</w:t>
      </w:r>
      <w:r w:rsidR="00BB4866">
        <w:t>.</w:t>
      </w:r>
      <w:r>
        <w:t>A</w:t>
      </w:r>
      <w:r w:rsidR="00BB4866">
        <w:t>.</w:t>
      </w:r>
      <w:r>
        <w:t>A</w:t>
      </w:r>
      <w:r w:rsidR="00BB4866">
        <w:t>.</w:t>
      </w:r>
      <w:r>
        <w:t>, Bradshaw</w:t>
      </w:r>
      <w:r w:rsidR="00BB4866">
        <w:t>,</w:t>
      </w:r>
      <w:r>
        <w:t xml:space="preserve"> C</w:t>
      </w:r>
      <w:r w:rsidR="00BB4866">
        <w:t>.</w:t>
      </w:r>
      <w:r>
        <w:t>J</w:t>
      </w:r>
      <w:r w:rsidR="00BB4866">
        <w:t>.</w:t>
      </w:r>
      <w:r>
        <w:t>A</w:t>
      </w:r>
      <w:r w:rsidR="00BB4866">
        <w:t>.</w:t>
      </w:r>
      <w:r>
        <w:t>, Delean</w:t>
      </w:r>
      <w:r w:rsidR="00BB4866">
        <w:t>,</w:t>
      </w:r>
      <w:r>
        <w:t xml:space="preserve"> S</w:t>
      </w:r>
      <w:r w:rsidR="00BB4866">
        <w:t>.</w:t>
      </w:r>
      <w:r>
        <w:t>, Cassey</w:t>
      </w:r>
      <w:r w:rsidR="00BB4866">
        <w:t>,</w:t>
      </w:r>
      <w:r>
        <w:t xml:space="preserve"> P</w:t>
      </w:r>
      <w:r w:rsidR="00BB4866">
        <w:t>.</w:t>
      </w:r>
      <w:r>
        <w:t>, Lacy</w:t>
      </w:r>
      <w:r w:rsidR="00BB4866">
        <w:t>,</w:t>
      </w:r>
      <w:r>
        <w:t xml:space="preserve"> R</w:t>
      </w:r>
      <w:r w:rsidR="00BB4866">
        <w:t>.</w:t>
      </w:r>
      <w:r>
        <w:t>C</w:t>
      </w:r>
      <w:r w:rsidR="00BB4866">
        <w:t>.</w:t>
      </w:r>
      <w:r>
        <w:t>, Wells</w:t>
      </w:r>
      <w:r w:rsidR="00BB4866">
        <w:t>,</w:t>
      </w:r>
      <w:r>
        <w:t xml:space="preserve"> K</w:t>
      </w:r>
      <w:r w:rsidR="00BB4866">
        <w:t>.</w:t>
      </w:r>
      <w:r>
        <w:t>, Aiello-Lammens</w:t>
      </w:r>
      <w:r w:rsidR="00BB4866">
        <w:t>,</w:t>
      </w:r>
      <w:r>
        <w:t xml:space="preserve"> M</w:t>
      </w:r>
      <w:r w:rsidR="00BB4866">
        <w:t>.</w:t>
      </w:r>
      <w:r>
        <w:t>E</w:t>
      </w:r>
      <w:r w:rsidR="00BB4866">
        <w:t>.</w:t>
      </w:r>
      <w:r>
        <w:t>, Akçakaya</w:t>
      </w:r>
      <w:r w:rsidR="00BB4866">
        <w:t>,</w:t>
      </w:r>
      <w:r>
        <w:t xml:space="preserve"> H</w:t>
      </w:r>
      <w:r w:rsidR="00BB4866">
        <w:t>.</w:t>
      </w:r>
      <w:r>
        <w:t>R</w:t>
      </w:r>
      <w:r w:rsidR="00BB4866">
        <w:t>. and</w:t>
      </w:r>
      <w:r>
        <w:t xml:space="preserve"> Brook</w:t>
      </w:r>
      <w:r w:rsidR="00BB4866">
        <w:t>,</w:t>
      </w:r>
      <w:r>
        <w:t xml:space="preserve"> B</w:t>
      </w:r>
      <w:r w:rsidR="00BB4866">
        <w:t>.</w:t>
      </w:r>
      <w:r>
        <w:t>W</w:t>
      </w:r>
      <w:r w:rsidR="00BB4866">
        <w:t>.</w:t>
      </w:r>
      <w:r>
        <w:t xml:space="preserve"> (2016). An efficient protocol for the global sensitivity analysis of stochastic ecological models. </w:t>
      </w:r>
      <w:r>
        <w:rPr>
          <w:i/>
          <w:iCs/>
        </w:rPr>
        <w:t>Ecosphere</w:t>
      </w:r>
      <w:r>
        <w:t xml:space="preserve"> </w:t>
      </w:r>
      <w:r>
        <w:rPr>
          <w:b/>
          <w:bCs/>
        </w:rPr>
        <w:t>7</w:t>
      </w:r>
      <w:r>
        <w:t>, e01238-n/a doi:10.1002/ecs2.1238</w:t>
      </w:r>
    </w:p>
    <w:p w14:paraId="538EC136" w14:textId="3325C2D1" w:rsidR="006C28A0" w:rsidRDefault="006C28A0" w:rsidP="006C28A0">
      <w:pPr>
        <w:pStyle w:val="Bibliography"/>
      </w:pPr>
      <w:r>
        <w:t>Pulvirenti</w:t>
      </w:r>
      <w:r w:rsidR="00BB4866">
        <w:t>,</w:t>
      </w:r>
      <w:r>
        <w:t xml:space="preserve"> J</w:t>
      </w:r>
      <w:r w:rsidR="00BB4866">
        <w:t>.</w:t>
      </w:r>
      <w:r>
        <w:t>, Reina</w:t>
      </w:r>
      <w:r w:rsidR="00BB4866">
        <w:t>,</w:t>
      </w:r>
      <w:r>
        <w:t xml:space="preserve"> R</w:t>
      </w:r>
      <w:r w:rsidR="00BB4866">
        <w:t>.</w:t>
      </w:r>
      <w:r>
        <w:t>D</w:t>
      </w:r>
      <w:r w:rsidR="00BB4866">
        <w:t>. and</w:t>
      </w:r>
      <w:r>
        <w:t xml:space="preserve"> Chiaradia</w:t>
      </w:r>
      <w:r w:rsidR="00BB4866">
        <w:t>,</w:t>
      </w:r>
      <w:r>
        <w:t xml:space="preserve"> A</w:t>
      </w:r>
      <w:r w:rsidR="00BB4866">
        <w:t>.</w:t>
      </w:r>
      <w:r>
        <w:t xml:space="preserve"> (2023). Exploring subcolony differences in foraging and reproductive success: </w:t>
      </w:r>
      <w:r w:rsidR="00BB4866">
        <w:t>T</w:t>
      </w:r>
      <w:r>
        <w:t xml:space="preserve">he influence of environmental conditions on a central place foraging seabird. </w:t>
      </w:r>
      <w:r>
        <w:rPr>
          <w:i/>
          <w:iCs/>
        </w:rPr>
        <w:t>Royal Society Open Science</w:t>
      </w:r>
      <w:r>
        <w:t xml:space="preserve"> </w:t>
      </w:r>
      <w:r>
        <w:rPr>
          <w:b/>
          <w:bCs/>
        </w:rPr>
        <w:t>10</w:t>
      </w:r>
      <w:r>
        <w:t>, 220362 doi:10.1098/rsos.220362</w:t>
      </w:r>
    </w:p>
    <w:p w14:paraId="269712F4" w14:textId="1F391659" w:rsidR="006C28A0" w:rsidRDefault="006C28A0" w:rsidP="006C28A0">
      <w:pPr>
        <w:pStyle w:val="Bibliography"/>
      </w:pPr>
      <w:r>
        <w:t>Raidal</w:t>
      </w:r>
      <w:r w:rsidR="00BB4866">
        <w:t>,</w:t>
      </w:r>
      <w:r>
        <w:t xml:space="preserve"> S</w:t>
      </w:r>
      <w:r w:rsidR="00BB4866">
        <w:t>.</w:t>
      </w:r>
      <w:r>
        <w:t>, Sarker</w:t>
      </w:r>
      <w:r w:rsidR="00BB4866">
        <w:t>,</w:t>
      </w:r>
      <w:r>
        <w:t xml:space="preserve"> S</w:t>
      </w:r>
      <w:r w:rsidR="00BB4866">
        <w:t>. and</w:t>
      </w:r>
      <w:r>
        <w:t xml:space="preserve"> Peters</w:t>
      </w:r>
      <w:r w:rsidR="00BB4866">
        <w:t>,</w:t>
      </w:r>
      <w:r>
        <w:t xml:space="preserve"> A</w:t>
      </w:r>
      <w:r w:rsidR="00BB4866">
        <w:t>.</w:t>
      </w:r>
      <w:r>
        <w:t xml:space="preserve"> (2015). Review of psittacine </w:t>
      </w:r>
      <w:r w:rsidR="00C17323">
        <w:t>Beak and Feather Disease</w:t>
      </w:r>
      <w:r>
        <w:t xml:space="preserve"> and its effect on </w:t>
      </w:r>
      <w:r w:rsidR="00BB4866">
        <w:t xml:space="preserve">Australian </w:t>
      </w:r>
      <w:r>
        <w:t xml:space="preserve">endangered species. </w:t>
      </w:r>
      <w:r>
        <w:rPr>
          <w:i/>
          <w:iCs/>
        </w:rPr>
        <w:t>Australian Veterinary Journal</w:t>
      </w:r>
      <w:r>
        <w:t xml:space="preserve"> </w:t>
      </w:r>
      <w:r>
        <w:rPr>
          <w:b/>
          <w:bCs/>
        </w:rPr>
        <w:t>93</w:t>
      </w:r>
      <w:r>
        <w:t>, 466–470 doi:10.1111/avj.12388</w:t>
      </w:r>
    </w:p>
    <w:p w14:paraId="0CBEE86B" w14:textId="660FAA76" w:rsidR="006C28A0" w:rsidRDefault="006C28A0" w:rsidP="006C28A0">
      <w:pPr>
        <w:pStyle w:val="Bibliography"/>
      </w:pPr>
      <w:r>
        <w:t>Ramey</w:t>
      </w:r>
      <w:r w:rsidR="00BB4866">
        <w:t>,</w:t>
      </w:r>
      <w:r>
        <w:t xml:space="preserve"> A</w:t>
      </w:r>
      <w:r w:rsidR="00BB4866">
        <w:t>.</w:t>
      </w:r>
      <w:r>
        <w:t>M</w:t>
      </w:r>
      <w:r w:rsidR="00BB4866">
        <w:t>.</w:t>
      </w:r>
      <w:r>
        <w:t>, Hill</w:t>
      </w:r>
      <w:r w:rsidR="00BB4866">
        <w:t>,</w:t>
      </w:r>
      <w:r>
        <w:t xml:space="preserve"> N</w:t>
      </w:r>
      <w:r w:rsidR="00BB4866">
        <w:t>.</w:t>
      </w:r>
      <w:r>
        <w:t>J</w:t>
      </w:r>
      <w:r w:rsidR="00BB4866">
        <w:t>.</w:t>
      </w:r>
      <w:r>
        <w:t>, DeLiberto</w:t>
      </w:r>
      <w:r w:rsidR="00BB4866">
        <w:t>,</w:t>
      </w:r>
      <w:r>
        <w:t xml:space="preserve"> T</w:t>
      </w:r>
      <w:r w:rsidR="00BB4866">
        <w:t>.</w:t>
      </w:r>
      <w:r>
        <w:t>J</w:t>
      </w:r>
      <w:r w:rsidR="00BB4866">
        <w:t>.</w:t>
      </w:r>
      <w:r>
        <w:t>, Gibbs</w:t>
      </w:r>
      <w:r w:rsidR="00BB4866">
        <w:t>,</w:t>
      </w:r>
      <w:r>
        <w:t xml:space="preserve"> S</w:t>
      </w:r>
      <w:r w:rsidR="00BB4866">
        <w:t>.</w:t>
      </w:r>
      <w:r>
        <w:t>E</w:t>
      </w:r>
      <w:r w:rsidR="00BB4866">
        <w:t>.</w:t>
      </w:r>
      <w:r>
        <w:t>J</w:t>
      </w:r>
      <w:r w:rsidR="00BB4866">
        <w:t>.</w:t>
      </w:r>
      <w:r>
        <w:t>, Camille Hopkins</w:t>
      </w:r>
      <w:r w:rsidR="00BB4866">
        <w:t>,</w:t>
      </w:r>
      <w:r>
        <w:t xml:space="preserve"> M</w:t>
      </w:r>
      <w:r w:rsidR="00BB4866">
        <w:t>.</w:t>
      </w:r>
      <w:r>
        <w:t>, Lang</w:t>
      </w:r>
      <w:r w:rsidR="00BB4866">
        <w:t>,</w:t>
      </w:r>
      <w:r>
        <w:t xml:space="preserve"> A</w:t>
      </w:r>
      <w:r w:rsidR="00BB4866">
        <w:t>.</w:t>
      </w:r>
      <w:r>
        <w:t>S</w:t>
      </w:r>
      <w:r w:rsidR="00BB4866">
        <w:t>.</w:t>
      </w:r>
      <w:r>
        <w:t>, Poulson</w:t>
      </w:r>
      <w:r w:rsidR="00BB4866">
        <w:t>,</w:t>
      </w:r>
      <w:r>
        <w:t xml:space="preserve"> R</w:t>
      </w:r>
      <w:r w:rsidR="00BB4866">
        <w:t>.</w:t>
      </w:r>
      <w:r>
        <w:t>L</w:t>
      </w:r>
      <w:r w:rsidR="00BB4866">
        <w:t>.</w:t>
      </w:r>
      <w:r>
        <w:t>, Prosser</w:t>
      </w:r>
      <w:r w:rsidR="00BB4866">
        <w:t>,</w:t>
      </w:r>
      <w:r>
        <w:t xml:space="preserve"> D</w:t>
      </w:r>
      <w:r w:rsidR="00BB4866">
        <w:t>.</w:t>
      </w:r>
      <w:r>
        <w:t>J</w:t>
      </w:r>
      <w:r w:rsidR="00BB4866">
        <w:t>.</w:t>
      </w:r>
      <w:r>
        <w:t>, Sleeman</w:t>
      </w:r>
      <w:r w:rsidR="00BB4866">
        <w:t>,</w:t>
      </w:r>
      <w:r>
        <w:t xml:space="preserve"> J</w:t>
      </w:r>
      <w:r w:rsidR="00BB4866">
        <w:t>.</w:t>
      </w:r>
      <w:r>
        <w:t>M</w:t>
      </w:r>
      <w:r w:rsidR="00BB4866">
        <w:t>.</w:t>
      </w:r>
      <w:r>
        <w:t>, Stallknecht</w:t>
      </w:r>
      <w:r w:rsidR="00BB4866">
        <w:t>,</w:t>
      </w:r>
      <w:r>
        <w:t xml:space="preserve"> D</w:t>
      </w:r>
      <w:r w:rsidR="00BB4866">
        <w:t>.</w:t>
      </w:r>
      <w:r>
        <w:t>E</w:t>
      </w:r>
      <w:r w:rsidR="00BB4866">
        <w:t>. and</w:t>
      </w:r>
      <w:r>
        <w:t xml:space="preserve"> Wan</w:t>
      </w:r>
      <w:r w:rsidR="00BB4866">
        <w:t>,</w:t>
      </w:r>
      <w:r>
        <w:t xml:space="preserve"> X</w:t>
      </w:r>
      <w:r w:rsidR="00BB4866">
        <w:t>.</w:t>
      </w:r>
      <w:r>
        <w:t xml:space="preserve"> (2022). Highly pathogenic avian influenza is an emerging disease threat to wild birds in North America. </w:t>
      </w:r>
      <w:r>
        <w:rPr>
          <w:i/>
          <w:iCs/>
        </w:rPr>
        <w:t>The Journal of Wildlife Management</w:t>
      </w:r>
      <w:r>
        <w:t xml:space="preserve"> </w:t>
      </w:r>
      <w:r>
        <w:rPr>
          <w:b/>
          <w:bCs/>
        </w:rPr>
        <w:t>86</w:t>
      </w:r>
      <w:r>
        <w:t>, e22171 doi:10.1002/jwmg.22171</w:t>
      </w:r>
    </w:p>
    <w:p w14:paraId="12E7192E" w14:textId="29E8A760" w:rsidR="006C28A0" w:rsidRDefault="006C28A0" w:rsidP="006C28A0">
      <w:pPr>
        <w:pStyle w:val="Bibliography"/>
      </w:pPr>
      <w:r>
        <w:t>Reeder</w:t>
      </w:r>
      <w:r w:rsidR="00BB4866">
        <w:t>,</w:t>
      </w:r>
      <w:r>
        <w:t xml:space="preserve"> D</w:t>
      </w:r>
      <w:r w:rsidR="00BB4866">
        <w:t>.</w:t>
      </w:r>
      <w:r>
        <w:t>M</w:t>
      </w:r>
      <w:r w:rsidR="00BB4866">
        <w:t>.</w:t>
      </w:r>
      <w:r>
        <w:t>, Frank</w:t>
      </w:r>
      <w:r w:rsidR="00BB4866">
        <w:t>,</w:t>
      </w:r>
      <w:r>
        <w:t xml:space="preserve"> C</w:t>
      </w:r>
      <w:r w:rsidR="00BB4866">
        <w:t>.</w:t>
      </w:r>
      <w:r>
        <w:t>L</w:t>
      </w:r>
      <w:r w:rsidR="00BB4866">
        <w:t>.</w:t>
      </w:r>
      <w:r>
        <w:t>, Turner</w:t>
      </w:r>
      <w:r w:rsidR="00BB4866">
        <w:t>,</w:t>
      </w:r>
      <w:r>
        <w:t xml:space="preserve"> G</w:t>
      </w:r>
      <w:r w:rsidR="00BB4866">
        <w:t>.</w:t>
      </w:r>
      <w:r>
        <w:t>G</w:t>
      </w:r>
      <w:r w:rsidR="00BB4866">
        <w:t>.</w:t>
      </w:r>
      <w:r>
        <w:t>, Meteyer</w:t>
      </w:r>
      <w:r w:rsidR="00BB4866">
        <w:t>,</w:t>
      </w:r>
      <w:r>
        <w:t xml:space="preserve"> C</w:t>
      </w:r>
      <w:r w:rsidR="00BB4866">
        <w:t>.</w:t>
      </w:r>
      <w:r>
        <w:t>U</w:t>
      </w:r>
      <w:r w:rsidR="00BB4866">
        <w:t>.</w:t>
      </w:r>
      <w:r>
        <w:t>, Kurta</w:t>
      </w:r>
      <w:r w:rsidR="00BB4866">
        <w:t>,</w:t>
      </w:r>
      <w:r>
        <w:t xml:space="preserve"> A</w:t>
      </w:r>
      <w:r w:rsidR="00BB4866">
        <w:t>.</w:t>
      </w:r>
      <w:r>
        <w:t>, Britzke</w:t>
      </w:r>
      <w:r w:rsidR="00BB4866">
        <w:t>,</w:t>
      </w:r>
      <w:r>
        <w:t xml:space="preserve"> E</w:t>
      </w:r>
      <w:r w:rsidR="00BB4866">
        <w:t>.</w:t>
      </w:r>
      <w:r>
        <w:t>R</w:t>
      </w:r>
      <w:r w:rsidR="00BB4866">
        <w:t>.</w:t>
      </w:r>
      <w:r>
        <w:t>, Vodzak</w:t>
      </w:r>
      <w:r w:rsidR="00BB4866">
        <w:t>,</w:t>
      </w:r>
      <w:r>
        <w:t xml:space="preserve"> M</w:t>
      </w:r>
      <w:r w:rsidR="00BB4866">
        <w:t>.</w:t>
      </w:r>
      <w:r>
        <w:t>E</w:t>
      </w:r>
      <w:r w:rsidR="00BB4866">
        <w:t>.</w:t>
      </w:r>
      <w:r>
        <w:t>, Darling</w:t>
      </w:r>
      <w:r w:rsidR="00BB4866">
        <w:t>,</w:t>
      </w:r>
      <w:r>
        <w:t xml:space="preserve"> S</w:t>
      </w:r>
      <w:r w:rsidR="00BB4866">
        <w:t>.</w:t>
      </w:r>
      <w:r>
        <w:t>R</w:t>
      </w:r>
      <w:r w:rsidR="00BB4866">
        <w:t>.</w:t>
      </w:r>
      <w:r>
        <w:t>, Stihler</w:t>
      </w:r>
      <w:r w:rsidR="00BB4866">
        <w:t>,</w:t>
      </w:r>
      <w:r>
        <w:t xml:space="preserve"> C</w:t>
      </w:r>
      <w:r w:rsidR="00BB4866">
        <w:t>.</w:t>
      </w:r>
      <w:r>
        <w:t>W</w:t>
      </w:r>
      <w:r w:rsidR="00BB4866">
        <w:t>.</w:t>
      </w:r>
      <w:r>
        <w:t>, Hicks</w:t>
      </w:r>
      <w:r w:rsidR="00BB4866">
        <w:t>,</w:t>
      </w:r>
      <w:r>
        <w:t xml:space="preserve"> A</w:t>
      </w:r>
      <w:r w:rsidR="00BB4866">
        <w:t>.</w:t>
      </w:r>
      <w:r>
        <w:t>C</w:t>
      </w:r>
      <w:r w:rsidR="00BB4866">
        <w:t>.</w:t>
      </w:r>
      <w:r>
        <w:t>, Jacob</w:t>
      </w:r>
      <w:r w:rsidR="00BB4866">
        <w:t>,</w:t>
      </w:r>
      <w:r>
        <w:t xml:space="preserve"> R</w:t>
      </w:r>
      <w:r w:rsidR="00BB4866">
        <w:t>.</w:t>
      </w:r>
      <w:r>
        <w:t>, Grieneisen</w:t>
      </w:r>
      <w:r w:rsidR="00BB4866">
        <w:t>,</w:t>
      </w:r>
      <w:r>
        <w:t xml:space="preserve"> L</w:t>
      </w:r>
      <w:r w:rsidR="00BB4866">
        <w:t>.</w:t>
      </w:r>
      <w:r>
        <w:t>E</w:t>
      </w:r>
      <w:r w:rsidR="00BB4866">
        <w:t>.</w:t>
      </w:r>
      <w:r>
        <w:t>, Brownlee</w:t>
      </w:r>
      <w:r w:rsidR="00BB4866">
        <w:t>,</w:t>
      </w:r>
      <w:r>
        <w:t xml:space="preserve"> S</w:t>
      </w:r>
      <w:r w:rsidR="00BB4866">
        <w:t>.</w:t>
      </w:r>
      <w:r>
        <w:t>A</w:t>
      </w:r>
      <w:r w:rsidR="00BB4866">
        <w:t>.</w:t>
      </w:r>
      <w:r>
        <w:t>, Muller</w:t>
      </w:r>
      <w:r w:rsidR="00BB4866">
        <w:t>,</w:t>
      </w:r>
      <w:r>
        <w:t xml:space="preserve"> L</w:t>
      </w:r>
      <w:r w:rsidR="00BB4866">
        <w:t>.</w:t>
      </w:r>
      <w:r>
        <w:t>K</w:t>
      </w:r>
      <w:r w:rsidR="00BB4866">
        <w:t>. and</w:t>
      </w:r>
      <w:r>
        <w:t xml:space="preserve"> Blehert</w:t>
      </w:r>
      <w:r w:rsidR="00BB4866">
        <w:t>,</w:t>
      </w:r>
      <w:r>
        <w:t xml:space="preserve"> D</w:t>
      </w:r>
      <w:r w:rsidR="00BB4866">
        <w:t>.</w:t>
      </w:r>
      <w:r>
        <w:t>S</w:t>
      </w:r>
      <w:r w:rsidR="00BB4866">
        <w:t>.</w:t>
      </w:r>
      <w:r>
        <w:t xml:space="preserve"> (2012). Frequent </w:t>
      </w:r>
      <w:r w:rsidR="00BB4866">
        <w:t>arousal from hibernation linked to severity of infection and mortality in bats with</w:t>
      </w:r>
      <w:r>
        <w:t xml:space="preserve"> </w:t>
      </w:r>
      <w:r w:rsidR="00E07B96">
        <w:t>White Nose Syndrome</w:t>
      </w:r>
      <w:r>
        <w:t xml:space="preserve"> Ed R Arlettaz. </w:t>
      </w:r>
      <w:r>
        <w:rPr>
          <w:i/>
          <w:iCs/>
        </w:rPr>
        <w:t>PLoS ONE</w:t>
      </w:r>
      <w:r>
        <w:t xml:space="preserve"> </w:t>
      </w:r>
      <w:r>
        <w:rPr>
          <w:b/>
          <w:bCs/>
        </w:rPr>
        <w:t>7</w:t>
      </w:r>
      <w:r>
        <w:t>, e38920 doi:10.1371/journal.pone.0038920</w:t>
      </w:r>
    </w:p>
    <w:p w14:paraId="46BDB80D" w14:textId="4318CB1C" w:rsidR="006C28A0" w:rsidRDefault="006C28A0" w:rsidP="006C28A0">
      <w:pPr>
        <w:pStyle w:val="Bibliography"/>
      </w:pPr>
      <w:r>
        <w:t>Roberts</w:t>
      </w:r>
      <w:r w:rsidR="00BB4866">
        <w:t>,</w:t>
      </w:r>
      <w:r>
        <w:t xml:space="preserve"> L</w:t>
      </w:r>
      <w:r w:rsidR="00BB4866">
        <w:t>.</w:t>
      </w:r>
      <w:r>
        <w:t>C</w:t>
      </w:r>
      <w:r w:rsidR="00BB4866">
        <w:t>.</w:t>
      </w:r>
      <w:r>
        <w:t>, Abernethy</w:t>
      </w:r>
      <w:r w:rsidR="00BB4866">
        <w:t>,</w:t>
      </w:r>
      <w:r>
        <w:t xml:space="preserve"> D</w:t>
      </w:r>
      <w:r w:rsidR="00BB4866">
        <w:t>.</w:t>
      </w:r>
      <w:r>
        <w:t>, Roberts</w:t>
      </w:r>
      <w:r w:rsidR="00BB4866">
        <w:t>,</w:t>
      </w:r>
      <w:r>
        <w:t xml:space="preserve"> D</w:t>
      </w:r>
      <w:r w:rsidR="00BB4866">
        <w:t>.</w:t>
      </w:r>
      <w:r>
        <w:t>G</w:t>
      </w:r>
      <w:r w:rsidR="00BB4866">
        <w:t>.</w:t>
      </w:r>
      <w:r>
        <w:t>, Ludynia</w:t>
      </w:r>
      <w:r w:rsidR="00BB4866">
        <w:t>,</w:t>
      </w:r>
      <w:r>
        <w:t xml:space="preserve"> K</w:t>
      </w:r>
      <w:r w:rsidR="00BB4866">
        <w:t>.</w:t>
      </w:r>
      <w:r>
        <w:t>, O’Kennedy</w:t>
      </w:r>
      <w:r w:rsidR="00BB4866">
        <w:t>,</w:t>
      </w:r>
      <w:r>
        <w:t xml:space="preserve"> M</w:t>
      </w:r>
      <w:r w:rsidR="00BB4866">
        <w:t>.</w:t>
      </w:r>
      <w:r>
        <w:t>M</w:t>
      </w:r>
      <w:r w:rsidR="00BB4866">
        <w:t>. and</w:t>
      </w:r>
      <w:r>
        <w:t xml:space="preserve"> Abolnik</w:t>
      </w:r>
      <w:r w:rsidR="00BB4866">
        <w:t>,</w:t>
      </w:r>
      <w:r>
        <w:t xml:space="preserve"> C</w:t>
      </w:r>
      <w:r w:rsidR="00BB4866">
        <w:t>.</w:t>
      </w:r>
      <w:r>
        <w:t xml:space="preserve"> (2024). Vaccination of African penguins (</w:t>
      </w:r>
      <w:r w:rsidRPr="00DA5824">
        <w:rPr>
          <w:i/>
          <w:iCs/>
        </w:rPr>
        <w:t>Spheniscus demersus</w:t>
      </w:r>
      <w:r>
        <w:t xml:space="preserve">) against high-pathogenicity avian influenza. </w:t>
      </w:r>
      <w:r>
        <w:rPr>
          <w:i/>
          <w:iCs/>
        </w:rPr>
        <w:t>Veterinary Record</w:t>
      </w:r>
      <w:r>
        <w:t xml:space="preserve"> </w:t>
      </w:r>
      <w:r>
        <w:rPr>
          <w:b/>
          <w:bCs/>
        </w:rPr>
        <w:t>194</w:t>
      </w:r>
      <w:r>
        <w:t xml:space="preserve">, </w:t>
      </w:r>
      <w:r w:rsidR="00BB4866" w:rsidRPr="00BB4866">
        <w:t>e3616</w:t>
      </w:r>
      <w:r w:rsidR="00BB4866">
        <w:t>.</w:t>
      </w:r>
    </w:p>
    <w:p w14:paraId="774AA95B" w14:textId="68407090" w:rsidR="006C28A0" w:rsidRDefault="006C28A0" w:rsidP="006C28A0">
      <w:pPr>
        <w:pStyle w:val="Bibliography"/>
      </w:pPr>
      <w:r>
        <w:t>Scheele</w:t>
      </w:r>
      <w:r w:rsidR="00BB4866">
        <w:t>,</w:t>
      </w:r>
      <w:r>
        <w:t xml:space="preserve"> B</w:t>
      </w:r>
      <w:r w:rsidR="00BB4866">
        <w:t>.</w:t>
      </w:r>
      <w:r>
        <w:t>C</w:t>
      </w:r>
      <w:r w:rsidR="00BB4866">
        <w:t>.</w:t>
      </w:r>
      <w:r>
        <w:t>, Pasmans</w:t>
      </w:r>
      <w:r w:rsidR="00BB4866">
        <w:t>,</w:t>
      </w:r>
      <w:r>
        <w:t xml:space="preserve"> F</w:t>
      </w:r>
      <w:r w:rsidR="00BB4866">
        <w:t>.</w:t>
      </w:r>
      <w:r>
        <w:t>, Skerratt</w:t>
      </w:r>
      <w:r w:rsidR="00BB4866">
        <w:t>,</w:t>
      </w:r>
      <w:r>
        <w:t xml:space="preserve"> L</w:t>
      </w:r>
      <w:r w:rsidR="00BB4866">
        <w:t>.</w:t>
      </w:r>
      <w:r>
        <w:t>F</w:t>
      </w:r>
      <w:r w:rsidR="00BB4866">
        <w:t>.</w:t>
      </w:r>
      <w:r>
        <w:t>, Berger</w:t>
      </w:r>
      <w:r w:rsidR="00BB4866">
        <w:t>,</w:t>
      </w:r>
      <w:r>
        <w:t xml:space="preserve"> L</w:t>
      </w:r>
      <w:r w:rsidR="00BB4866">
        <w:t>.</w:t>
      </w:r>
      <w:r>
        <w:t>, Martel</w:t>
      </w:r>
      <w:r w:rsidR="00BB4866">
        <w:t>,</w:t>
      </w:r>
      <w:r>
        <w:t xml:space="preserve"> A</w:t>
      </w:r>
      <w:r w:rsidR="00BB4866">
        <w:t>.</w:t>
      </w:r>
      <w:r>
        <w:t>, Beukema</w:t>
      </w:r>
      <w:r w:rsidR="00BB4866">
        <w:t>,</w:t>
      </w:r>
      <w:r>
        <w:t xml:space="preserve"> W</w:t>
      </w:r>
      <w:r w:rsidR="00BB4866">
        <w:t>.</w:t>
      </w:r>
      <w:r>
        <w:t>, Acevedo</w:t>
      </w:r>
      <w:r w:rsidR="00BB4866">
        <w:t>,</w:t>
      </w:r>
      <w:r>
        <w:t xml:space="preserve"> A</w:t>
      </w:r>
      <w:r w:rsidR="00BB4866">
        <w:t>.</w:t>
      </w:r>
      <w:r>
        <w:t>A</w:t>
      </w:r>
      <w:r w:rsidR="00BB4866">
        <w:t>.</w:t>
      </w:r>
      <w:r>
        <w:t>, Burrowes</w:t>
      </w:r>
      <w:r w:rsidR="00BB4866">
        <w:t>,</w:t>
      </w:r>
      <w:r>
        <w:t xml:space="preserve"> P</w:t>
      </w:r>
      <w:r w:rsidR="00BB4866">
        <w:t>.</w:t>
      </w:r>
      <w:r>
        <w:t>A</w:t>
      </w:r>
      <w:r w:rsidR="00BB4866">
        <w:t>.</w:t>
      </w:r>
      <w:r>
        <w:t>, Carvalho</w:t>
      </w:r>
      <w:r w:rsidR="00BB4866">
        <w:t>,</w:t>
      </w:r>
      <w:r>
        <w:t xml:space="preserve"> T</w:t>
      </w:r>
      <w:r w:rsidR="00BB4866">
        <w:t>.</w:t>
      </w:r>
      <w:r>
        <w:t>, Catenazzi</w:t>
      </w:r>
      <w:r w:rsidR="00BB4866">
        <w:t>,</w:t>
      </w:r>
      <w:r>
        <w:t xml:space="preserve"> A</w:t>
      </w:r>
      <w:r w:rsidR="00BB4866">
        <w:t>.</w:t>
      </w:r>
      <w:r>
        <w:t>, Riva</w:t>
      </w:r>
      <w:r w:rsidR="00BB4866">
        <w:t>,</w:t>
      </w:r>
      <w:r>
        <w:t xml:space="preserve"> I</w:t>
      </w:r>
      <w:r w:rsidR="00BB4866">
        <w:t>.</w:t>
      </w:r>
      <w:r>
        <w:t>D</w:t>
      </w:r>
      <w:r w:rsidR="00BB4866">
        <w:t>.</w:t>
      </w:r>
      <w:r>
        <w:t xml:space="preserve"> la, Fisher</w:t>
      </w:r>
      <w:r w:rsidR="00BB4866">
        <w:t>,</w:t>
      </w:r>
      <w:r>
        <w:t xml:space="preserve"> M</w:t>
      </w:r>
      <w:r w:rsidR="00BB4866">
        <w:t>.</w:t>
      </w:r>
      <w:r>
        <w:t>C</w:t>
      </w:r>
      <w:r w:rsidR="00BB4866">
        <w:t>.</w:t>
      </w:r>
      <w:r>
        <w:t>, Flechas</w:t>
      </w:r>
      <w:r w:rsidR="00BB4866">
        <w:t>,</w:t>
      </w:r>
      <w:r>
        <w:t xml:space="preserve"> S</w:t>
      </w:r>
      <w:r w:rsidR="00BB4866">
        <w:t>.</w:t>
      </w:r>
      <w:r>
        <w:t>V</w:t>
      </w:r>
      <w:r w:rsidR="00BB4866">
        <w:t>.</w:t>
      </w:r>
      <w:r>
        <w:t>, Foster</w:t>
      </w:r>
      <w:r w:rsidR="00BB4866">
        <w:t>,</w:t>
      </w:r>
      <w:r>
        <w:t xml:space="preserve"> C</w:t>
      </w:r>
      <w:r w:rsidR="00BB4866">
        <w:t>.</w:t>
      </w:r>
      <w:r>
        <w:t>N</w:t>
      </w:r>
      <w:r w:rsidR="00BB4866">
        <w:t>.</w:t>
      </w:r>
      <w:r>
        <w:t>, Frías-Álvarez</w:t>
      </w:r>
      <w:r w:rsidR="00BB4866">
        <w:t>,</w:t>
      </w:r>
      <w:r>
        <w:t xml:space="preserve"> P</w:t>
      </w:r>
      <w:r w:rsidR="00BB4866">
        <w:t>.</w:t>
      </w:r>
      <w:r>
        <w:t>, Garner</w:t>
      </w:r>
      <w:r w:rsidR="00BB4866">
        <w:t>,</w:t>
      </w:r>
      <w:r>
        <w:t xml:space="preserve"> T</w:t>
      </w:r>
      <w:r w:rsidR="00BB4866">
        <w:t>.</w:t>
      </w:r>
      <w:r>
        <w:t>W</w:t>
      </w:r>
      <w:r w:rsidR="00BB4866">
        <w:t>.</w:t>
      </w:r>
      <w:r>
        <w:t>J</w:t>
      </w:r>
      <w:r w:rsidR="00BB4866">
        <w:t>.</w:t>
      </w:r>
      <w:r>
        <w:t>, Gratwicke</w:t>
      </w:r>
      <w:r w:rsidR="00BB4866">
        <w:t>,</w:t>
      </w:r>
      <w:r>
        <w:t xml:space="preserve"> B</w:t>
      </w:r>
      <w:r w:rsidR="00BB4866">
        <w:t>.</w:t>
      </w:r>
      <w:r>
        <w:t>, Guayasamin</w:t>
      </w:r>
      <w:r w:rsidR="00BB4866">
        <w:t>,</w:t>
      </w:r>
      <w:r>
        <w:t xml:space="preserve"> J</w:t>
      </w:r>
      <w:r w:rsidR="00BB4866">
        <w:t>.</w:t>
      </w:r>
      <w:r>
        <w:t>M</w:t>
      </w:r>
      <w:r w:rsidR="00BB4866">
        <w:t>.</w:t>
      </w:r>
      <w:r>
        <w:t>, Hirschfeld</w:t>
      </w:r>
      <w:r w:rsidR="00BB4866">
        <w:t>,</w:t>
      </w:r>
      <w:r>
        <w:t xml:space="preserve"> M</w:t>
      </w:r>
      <w:r w:rsidR="00BB4866">
        <w:t>.</w:t>
      </w:r>
      <w:r>
        <w:t>, Kolby</w:t>
      </w:r>
      <w:r w:rsidR="00BB4866">
        <w:t>,</w:t>
      </w:r>
      <w:r>
        <w:t xml:space="preserve"> J</w:t>
      </w:r>
      <w:r w:rsidR="00BB4866">
        <w:t>.</w:t>
      </w:r>
      <w:r>
        <w:t>E</w:t>
      </w:r>
      <w:r w:rsidR="00BB4866">
        <w:t>.</w:t>
      </w:r>
      <w:r>
        <w:t>, Kosch</w:t>
      </w:r>
      <w:r w:rsidR="00BB4866">
        <w:t>,</w:t>
      </w:r>
      <w:r>
        <w:t xml:space="preserve"> T</w:t>
      </w:r>
      <w:r w:rsidR="00BB4866">
        <w:t>.</w:t>
      </w:r>
      <w:r>
        <w:t>A</w:t>
      </w:r>
      <w:r w:rsidR="00BB4866">
        <w:t>.</w:t>
      </w:r>
      <w:r>
        <w:t>, Marca</w:t>
      </w:r>
      <w:r w:rsidR="00BB4866">
        <w:t>,</w:t>
      </w:r>
      <w:r>
        <w:t xml:space="preserve"> E</w:t>
      </w:r>
      <w:r w:rsidR="00BB4866">
        <w:t>.</w:t>
      </w:r>
      <w:r>
        <w:t>L</w:t>
      </w:r>
      <w:r w:rsidR="00BB4866">
        <w:t>.</w:t>
      </w:r>
      <w:r>
        <w:t>, Lindenmayer</w:t>
      </w:r>
      <w:r w:rsidR="00BB4866">
        <w:t>,</w:t>
      </w:r>
      <w:r>
        <w:t xml:space="preserve"> D</w:t>
      </w:r>
      <w:r w:rsidR="00BB4866">
        <w:t>.</w:t>
      </w:r>
      <w:r>
        <w:t>B</w:t>
      </w:r>
      <w:r w:rsidR="00BB4866">
        <w:t>.</w:t>
      </w:r>
      <w:r>
        <w:t>, Lips</w:t>
      </w:r>
      <w:r w:rsidR="00BB4866">
        <w:t>,</w:t>
      </w:r>
      <w:r>
        <w:t xml:space="preserve"> K</w:t>
      </w:r>
      <w:r w:rsidR="00BB4866">
        <w:t>.</w:t>
      </w:r>
      <w:r>
        <w:t>R</w:t>
      </w:r>
      <w:r w:rsidR="00BB4866">
        <w:t>.</w:t>
      </w:r>
      <w:r>
        <w:t>, Longo</w:t>
      </w:r>
      <w:r w:rsidR="00BB4866">
        <w:t>,</w:t>
      </w:r>
      <w:r>
        <w:t xml:space="preserve"> A</w:t>
      </w:r>
      <w:r w:rsidR="00BB4866">
        <w:t>.</w:t>
      </w:r>
      <w:r>
        <w:t>V</w:t>
      </w:r>
      <w:r w:rsidR="00BB4866">
        <w:t>.</w:t>
      </w:r>
      <w:r>
        <w:t>, Maneyro</w:t>
      </w:r>
      <w:r w:rsidR="00BB4866">
        <w:t>,</w:t>
      </w:r>
      <w:r>
        <w:t xml:space="preserve"> R</w:t>
      </w:r>
      <w:r w:rsidR="00BB4866">
        <w:t>.</w:t>
      </w:r>
      <w:r>
        <w:t>, McDonald</w:t>
      </w:r>
      <w:r w:rsidR="00BB4866">
        <w:t>,</w:t>
      </w:r>
      <w:r>
        <w:t xml:space="preserve"> C</w:t>
      </w:r>
      <w:r w:rsidR="00BB4866">
        <w:t>.</w:t>
      </w:r>
      <w:r>
        <w:t>A</w:t>
      </w:r>
      <w:r w:rsidR="00BB4866">
        <w:t>.</w:t>
      </w:r>
      <w:r>
        <w:t>, Mendelson</w:t>
      </w:r>
      <w:r w:rsidR="00BB4866">
        <w:t>,</w:t>
      </w:r>
      <w:r>
        <w:t xml:space="preserve"> J</w:t>
      </w:r>
      <w:r w:rsidR="00BB4866">
        <w:t>.</w:t>
      </w:r>
      <w:r>
        <w:t>, Palacios-Rodriguez</w:t>
      </w:r>
      <w:r w:rsidR="00BB4866">
        <w:t>,</w:t>
      </w:r>
      <w:r>
        <w:t xml:space="preserve"> P</w:t>
      </w:r>
      <w:r w:rsidR="00BB4866">
        <w:t>.</w:t>
      </w:r>
      <w:r>
        <w:t>, Parra-Olea</w:t>
      </w:r>
      <w:r w:rsidR="00BB4866">
        <w:t>,</w:t>
      </w:r>
      <w:r>
        <w:t xml:space="preserve"> G</w:t>
      </w:r>
      <w:r w:rsidR="00BB4866">
        <w:t>.</w:t>
      </w:r>
      <w:r>
        <w:t>, Richards-Zawacki</w:t>
      </w:r>
      <w:r w:rsidR="00BB4866">
        <w:t>,</w:t>
      </w:r>
      <w:r>
        <w:t xml:space="preserve"> C</w:t>
      </w:r>
      <w:r w:rsidR="00BB4866">
        <w:t>.</w:t>
      </w:r>
      <w:r>
        <w:t>L</w:t>
      </w:r>
      <w:r w:rsidR="00BB4866">
        <w:t>.</w:t>
      </w:r>
      <w:r>
        <w:t>, Rödel M-O</w:t>
      </w:r>
      <w:r w:rsidR="00BB4866">
        <w:t>.</w:t>
      </w:r>
      <w:r>
        <w:t>, Rovito</w:t>
      </w:r>
      <w:r w:rsidR="00BB4866">
        <w:t>,</w:t>
      </w:r>
      <w:r>
        <w:t xml:space="preserve"> S</w:t>
      </w:r>
      <w:r w:rsidR="00BB4866">
        <w:t>.</w:t>
      </w:r>
      <w:r>
        <w:t>M</w:t>
      </w:r>
      <w:r w:rsidR="00BB4866">
        <w:t>.</w:t>
      </w:r>
      <w:r>
        <w:t>, Soto-Azat</w:t>
      </w:r>
      <w:r w:rsidR="00BB4866">
        <w:t>,</w:t>
      </w:r>
      <w:r>
        <w:t xml:space="preserve"> C</w:t>
      </w:r>
      <w:r w:rsidR="00BB4866">
        <w:t>.</w:t>
      </w:r>
      <w:r>
        <w:t>, Toledo</w:t>
      </w:r>
      <w:r w:rsidR="00BB4866">
        <w:t>,</w:t>
      </w:r>
      <w:r>
        <w:t xml:space="preserve"> L</w:t>
      </w:r>
      <w:r w:rsidR="00BB4866">
        <w:t>.</w:t>
      </w:r>
      <w:r>
        <w:t>F</w:t>
      </w:r>
      <w:r w:rsidR="00BB4866">
        <w:t>.</w:t>
      </w:r>
      <w:r>
        <w:t>, Voyles</w:t>
      </w:r>
      <w:r w:rsidR="00BB4866">
        <w:t>,</w:t>
      </w:r>
      <w:r>
        <w:t xml:space="preserve"> J</w:t>
      </w:r>
      <w:r w:rsidR="00BB4866">
        <w:t>.</w:t>
      </w:r>
      <w:r>
        <w:t>, Weldon</w:t>
      </w:r>
      <w:r w:rsidR="00BB4866">
        <w:t>,</w:t>
      </w:r>
      <w:r>
        <w:t xml:space="preserve"> C</w:t>
      </w:r>
      <w:r w:rsidR="00BB4866">
        <w:t>.</w:t>
      </w:r>
      <w:r>
        <w:t>, Whitfield</w:t>
      </w:r>
      <w:r w:rsidR="00BB4866">
        <w:t>,</w:t>
      </w:r>
      <w:r>
        <w:t xml:space="preserve"> S</w:t>
      </w:r>
      <w:r w:rsidR="00BB4866">
        <w:t>.</w:t>
      </w:r>
      <w:r>
        <w:t>M</w:t>
      </w:r>
      <w:r w:rsidR="00BB4866">
        <w:t>.</w:t>
      </w:r>
      <w:r>
        <w:t>, Wilkinson</w:t>
      </w:r>
      <w:r w:rsidR="00BB4866">
        <w:t>,</w:t>
      </w:r>
      <w:r>
        <w:t xml:space="preserve"> M</w:t>
      </w:r>
      <w:r w:rsidR="00BB4866">
        <w:t>.</w:t>
      </w:r>
      <w:r>
        <w:t>, Zamudio</w:t>
      </w:r>
      <w:r w:rsidR="00BB4866">
        <w:t>,</w:t>
      </w:r>
      <w:r>
        <w:t xml:space="preserve"> K</w:t>
      </w:r>
      <w:r w:rsidR="00BB4866">
        <w:t>.</w:t>
      </w:r>
      <w:r>
        <w:t>R</w:t>
      </w:r>
      <w:r w:rsidR="00BB4866">
        <w:t>. and</w:t>
      </w:r>
      <w:r>
        <w:t xml:space="preserve"> Canessa</w:t>
      </w:r>
      <w:r w:rsidR="00BB4866">
        <w:t>,</w:t>
      </w:r>
      <w:r>
        <w:t xml:space="preserve"> S</w:t>
      </w:r>
      <w:r w:rsidR="00BB4866">
        <w:t>.</w:t>
      </w:r>
      <w:r>
        <w:t xml:space="preserve"> (2019). Amphibian fungal panzootic causes catastrophic and ongoing loss of biodiversity. </w:t>
      </w:r>
      <w:r>
        <w:rPr>
          <w:i/>
          <w:iCs/>
        </w:rPr>
        <w:t>Science</w:t>
      </w:r>
      <w:r>
        <w:t xml:space="preserve"> </w:t>
      </w:r>
      <w:r>
        <w:rPr>
          <w:b/>
          <w:bCs/>
        </w:rPr>
        <w:t>363</w:t>
      </w:r>
      <w:r>
        <w:t>, 1459–1463 doi:10.1126/science.aav0379</w:t>
      </w:r>
    </w:p>
    <w:p w14:paraId="064FF1B6" w14:textId="0B2B360F" w:rsidR="006C28A0" w:rsidRDefault="006C28A0" w:rsidP="006C28A0">
      <w:pPr>
        <w:pStyle w:val="Bibliography"/>
      </w:pPr>
      <w:r>
        <w:t>Scott</w:t>
      </w:r>
      <w:r w:rsidR="00BB4866">
        <w:t>,</w:t>
      </w:r>
      <w:r>
        <w:t xml:space="preserve"> A</w:t>
      </w:r>
      <w:r w:rsidR="00BB4866">
        <w:t>.</w:t>
      </w:r>
      <w:r>
        <w:t>, Hernandez-Jover</w:t>
      </w:r>
      <w:r w:rsidR="00BB4866">
        <w:t>,</w:t>
      </w:r>
      <w:r>
        <w:t xml:space="preserve"> M</w:t>
      </w:r>
      <w:r w:rsidR="00BB4866">
        <w:t>.</w:t>
      </w:r>
      <w:r>
        <w:t>, Groves</w:t>
      </w:r>
      <w:r w:rsidR="00BB4866">
        <w:t>,</w:t>
      </w:r>
      <w:r>
        <w:t xml:space="preserve"> P</w:t>
      </w:r>
      <w:r w:rsidR="00BB4866">
        <w:t xml:space="preserve">. and </w:t>
      </w:r>
      <w:r>
        <w:t>Toribio</w:t>
      </w:r>
      <w:r w:rsidR="00BB4866">
        <w:t>,</w:t>
      </w:r>
      <w:r>
        <w:t xml:space="preserve"> J-A</w:t>
      </w:r>
      <w:r w:rsidR="00BB4866">
        <w:t>.</w:t>
      </w:r>
      <w:r>
        <w:t xml:space="preserve"> (2020). An overview of avian influenza in the context of the Australian commercial poultry industry. </w:t>
      </w:r>
      <w:r>
        <w:rPr>
          <w:i/>
          <w:iCs/>
        </w:rPr>
        <w:t>One Health</w:t>
      </w:r>
      <w:r>
        <w:t xml:space="preserve"> </w:t>
      </w:r>
      <w:r>
        <w:rPr>
          <w:b/>
          <w:bCs/>
        </w:rPr>
        <w:t>10</w:t>
      </w:r>
      <w:r>
        <w:t>, 100139.</w:t>
      </w:r>
    </w:p>
    <w:p w14:paraId="43F88B17" w14:textId="13C58696" w:rsidR="006C28A0" w:rsidRDefault="006C28A0" w:rsidP="006C28A0">
      <w:pPr>
        <w:pStyle w:val="Bibliography"/>
      </w:pPr>
      <w:r>
        <w:t>Skerratt</w:t>
      </w:r>
      <w:r w:rsidR="00BB4866">
        <w:t>,</w:t>
      </w:r>
      <w:r>
        <w:t xml:space="preserve"> L</w:t>
      </w:r>
      <w:r w:rsidR="00BB4866">
        <w:t>.</w:t>
      </w:r>
      <w:r>
        <w:t>F</w:t>
      </w:r>
      <w:r w:rsidR="00BB4866">
        <w:t>.</w:t>
      </w:r>
      <w:r>
        <w:t>, Berger</w:t>
      </w:r>
      <w:r w:rsidR="00BB4866">
        <w:t>,</w:t>
      </w:r>
      <w:r>
        <w:t xml:space="preserve"> L</w:t>
      </w:r>
      <w:r w:rsidR="00BB4866">
        <w:t>.</w:t>
      </w:r>
      <w:r>
        <w:t>, Speare</w:t>
      </w:r>
      <w:r w:rsidR="00BB4866">
        <w:t>,</w:t>
      </w:r>
      <w:r>
        <w:t xml:space="preserve"> R</w:t>
      </w:r>
      <w:r w:rsidR="00BB4866">
        <w:t>.</w:t>
      </w:r>
      <w:r>
        <w:t>, Cashins</w:t>
      </w:r>
      <w:r w:rsidR="00BB4866">
        <w:t>,</w:t>
      </w:r>
      <w:r>
        <w:t xml:space="preserve"> S</w:t>
      </w:r>
      <w:r w:rsidR="00BB4866">
        <w:t>.</w:t>
      </w:r>
      <w:r>
        <w:t>, McDonald</w:t>
      </w:r>
      <w:r w:rsidR="00BB4866">
        <w:t>,</w:t>
      </w:r>
      <w:r>
        <w:t xml:space="preserve"> K</w:t>
      </w:r>
      <w:r w:rsidR="00BB4866">
        <w:t>.</w:t>
      </w:r>
      <w:r>
        <w:t>R</w:t>
      </w:r>
      <w:r w:rsidR="00BB4866">
        <w:t>.</w:t>
      </w:r>
      <w:r>
        <w:t>, Phillott</w:t>
      </w:r>
      <w:r w:rsidR="00BB4866">
        <w:t>,</w:t>
      </w:r>
      <w:r>
        <w:t xml:space="preserve"> A</w:t>
      </w:r>
      <w:r w:rsidR="00BB4866">
        <w:t>.</w:t>
      </w:r>
      <w:r>
        <w:t>D</w:t>
      </w:r>
      <w:r w:rsidR="00BB4866">
        <w:t>.</w:t>
      </w:r>
      <w:r>
        <w:t>, Hines</w:t>
      </w:r>
      <w:r w:rsidR="00BB4866">
        <w:t>,</w:t>
      </w:r>
      <w:r>
        <w:t xml:space="preserve"> H</w:t>
      </w:r>
      <w:r w:rsidR="00BB4866">
        <w:t>.</w:t>
      </w:r>
      <w:r>
        <w:t>B</w:t>
      </w:r>
      <w:r w:rsidR="00BB4866">
        <w:t>. and</w:t>
      </w:r>
      <w:r>
        <w:t xml:space="preserve"> Kenyon</w:t>
      </w:r>
      <w:r w:rsidR="00BB4866">
        <w:t>,</w:t>
      </w:r>
      <w:r>
        <w:t xml:space="preserve"> N</w:t>
      </w:r>
      <w:r w:rsidR="00BB4866">
        <w:t>.</w:t>
      </w:r>
      <w:r>
        <w:t xml:space="preserve"> (2007). Spread of chytridiomycosis has caused the rapid global decline and extinction of frogs. </w:t>
      </w:r>
      <w:r>
        <w:rPr>
          <w:i/>
          <w:iCs/>
        </w:rPr>
        <w:t>EcoHealth</w:t>
      </w:r>
      <w:r>
        <w:t xml:space="preserve"> </w:t>
      </w:r>
      <w:r>
        <w:rPr>
          <w:b/>
          <w:bCs/>
        </w:rPr>
        <w:t>4</w:t>
      </w:r>
      <w:r>
        <w:t>, 125–134.</w:t>
      </w:r>
    </w:p>
    <w:p w14:paraId="525339C8" w14:textId="75983E00" w:rsidR="003D725B" w:rsidRPr="003D725B" w:rsidRDefault="003D725B" w:rsidP="003D725B">
      <w:pPr>
        <w:pStyle w:val="Bibliography"/>
      </w:pPr>
      <w:r w:rsidRPr="003D725B">
        <w:t>Skerratt L</w:t>
      </w:r>
      <w:r>
        <w:t>.</w:t>
      </w:r>
      <w:r w:rsidRPr="003D725B">
        <w:t>F</w:t>
      </w:r>
      <w:r>
        <w:t>.</w:t>
      </w:r>
      <w:r w:rsidRPr="003D725B">
        <w:t>, Berger L</w:t>
      </w:r>
      <w:r>
        <w:t>.</w:t>
      </w:r>
      <w:r w:rsidRPr="003D725B">
        <w:t>, Clemann N</w:t>
      </w:r>
      <w:r>
        <w:t>.</w:t>
      </w:r>
      <w:r w:rsidRPr="003D725B">
        <w:t>, Hunter D</w:t>
      </w:r>
      <w:r>
        <w:t>.</w:t>
      </w:r>
      <w:r w:rsidRPr="003D725B">
        <w:t>A</w:t>
      </w:r>
      <w:r>
        <w:t>.</w:t>
      </w:r>
      <w:r w:rsidRPr="003D725B">
        <w:t>, Marantelli G</w:t>
      </w:r>
      <w:r>
        <w:t>.</w:t>
      </w:r>
      <w:r w:rsidRPr="003D725B">
        <w:t>, Newell D</w:t>
      </w:r>
      <w:r>
        <w:t>.</w:t>
      </w:r>
      <w:r w:rsidRPr="003D725B">
        <w:t>A</w:t>
      </w:r>
      <w:r>
        <w:t>.</w:t>
      </w:r>
      <w:r w:rsidRPr="003D725B">
        <w:t>, Philips A</w:t>
      </w:r>
      <w:r>
        <w:t>.</w:t>
      </w:r>
      <w:r w:rsidRPr="003D725B">
        <w:t>, McFadden M</w:t>
      </w:r>
      <w:r>
        <w:t>.</w:t>
      </w:r>
      <w:r w:rsidRPr="003D725B">
        <w:t>, Hines H</w:t>
      </w:r>
      <w:r>
        <w:t>.</w:t>
      </w:r>
      <w:r w:rsidRPr="003D725B">
        <w:t>B</w:t>
      </w:r>
      <w:r>
        <w:t>.</w:t>
      </w:r>
      <w:r w:rsidRPr="003D725B">
        <w:t>, Scheele B</w:t>
      </w:r>
      <w:r>
        <w:t>.</w:t>
      </w:r>
      <w:r w:rsidRPr="003D725B">
        <w:t>C</w:t>
      </w:r>
      <w:r>
        <w:t>.</w:t>
      </w:r>
      <w:r w:rsidRPr="003D725B">
        <w:t>, Brannelly L</w:t>
      </w:r>
      <w:r>
        <w:t>.</w:t>
      </w:r>
      <w:r w:rsidRPr="003D725B">
        <w:t>A</w:t>
      </w:r>
      <w:r>
        <w:t>.</w:t>
      </w:r>
      <w:r w:rsidRPr="003D725B">
        <w:t>, Speare R</w:t>
      </w:r>
      <w:r>
        <w:t>.</w:t>
      </w:r>
      <w:r w:rsidRPr="003D725B">
        <w:t>, Versteegen S</w:t>
      </w:r>
      <w:r>
        <w:t>.</w:t>
      </w:r>
      <w:r w:rsidRPr="003D725B">
        <w:t>, Cashins S</w:t>
      </w:r>
      <w:r>
        <w:t>.</w:t>
      </w:r>
      <w:r w:rsidRPr="003D725B">
        <w:t>D</w:t>
      </w:r>
      <w:r>
        <w:t>.</w:t>
      </w:r>
      <w:r w:rsidRPr="003D725B">
        <w:t xml:space="preserve"> and West M</w:t>
      </w:r>
      <w:r>
        <w:t>.</w:t>
      </w:r>
      <w:r w:rsidRPr="003D725B">
        <w:t xml:space="preserve"> (2016). Priorities for management of chytridiomycosis in Australia: saving frogs from extinction. </w:t>
      </w:r>
      <w:r w:rsidRPr="003D725B">
        <w:rPr>
          <w:i/>
          <w:iCs/>
        </w:rPr>
        <w:t>Wildlife Research</w:t>
      </w:r>
      <w:r w:rsidRPr="003D725B">
        <w:t xml:space="preserve"> 43, 105</w:t>
      </w:r>
      <w:r>
        <w:t>–120</w:t>
      </w:r>
      <w:r w:rsidRPr="003D725B">
        <w:t>. doi:</w:t>
      </w:r>
      <w:hyperlink r:id="rId72" w:history="1">
        <w:r w:rsidRPr="003D725B">
          <w:t>10.1071/WR15071</w:t>
        </w:r>
      </w:hyperlink>
    </w:p>
    <w:p w14:paraId="30FCBF22" w14:textId="07D03B0C" w:rsidR="006C28A0" w:rsidRDefault="006C28A0" w:rsidP="006C28A0">
      <w:pPr>
        <w:pStyle w:val="Bibliography"/>
      </w:pPr>
      <w:r>
        <w:t>Stockwell</w:t>
      </w:r>
      <w:r w:rsidR="00BB4866">
        <w:t>,</w:t>
      </w:r>
      <w:r>
        <w:t xml:space="preserve"> M</w:t>
      </w:r>
      <w:r w:rsidR="00BB4866">
        <w:t>.</w:t>
      </w:r>
      <w:r>
        <w:t>P</w:t>
      </w:r>
      <w:r w:rsidR="00BB4866">
        <w:t>.</w:t>
      </w:r>
      <w:r>
        <w:t>, Garnham</w:t>
      </w:r>
      <w:r w:rsidR="00BB4866">
        <w:t>,</w:t>
      </w:r>
      <w:r>
        <w:t xml:space="preserve"> J</w:t>
      </w:r>
      <w:r w:rsidR="00BB4866">
        <w:t>.</w:t>
      </w:r>
      <w:r>
        <w:t>I</w:t>
      </w:r>
      <w:r w:rsidR="00BB4866">
        <w:t>.</w:t>
      </w:r>
      <w:r>
        <w:t>, Bower</w:t>
      </w:r>
      <w:r w:rsidR="00BB4866">
        <w:t>,</w:t>
      </w:r>
      <w:r>
        <w:t xml:space="preserve"> D</w:t>
      </w:r>
      <w:r w:rsidR="00BB4866">
        <w:t>.</w:t>
      </w:r>
      <w:r>
        <w:t>S</w:t>
      </w:r>
      <w:r w:rsidR="00BB4866">
        <w:t>.</w:t>
      </w:r>
      <w:r>
        <w:t>, Clulow</w:t>
      </w:r>
      <w:r w:rsidR="00BB4866">
        <w:t>,</w:t>
      </w:r>
      <w:r>
        <w:t xml:space="preserve"> J</w:t>
      </w:r>
      <w:r w:rsidR="00BB4866">
        <w:t>. and</w:t>
      </w:r>
      <w:r>
        <w:t xml:space="preserve"> Mahony</w:t>
      </w:r>
      <w:r w:rsidR="00BB4866">
        <w:t>,</w:t>
      </w:r>
      <w:r>
        <w:t xml:space="preserve"> M</w:t>
      </w:r>
      <w:r w:rsidR="00BB4866">
        <w:t>.</w:t>
      </w:r>
      <w:r>
        <w:t>J</w:t>
      </w:r>
      <w:r w:rsidR="00BB4866">
        <w:t>.</w:t>
      </w:r>
      <w:r>
        <w:t xml:space="preserve"> (2016). Low disease-causing threshold in a frog species susceptible to chytridiomycosis Ed R Boden. </w:t>
      </w:r>
      <w:r>
        <w:rPr>
          <w:i/>
          <w:iCs/>
        </w:rPr>
        <w:t>FEMS Microbiology Letters</w:t>
      </w:r>
      <w:r>
        <w:t xml:space="preserve"> </w:t>
      </w:r>
      <w:r>
        <w:rPr>
          <w:b/>
          <w:bCs/>
        </w:rPr>
        <w:t>363</w:t>
      </w:r>
      <w:r>
        <w:t>, fnw111 doi:10.1093/femsle/fnw111</w:t>
      </w:r>
    </w:p>
    <w:p w14:paraId="6B3D43A8" w14:textId="68A71B53" w:rsidR="006C28A0" w:rsidRDefault="006C28A0" w:rsidP="006C28A0">
      <w:pPr>
        <w:pStyle w:val="Bibliography"/>
      </w:pPr>
      <w:r>
        <w:t>Sutherland</w:t>
      </w:r>
      <w:r w:rsidR="00BB4866">
        <w:t>,</w:t>
      </w:r>
      <w:r>
        <w:t xml:space="preserve"> D</w:t>
      </w:r>
      <w:r w:rsidR="00BB4866">
        <w:t>.</w:t>
      </w:r>
      <w:r>
        <w:t>R</w:t>
      </w:r>
      <w:r w:rsidR="00BB4866">
        <w:t>. and</w:t>
      </w:r>
      <w:r>
        <w:t xml:space="preserve"> Dann</w:t>
      </w:r>
      <w:r w:rsidR="00BB4866">
        <w:t>,</w:t>
      </w:r>
      <w:r>
        <w:t xml:space="preserve"> P</w:t>
      </w:r>
      <w:r w:rsidR="00BB4866">
        <w:t>.</w:t>
      </w:r>
      <w:r>
        <w:t xml:space="preserve"> (2014). Population trends in a substantial colony of Little Penguins: </w:t>
      </w:r>
      <w:r w:rsidR="00BB4866">
        <w:t>T</w:t>
      </w:r>
      <w:r>
        <w:t xml:space="preserve">hree independent measures over three decades. </w:t>
      </w:r>
      <w:r>
        <w:rPr>
          <w:i/>
          <w:iCs/>
        </w:rPr>
        <w:t>Biodiversity and Conservation</w:t>
      </w:r>
      <w:r>
        <w:t xml:space="preserve"> </w:t>
      </w:r>
      <w:r>
        <w:rPr>
          <w:b/>
          <w:bCs/>
        </w:rPr>
        <w:t>23</w:t>
      </w:r>
      <w:r>
        <w:t>, 241–250 doi:10.1007/s10531-013-0597-y</w:t>
      </w:r>
    </w:p>
    <w:p w14:paraId="285968BD" w14:textId="02E40187" w:rsidR="006C28A0" w:rsidRDefault="006C28A0" w:rsidP="006C28A0">
      <w:pPr>
        <w:pStyle w:val="Bibliography"/>
      </w:pPr>
      <w:r>
        <w:t>Thogmartin</w:t>
      </w:r>
      <w:r w:rsidR="00BB4866">
        <w:t>,</w:t>
      </w:r>
      <w:r>
        <w:t xml:space="preserve"> W</w:t>
      </w:r>
      <w:r w:rsidR="00BB4866">
        <w:t>.</w:t>
      </w:r>
      <w:r>
        <w:t>E</w:t>
      </w:r>
      <w:r w:rsidR="00BB4866">
        <w:t>.</w:t>
      </w:r>
      <w:r>
        <w:t>, Sanders-Reed</w:t>
      </w:r>
      <w:r w:rsidR="00BB4866">
        <w:t>,</w:t>
      </w:r>
      <w:r>
        <w:t xml:space="preserve"> C</w:t>
      </w:r>
      <w:r w:rsidR="00BB4866">
        <w:t>.</w:t>
      </w:r>
      <w:r>
        <w:t>A</w:t>
      </w:r>
      <w:r w:rsidR="00BB4866">
        <w:t>.</w:t>
      </w:r>
      <w:r>
        <w:t>, Szymanski</w:t>
      </w:r>
      <w:r w:rsidR="00BB4866">
        <w:t>,</w:t>
      </w:r>
      <w:r>
        <w:t xml:space="preserve"> J</w:t>
      </w:r>
      <w:r w:rsidR="00BB4866">
        <w:t>.</w:t>
      </w:r>
      <w:r>
        <w:t>A</w:t>
      </w:r>
      <w:r w:rsidR="00BB4866">
        <w:t>.</w:t>
      </w:r>
      <w:r>
        <w:t>, McKann</w:t>
      </w:r>
      <w:r w:rsidR="00BB4866">
        <w:t>,</w:t>
      </w:r>
      <w:r>
        <w:t xml:space="preserve"> P</w:t>
      </w:r>
      <w:r w:rsidR="00BB4866">
        <w:t>.</w:t>
      </w:r>
      <w:r>
        <w:t>C</w:t>
      </w:r>
      <w:r w:rsidR="00BB4866">
        <w:t>.</w:t>
      </w:r>
      <w:r>
        <w:t>, Pruitt</w:t>
      </w:r>
      <w:r w:rsidR="00BB4866">
        <w:t>,</w:t>
      </w:r>
      <w:r>
        <w:t xml:space="preserve"> L</w:t>
      </w:r>
      <w:r w:rsidR="00BB4866">
        <w:t>.</w:t>
      </w:r>
      <w:r>
        <w:t>, King</w:t>
      </w:r>
      <w:r w:rsidR="00BB4866">
        <w:t>,</w:t>
      </w:r>
      <w:r>
        <w:t xml:space="preserve"> R</w:t>
      </w:r>
      <w:r w:rsidR="00BB4866">
        <w:t>.</w:t>
      </w:r>
      <w:r>
        <w:t>A</w:t>
      </w:r>
      <w:r w:rsidR="00BB4866">
        <w:t>.</w:t>
      </w:r>
      <w:r>
        <w:t>, Runge</w:t>
      </w:r>
      <w:r w:rsidR="00BB4866">
        <w:t>,</w:t>
      </w:r>
      <w:r>
        <w:t xml:space="preserve"> M</w:t>
      </w:r>
      <w:r w:rsidR="00BB4866">
        <w:t>.</w:t>
      </w:r>
      <w:r>
        <w:t>C</w:t>
      </w:r>
      <w:r w:rsidR="00BB4866">
        <w:t>. and</w:t>
      </w:r>
      <w:r>
        <w:t xml:space="preserve"> Russell</w:t>
      </w:r>
      <w:r w:rsidR="00BB4866">
        <w:t>,</w:t>
      </w:r>
      <w:r>
        <w:t xml:space="preserve"> R</w:t>
      </w:r>
      <w:r w:rsidR="00BB4866">
        <w:t>.</w:t>
      </w:r>
      <w:r>
        <w:t>E</w:t>
      </w:r>
      <w:r w:rsidR="00BB4866">
        <w:t>.</w:t>
      </w:r>
      <w:r>
        <w:t xml:space="preserve"> (2013). </w:t>
      </w:r>
      <w:r w:rsidR="00E07B96">
        <w:t>White Nose Syndrome</w:t>
      </w:r>
      <w:r>
        <w:t xml:space="preserve"> is likely to extirpate the endangered Indiana bat over large parts of its range. </w:t>
      </w:r>
      <w:r>
        <w:rPr>
          <w:i/>
          <w:iCs/>
        </w:rPr>
        <w:t>Biological Conservation</w:t>
      </w:r>
      <w:r>
        <w:t xml:space="preserve"> </w:t>
      </w:r>
      <w:r>
        <w:rPr>
          <w:b/>
          <w:bCs/>
        </w:rPr>
        <w:t>160</w:t>
      </w:r>
      <w:r>
        <w:t>, 162–172 doi:10.1016/j.biocon.2013.01.010</w:t>
      </w:r>
    </w:p>
    <w:p w14:paraId="0913D2EF" w14:textId="528B9E4B" w:rsidR="006C28A0" w:rsidRDefault="006C28A0" w:rsidP="006C28A0">
      <w:pPr>
        <w:pStyle w:val="Bibliography"/>
      </w:pPr>
      <w:r>
        <w:t>Thomas</w:t>
      </w:r>
      <w:r w:rsidR="00BB4866">
        <w:t>,</w:t>
      </w:r>
      <w:r>
        <w:t xml:space="preserve"> D</w:t>
      </w:r>
      <w:r w:rsidR="00BB4866">
        <w:t>.</w:t>
      </w:r>
      <w:r>
        <w:t>W</w:t>
      </w:r>
      <w:r w:rsidR="00BB4866">
        <w:t>.</w:t>
      </w:r>
      <w:r>
        <w:t>, Dorais</w:t>
      </w:r>
      <w:r w:rsidR="00BB4866">
        <w:t>,</w:t>
      </w:r>
      <w:r>
        <w:t xml:space="preserve"> M</w:t>
      </w:r>
      <w:r w:rsidR="00BB4866">
        <w:t>.</w:t>
      </w:r>
      <w:r>
        <w:t>, Bergeron</w:t>
      </w:r>
      <w:r w:rsidR="00BB4866">
        <w:t>,</w:t>
      </w:r>
      <w:r>
        <w:t xml:space="preserve"> J-M</w:t>
      </w:r>
      <w:r w:rsidR="00BB4866">
        <w:t>.</w:t>
      </w:r>
      <w:r>
        <w:t xml:space="preserve"> (1990). Winter energy budgets and cost of arousals for hibernating little brown bats, </w:t>
      </w:r>
      <w:r w:rsidRPr="00DA5824">
        <w:rPr>
          <w:i/>
          <w:iCs/>
        </w:rPr>
        <w:t>Myotis lucifugus.</w:t>
      </w:r>
      <w:r>
        <w:t xml:space="preserve"> </w:t>
      </w:r>
      <w:r>
        <w:rPr>
          <w:i/>
          <w:iCs/>
        </w:rPr>
        <w:t>Journal of mammalogy</w:t>
      </w:r>
      <w:r>
        <w:t xml:space="preserve"> </w:t>
      </w:r>
      <w:r>
        <w:rPr>
          <w:b/>
          <w:bCs/>
        </w:rPr>
        <w:t>71</w:t>
      </w:r>
      <w:r>
        <w:t>, 475–479.</w:t>
      </w:r>
    </w:p>
    <w:p w14:paraId="588FDE1C" w14:textId="33D38BFB" w:rsidR="006C28A0" w:rsidRDefault="006C28A0" w:rsidP="006C28A0">
      <w:pPr>
        <w:pStyle w:val="Bibliography"/>
      </w:pPr>
      <w:r>
        <w:t>Tompkins</w:t>
      </w:r>
      <w:r w:rsidR="00BB4866">
        <w:t>,</w:t>
      </w:r>
      <w:r>
        <w:t xml:space="preserve"> D</w:t>
      </w:r>
      <w:r w:rsidR="00BB4866">
        <w:t>.</w:t>
      </w:r>
      <w:r>
        <w:t>M</w:t>
      </w:r>
      <w:r w:rsidR="00BB4866">
        <w:t>.</w:t>
      </w:r>
      <w:r>
        <w:t>, Carver</w:t>
      </w:r>
      <w:r w:rsidR="00BB4866">
        <w:t>,</w:t>
      </w:r>
      <w:r>
        <w:t xml:space="preserve"> S</w:t>
      </w:r>
      <w:r w:rsidR="00BB4866">
        <w:t>.</w:t>
      </w:r>
      <w:r>
        <w:t>, Jones</w:t>
      </w:r>
      <w:r w:rsidR="00BB4866">
        <w:t>,</w:t>
      </w:r>
      <w:r>
        <w:t xml:space="preserve"> M</w:t>
      </w:r>
      <w:r w:rsidR="00BB4866">
        <w:t>.</w:t>
      </w:r>
      <w:r>
        <w:t>E</w:t>
      </w:r>
      <w:r w:rsidR="00BB4866">
        <w:t>.</w:t>
      </w:r>
      <w:r>
        <w:t>, Krkošek</w:t>
      </w:r>
      <w:r w:rsidR="00BB4866">
        <w:t>,</w:t>
      </w:r>
      <w:r>
        <w:t xml:space="preserve"> M</w:t>
      </w:r>
      <w:r w:rsidR="00BB4866">
        <w:t>. and</w:t>
      </w:r>
      <w:r>
        <w:t xml:space="preserve"> Skerratt</w:t>
      </w:r>
      <w:r w:rsidR="00BB4866">
        <w:t>,</w:t>
      </w:r>
      <w:r>
        <w:t xml:space="preserve"> L</w:t>
      </w:r>
      <w:r w:rsidR="00BB4866">
        <w:t>.</w:t>
      </w:r>
      <w:r>
        <w:t>F</w:t>
      </w:r>
      <w:r w:rsidR="00BB4866">
        <w:t>.</w:t>
      </w:r>
      <w:r>
        <w:t xml:space="preserve"> (2015). Emerging infectious diseases of wildlife: A critical perspective. </w:t>
      </w:r>
      <w:r>
        <w:rPr>
          <w:i/>
          <w:iCs/>
        </w:rPr>
        <w:t>Trends in Parasitology</w:t>
      </w:r>
      <w:r>
        <w:t xml:space="preserve"> </w:t>
      </w:r>
      <w:r>
        <w:rPr>
          <w:b/>
          <w:bCs/>
        </w:rPr>
        <w:t>31</w:t>
      </w:r>
      <w:r>
        <w:t>, 149–159 doi:10.1016/j.pt.2015.01.007</w:t>
      </w:r>
    </w:p>
    <w:p w14:paraId="2248B65C" w14:textId="0C98ECAF" w:rsidR="006C28A0" w:rsidRDefault="006C28A0" w:rsidP="006C28A0">
      <w:pPr>
        <w:pStyle w:val="Bibliography"/>
      </w:pPr>
      <w:r>
        <w:t>Turbill</w:t>
      </w:r>
      <w:r w:rsidR="0078481B">
        <w:t>,</w:t>
      </w:r>
      <w:r>
        <w:t xml:space="preserve"> C</w:t>
      </w:r>
      <w:r w:rsidR="0078481B">
        <w:t>. and</w:t>
      </w:r>
      <w:r>
        <w:t xml:space="preserve"> Welbergen</w:t>
      </w:r>
      <w:r w:rsidR="0078481B">
        <w:t>,</w:t>
      </w:r>
      <w:r>
        <w:t xml:space="preserve"> J</w:t>
      </w:r>
      <w:r w:rsidR="0078481B">
        <w:t>.</w:t>
      </w:r>
      <w:r>
        <w:t>A</w:t>
      </w:r>
      <w:r w:rsidR="0078481B">
        <w:t>.</w:t>
      </w:r>
      <w:r>
        <w:t xml:space="preserve"> (2020). Anticipating white</w:t>
      </w:r>
      <w:r>
        <w:rPr>
          <w:rFonts w:ascii="Cambria Math" w:hAnsi="Cambria Math" w:cs="Cambria Math"/>
        </w:rPr>
        <w:t>‐</w:t>
      </w:r>
      <w:r>
        <w:t xml:space="preserve">nose syndrome in the Southern Hemisphere: Widespread conditions favourable to </w:t>
      </w:r>
      <w:r>
        <w:rPr>
          <w:i/>
          <w:iCs/>
        </w:rPr>
        <w:t>Pseudogymnoascus destructans</w:t>
      </w:r>
      <w:r>
        <w:t xml:space="preserve"> pose a serious risk to Australia’s bat fauna. </w:t>
      </w:r>
      <w:r>
        <w:rPr>
          <w:i/>
          <w:iCs/>
        </w:rPr>
        <w:t>Austral Ecology</w:t>
      </w:r>
      <w:r>
        <w:t xml:space="preserve"> </w:t>
      </w:r>
      <w:r>
        <w:rPr>
          <w:b/>
          <w:bCs/>
        </w:rPr>
        <w:t>45</w:t>
      </w:r>
      <w:r>
        <w:t>, 89–96 doi:10.1111/aec.12832</w:t>
      </w:r>
    </w:p>
    <w:p w14:paraId="5A88A742" w14:textId="4F6EB167" w:rsidR="006C28A0" w:rsidRDefault="006C28A0" w:rsidP="006C28A0">
      <w:pPr>
        <w:pStyle w:val="Bibliography"/>
      </w:pPr>
      <w:r>
        <w:t>Turner</w:t>
      </w:r>
      <w:r w:rsidR="0078481B">
        <w:t>,</w:t>
      </w:r>
      <w:r>
        <w:t xml:space="preserve"> A</w:t>
      </w:r>
      <w:r w:rsidR="0078481B">
        <w:t>.,</w:t>
      </w:r>
      <w:r>
        <w:t xml:space="preserve"> Wassens</w:t>
      </w:r>
      <w:r w:rsidR="0078481B">
        <w:t>,</w:t>
      </w:r>
      <w:r>
        <w:t xml:space="preserve"> S</w:t>
      </w:r>
      <w:r w:rsidR="0078481B">
        <w:t>. and</w:t>
      </w:r>
      <w:r>
        <w:t xml:space="preserve"> Heard</w:t>
      </w:r>
      <w:r w:rsidR="0078481B">
        <w:t>,</w:t>
      </w:r>
      <w:r>
        <w:t xml:space="preserve"> G</w:t>
      </w:r>
      <w:r w:rsidR="0078481B">
        <w:t>.</w:t>
      </w:r>
      <w:r>
        <w:t xml:space="preserve"> (2021). Chytrid infection dynamics in frog populations from climatically disparate regions. </w:t>
      </w:r>
      <w:r>
        <w:rPr>
          <w:i/>
          <w:iCs/>
        </w:rPr>
        <w:t>Biological Conservation</w:t>
      </w:r>
      <w:r>
        <w:t xml:space="preserve"> </w:t>
      </w:r>
      <w:r>
        <w:rPr>
          <w:b/>
          <w:bCs/>
        </w:rPr>
        <w:t>264</w:t>
      </w:r>
      <w:r>
        <w:t>, 109391 doi:10.1016/j.biocon.2021.109391</w:t>
      </w:r>
    </w:p>
    <w:p w14:paraId="478585E3" w14:textId="4F3057F9" w:rsidR="006C28A0" w:rsidRDefault="006C28A0" w:rsidP="006C28A0">
      <w:pPr>
        <w:pStyle w:val="Bibliography"/>
      </w:pPr>
      <w:r>
        <w:t>Vaughan-Higgins</w:t>
      </w:r>
      <w:r w:rsidR="0078481B">
        <w:t>,</w:t>
      </w:r>
      <w:r>
        <w:t xml:space="preserve"> R</w:t>
      </w:r>
      <w:r w:rsidR="0078481B">
        <w:t>.</w:t>
      </w:r>
      <w:r>
        <w:t>, Skerratt</w:t>
      </w:r>
      <w:r w:rsidR="0078481B">
        <w:t>,</w:t>
      </w:r>
      <w:r>
        <w:t xml:space="preserve"> L</w:t>
      </w:r>
      <w:r w:rsidR="0078481B">
        <w:t>.</w:t>
      </w:r>
      <w:r>
        <w:t>F</w:t>
      </w:r>
      <w:r w:rsidR="0078481B">
        <w:t>. and</w:t>
      </w:r>
      <w:r>
        <w:t xml:space="preserve"> Hufschmid</w:t>
      </w:r>
      <w:r w:rsidR="0078481B">
        <w:t>,</w:t>
      </w:r>
      <w:r>
        <w:t xml:space="preserve"> J</w:t>
      </w:r>
      <w:r w:rsidR="0078481B">
        <w:t>.</w:t>
      </w:r>
      <w:r>
        <w:t xml:space="preserve"> (2024). </w:t>
      </w:r>
      <w:r w:rsidRPr="00DA5824">
        <w:rPr>
          <w:i/>
          <w:iCs/>
        </w:rPr>
        <w:t>Phillip Island (Millowl) Little Penguin (</w:t>
      </w:r>
      <w:r w:rsidRPr="0078481B">
        <w:t>Eudyptula minor</w:t>
      </w:r>
      <w:r w:rsidRPr="00DA5824">
        <w:rPr>
          <w:i/>
          <w:iCs/>
        </w:rPr>
        <w:t>) disease risk assessment</w:t>
      </w:r>
      <w:r>
        <w:t>. Report prepared for Phillip Island Nature Parks, University of Melbourne</w:t>
      </w:r>
      <w:r w:rsidR="0078481B">
        <w:t>, Victoria.</w:t>
      </w:r>
    </w:p>
    <w:p w14:paraId="686E396B" w14:textId="34BCC648" w:rsidR="006C28A0" w:rsidRDefault="006C28A0" w:rsidP="006C28A0">
      <w:pPr>
        <w:pStyle w:val="Bibliography"/>
      </w:pPr>
      <w:r>
        <w:t>Verant</w:t>
      </w:r>
      <w:r w:rsidR="00A20D77">
        <w:t>,</w:t>
      </w:r>
      <w:r>
        <w:t xml:space="preserve"> M</w:t>
      </w:r>
      <w:r w:rsidR="00A20D77">
        <w:t>.</w:t>
      </w:r>
      <w:r>
        <w:t>L</w:t>
      </w:r>
      <w:r w:rsidR="00A20D77">
        <w:t>.</w:t>
      </w:r>
      <w:r>
        <w:t>, Meteyer</w:t>
      </w:r>
      <w:r w:rsidR="00A20D77">
        <w:t>,</w:t>
      </w:r>
      <w:r>
        <w:t xml:space="preserve"> C</w:t>
      </w:r>
      <w:r w:rsidR="00A20D77">
        <w:t>.</w:t>
      </w:r>
      <w:r>
        <w:t>U</w:t>
      </w:r>
      <w:r w:rsidR="00A20D77">
        <w:t>.</w:t>
      </w:r>
      <w:r>
        <w:t>, Speakman</w:t>
      </w:r>
      <w:r w:rsidR="00A20D77">
        <w:t>,</w:t>
      </w:r>
      <w:r>
        <w:t xml:space="preserve"> J</w:t>
      </w:r>
      <w:r w:rsidR="00A20D77">
        <w:t>.</w:t>
      </w:r>
      <w:r>
        <w:t>R</w:t>
      </w:r>
      <w:r w:rsidR="00A20D77">
        <w:t>.</w:t>
      </w:r>
      <w:r>
        <w:t>, Cryan</w:t>
      </w:r>
      <w:r w:rsidR="00A20D77">
        <w:t>,</w:t>
      </w:r>
      <w:r>
        <w:t xml:space="preserve"> P</w:t>
      </w:r>
      <w:r w:rsidR="00A20D77">
        <w:t>.</w:t>
      </w:r>
      <w:r>
        <w:t>M</w:t>
      </w:r>
      <w:r w:rsidR="00A20D77">
        <w:t>.</w:t>
      </w:r>
      <w:r>
        <w:t>, Lorch</w:t>
      </w:r>
      <w:r w:rsidR="00A20D77">
        <w:t>,</w:t>
      </w:r>
      <w:r>
        <w:t xml:space="preserve"> J</w:t>
      </w:r>
      <w:r w:rsidR="00A20D77">
        <w:t>.</w:t>
      </w:r>
      <w:r>
        <w:t>M</w:t>
      </w:r>
      <w:r w:rsidR="00A20D77">
        <w:t>. and</w:t>
      </w:r>
      <w:r>
        <w:t xml:space="preserve"> Blehert</w:t>
      </w:r>
      <w:r w:rsidR="00A20D77">
        <w:t>,</w:t>
      </w:r>
      <w:r>
        <w:t xml:space="preserve"> D</w:t>
      </w:r>
      <w:r w:rsidR="00A20D77">
        <w:t>.</w:t>
      </w:r>
      <w:r>
        <w:t>S</w:t>
      </w:r>
      <w:r w:rsidR="00A20D77">
        <w:t>.</w:t>
      </w:r>
      <w:r>
        <w:t xml:space="preserve"> (2014). </w:t>
      </w:r>
      <w:r w:rsidR="00E07B96">
        <w:t>White Nose Syndrome</w:t>
      </w:r>
      <w:r>
        <w:t xml:space="preserve"> initiates a cascade of physiologic disturbances in the hibernating bat host. </w:t>
      </w:r>
      <w:r>
        <w:rPr>
          <w:i/>
          <w:iCs/>
        </w:rPr>
        <w:t>BMC Physiology</w:t>
      </w:r>
      <w:r>
        <w:t xml:space="preserve"> </w:t>
      </w:r>
      <w:r>
        <w:rPr>
          <w:b/>
          <w:bCs/>
        </w:rPr>
        <w:t>14</w:t>
      </w:r>
      <w:r>
        <w:t>, 1–10.</w:t>
      </w:r>
    </w:p>
    <w:p w14:paraId="679DA38C" w14:textId="490F918C" w:rsidR="006C28A0" w:rsidRDefault="006C28A0" w:rsidP="006C28A0">
      <w:pPr>
        <w:pStyle w:val="Bibliography"/>
      </w:pPr>
      <w:r>
        <w:t>Vitali</w:t>
      </w:r>
      <w:r w:rsidR="00A20D77">
        <w:t>,</w:t>
      </w:r>
      <w:r>
        <w:t xml:space="preserve"> S</w:t>
      </w:r>
      <w:r w:rsidR="00A20D77">
        <w:t>.</w:t>
      </w:r>
      <w:r>
        <w:t>D</w:t>
      </w:r>
      <w:r w:rsidR="00A20D77">
        <w:t>.</w:t>
      </w:r>
      <w:r>
        <w:t>, Reiss</w:t>
      </w:r>
      <w:r w:rsidR="00A20D77">
        <w:t>,</w:t>
      </w:r>
      <w:r>
        <w:t xml:space="preserve"> A</w:t>
      </w:r>
      <w:r w:rsidR="00A20D77">
        <w:t>.</w:t>
      </w:r>
      <w:r>
        <w:t>E</w:t>
      </w:r>
      <w:r w:rsidR="00A20D77">
        <w:t>.</w:t>
      </w:r>
      <w:r>
        <w:t>, Jacob-Hoff</w:t>
      </w:r>
      <w:r w:rsidR="00A20D77">
        <w:t>,</w:t>
      </w:r>
      <w:r>
        <w:t xml:space="preserve"> R</w:t>
      </w:r>
      <w:r w:rsidR="00A20D77">
        <w:t>.</w:t>
      </w:r>
      <w:r>
        <w:t>M</w:t>
      </w:r>
      <w:r w:rsidR="00A20D77">
        <w:t>.</w:t>
      </w:r>
      <w:r>
        <w:t>, Stephenson</w:t>
      </w:r>
      <w:r w:rsidR="00A20D77">
        <w:t>,</w:t>
      </w:r>
      <w:r>
        <w:t xml:space="preserve"> T</w:t>
      </w:r>
      <w:r w:rsidR="00A20D77">
        <w:t>.</w:t>
      </w:r>
      <w:r>
        <w:t>L</w:t>
      </w:r>
      <w:r w:rsidR="00A20D77">
        <w:t>.</w:t>
      </w:r>
      <w:r>
        <w:t>, Holz</w:t>
      </w:r>
      <w:r w:rsidR="00A20D77">
        <w:t>,</w:t>
      </w:r>
      <w:r>
        <w:t xml:space="preserve"> P</w:t>
      </w:r>
      <w:r w:rsidR="00A20D77">
        <w:t>.</w:t>
      </w:r>
      <w:r>
        <w:t>H</w:t>
      </w:r>
      <w:r w:rsidR="00A20D77">
        <w:t>. and</w:t>
      </w:r>
      <w:r>
        <w:t xml:space="preserve"> Higgins</w:t>
      </w:r>
      <w:r w:rsidR="00A20D77">
        <w:t>,</w:t>
      </w:r>
      <w:r>
        <w:t xml:space="preserve"> D</w:t>
      </w:r>
      <w:r w:rsidR="00A20D77">
        <w:t>.</w:t>
      </w:r>
      <w:r>
        <w:t>P</w:t>
      </w:r>
      <w:r w:rsidR="00A20D77">
        <w:t>.</w:t>
      </w:r>
      <w:r>
        <w:t xml:space="preserve"> (2022). </w:t>
      </w:r>
      <w:r w:rsidRPr="00DA5824">
        <w:rPr>
          <w:i/>
          <w:iCs/>
        </w:rPr>
        <w:t>National Koala Disease Risk Analysis Report</w:t>
      </w:r>
      <w:r>
        <w:t>. University of Sydney, Sydney, Australia.</w:t>
      </w:r>
    </w:p>
    <w:p w14:paraId="25981E5C" w14:textId="754F7615" w:rsidR="006C28A0" w:rsidRDefault="006C28A0" w:rsidP="006C28A0">
      <w:pPr>
        <w:pStyle w:val="Bibliography"/>
      </w:pPr>
      <w:r>
        <w:t>Vredenburg</w:t>
      </w:r>
      <w:r w:rsidR="00A20D77">
        <w:t>,</w:t>
      </w:r>
      <w:r>
        <w:t xml:space="preserve"> V</w:t>
      </w:r>
      <w:r w:rsidR="00A20D77">
        <w:t>.</w:t>
      </w:r>
      <w:r>
        <w:t>T</w:t>
      </w:r>
      <w:r w:rsidR="00A20D77">
        <w:t>.</w:t>
      </w:r>
      <w:r>
        <w:t>, Knapp</w:t>
      </w:r>
      <w:r w:rsidR="00A20D77">
        <w:t>,</w:t>
      </w:r>
      <w:r>
        <w:t xml:space="preserve"> R</w:t>
      </w:r>
      <w:r w:rsidR="00A20D77">
        <w:t>.</w:t>
      </w:r>
      <w:r>
        <w:t>A</w:t>
      </w:r>
      <w:r w:rsidR="00A20D77">
        <w:t>.</w:t>
      </w:r>
      <w:r>
        <w:t>, Tunstall</w:t>
      </w:r>
      <w:r w:rsidR="00A20D77">
        <w:t>,</w:t>
      </w:r>
      <w:r>
        <w:t xml:space="preserve"> T</w:t>
      </w:r>
      <w:r w:rsidR="00A20D77">
        <w:t>.</w:t>
      </w:r>
      <w:r>
        <w:t>S</w:t>
      </w:r>
      <w:r w:rsidR="00A20D77">
        <w:t>. and</w:t>
      </w:r>
      <w:r>
        <w:t xml:space="preserve"> Briggs</w:t>
      </w:r>
      <w:r w:rsidR="00A20D77">
        <w:t>,</w:t>
      </w:r>
      <w:r>
        <w:t xml:space="preserve"> C</w:t>
      </w:r>
      <w:r w:rsidR="00A20D77">
        <w:t>.</w:t>
      </w:r>
      <w:r>
        <w:t>J</w:t>
      </w:r>
      <w:r w:rsidR="00A20D77">
        <w:t>.</w:t>
      </w:r>
      <w:r>
        <w:t xml:space="preserve"> (2010). Dynamics of an emerging disease drive large-scale amphibian population extinctions. </w:t>
      </w:r>
      <w:r>
        <w:rPr>
          <w:i/>
          <w:iCs/>
        </w:rPr>
        <w:t>Proceedings of the National Academy of Sciences</w:t>
      </w:r>
      <w:r>
        <w:t xml:space="preserve"> </w:t>
      </w:r>
      <w:r>
        <w:rPr>
          <w:b/>
          <w:bCs/>
        </w:rPr>
        <w:t>107</w:t>
      </w:r>
      <w:r>
        <w:t>, 9689–9694.</w:t>
      </w:r>
    </w:p>
    <w:p w14:paraId="57D1637F" w14:textId="2342496D" w:rsidR="006C28A0" w:rsidRDefault="006C28A0" w:rsidP="006C28A0">
      <w:pPr>
        <w:pStyle w:val="Bibliography"/>
      </w:pPr>
      <w:r>
        <w:t>Vynnycky</w:t>
      </w:r>
      <w:r w:rsidR="00A20D77">
        <w:t>,</w:t>
      </w:r>
      <w:r>
        <w:t xml:space="preserve"> E</w:t>
      </w:r>
      <w:r w:rsidR="00A20D77">
        <w:t>. and</w:t>
      </w:r>
      <w:r>
        <w:t xml:space="preserve"> White</w:t>
      </w:r>
      <w:r w:rsidR="00A20D77">
        <w:t>,</w:t>
      </w:r>
      <w:r>
        <w:t xml:space="preserve"> R</w:t>
      </w:r>
      <w:r w:rsidR="00A20D77">
        <w:t>.</w:t>
      </w:r>
      <w:r>
        <w:t xml:space="preserve"> (2010). </w:t>
      </w:r>
      <w:r w:rsidRPr="00DA5824">
        <w:rPr>
          <w:i/>
          <w:iCs/>
        </w:rPr>
        <w:t xml:space="preserve">An </w:t>
      </w:r>
      <w:r w:rsidR="00A20D77" w:rsidRPr="00DA5824">
        <w:rPr>
          <w:i/>
          <w:iCs/>
        </w:rPr>
        <w:t>Introduction To Infectious Disease Modelling</w:t>
      </w:r>
      <w:r w:rsidRPr="00DA5824">
        <w:rPr>
          <w:i/>
          <w:iCs/>
        </w:rPr>
        <w:t>.</w:t>
      </w:r>
      <w:r>
        <w:t xml:space="preserve"> Oxford University Press</w:t>
      </w:r>
      <w:r w:rsidR="00A20D77">
        <w:t>, Oxford, UK.</w:t>
      </w:r>
    </w:p>
    <w:p w14:paraId="16E2E232" w14:textId="5CE49DEA" w:rsidR="006C28A0" w:rsidRDefault="006C28A0" w:rsidP="006C28A0">
      <w:pPr>
        <w:pStyle w:val="Bibliography"/>
      </w:pPr>
      <w:r>
        <w:t>Waddle</w:t>
      </w:r>
      <w:r w:rsidR="00A20D77">
        <w:t>,</w:t>
      </w:r>
      <w:r>
        <w:t xml:space="preserve"> A</w:t>
      </w:r>
      <w:r w:rsidR="00A20D77">
        <w:t>.</w:t>
      </w:r>
      <w:r>
        <w:t>W</w:t>
      </w:r>
      <w:r w:rsidR="00A20D77">
        <w:t>.</w:t>
      </w:r>
      <w:r>
        <w:t>, Clulow</w:t>
      </w:r>
      <w:r w:rsidR="00A20D77">
        <w:t>,</w:t>
      </w:r>
      <w:r>
        <w:t xml:space="preserve"> S</w:t>
      </w:r>
      <w:r w:rsidR="00A20D77">
        <w:t>.</w:t>
      </w:r>
      <w:r>
        <w:t>, Aquilina</w:t>
      </w:r>
      <w:r w:rsidR="00A20D77">
        <w:t>,</w:t>
      </w:r>
      <w:r>
        <w:t xml:space="preserve"> A</w:t>
      </w:r>
      <w:r w:rsidR="00A20D77">
        <w:t>.</w:t>
      </w:r>
      <w:r>
        <w:t>, Sauer</w:t>
      </w:r>
      <w:r w:rsidR="00A20D77">
        <w:t>,</w:t>
      </w:r>
      <w:r>
        <w:t xml:space="preserve"> E</w:t>
      </w:r>
      <w:r w:rsidR="00A20D77">
        <w:t>.</w:t>
      </w:r>
      <w:r>
        <w:t>L</w:t>
      </w:r>
      <w:r w:rsidR="00A20D77">
        <w:t>.</w:t>
      </w:r>
      <w:r>
        <w:t>, Kaiser</w:t>
      </w:r>
      <w:r w:rsidR="00A20D77">
        <w:t>,</w:t>
      </w:r>
      <w:r>
        <w:t xml:space="preserve"> S</w:t>
      </w:r>
      <w:r w:rsidR="00A20D77">
        <w:t>.</w:t>
      </w:r>
      <w:r>
        <w:t>W</w:t>
      </w:r>
      <w:r w:rsidR="00A20D77">
        <w:t>.</w:t>
      </w:r>
      <w:r>
        <w:t>, Miller</w:t>
      </w:r>
      <w:r w:rsidR="00A20D77">
        <w:t>,</w:t>
      </w:r>
      <w:r>
        <w:t xml:space="preserve"> C</w:t>
      </w:r>
      <w:r w:rsidR="00A20D77">
        <w:t>.</w:t>
      </w:r>
      <w:r>
        <w:t>, Flegg</w:t>
      </w:r>
      <w:r w:rsidR="00A20D77">
        <w:t>,</w:t>
      </w:r>
      <w:r>
        <w:t xml:space="preserve"> J</w:t>
      </w:r>
      <w:r w:rsidR="00A20D77">
        <w:t>.</w:t>
      </w:r>
      <w:r>
        <w:t>A</w:t>
      </w:r>
      <w:r w:rsidR="00A20D77">
        <w:t>.</w:t>
      </w:r>
      <w:r>
        <w:t>, Campbell</w:t>
      </w:r>
      <w:r w:rsidR="00A20D77">
        <w:t>,</w:t>
      </w:r>
      <w:r>
        <w:t xml:space="preserve"> P</w:t>
      </w:r>
      <w:r w:rsidR="00A20D77">
        <w:t>.</w:t>
      </w:r>
      <w:r>
        <w:t>T</w:t>
      </w:r>
      <w:r w:rsidR="00A20D77">
        <w:t>.</w:t>
      </w:r>
      <w:r>
        <w:t>, Gallagher</w:t>
      </w:r>
      <w:r w:rsidR="00A20D77">
        <w:t>,</w:t>
      </w:r>
      <w:r>
        <w:t xml:space="preserve"> H</w:t>
      </w:r>
      <w:r w:rsidR="00A20D77">
        <w:t>.</w:t>
      </w:r>
      <w:r>
        <w:t>, Dimovski</w:t>
      </w:r>
      <w:r w:rsidR="00A20D77">
        <w:t>,</w:t>
      </w:r>
      <w:r>
        <w:t xml:space="preserve"> I</w:t>
      </w:r>
      <w:r w:rsidR="00A20D77">
        <w:t>.</w:t>
      </w:r>
      <w:r>
        <w:t>, Lambreghts</w:t>
      </w:r>
      <w:r w:rsidR="00A20D77">
        <w:t>,</w:t>
      </w:r>
      <w:r>
        <w:t xml:space="preserve"> Y</w:t>
      </w:r>
      <w:r w:rsidR="00A20D77">
        <w:t>.</w:t>
      </w:r>
      <w:r>
        <w:t>, Berger</w:t>
      </w:r>
      <w:r w:rsidR="00A20D77">
        <w:t>,</w:t>
      </w:r>
      <w:r>
        <w:t xml:space="preserve"> L</w:t>
      </w:r>
      <w:r w:rsidR="00A20D77">
        <w:t>.</w:t>
      </w:r>
      <w:r>
        <w:t>, Skerratt</w:t>
      </w:r>
      <w:r w:rsidR="00A20D77">
        <w:t>,</w:t>
      </w:r>
      <w:r>
        <w:t xml:space="preserve"> L</w:t>
      </w:r>
      <w:r w:rsidR="00A20D77">
        <w:t>.</w:t>
      </w:r>
      <w:r>
        <w:t>F</w:t>
      </w:r>
      <w:r w:rsidR="00A20D77">
        <w:t>. and</w:t>
      </w:r>
      <w:r>
        <w:t xml:space="preserve"> Shine</w:t>
      </w:r>
      <w:r w:rsidR="00A20D77">
        <w:t>,</w:t>
      </w:r>
      <w:r>
        <w:t xml:space="preserve"> R</w:t>
      </w:r>
      <w:r w:rsidR="00A20D77">
        <w:t>.</w:t>
      </w:r>
      <w:r>
        <w:t xml:space="preserve"> (2024). Hotspot shelters stimulate frog resistance to chytridiomycosis. </w:t>
      </w:r>
      <w:r>
        <w:rPr>
          <w:i/>
          <w:iCs/>
        </w:rPr>
        <w:t>Nature</w:t>
      </w:r>
      <w:r>
        <w:t xml:space="preserve"> </w:t>
      </w:r>
      <w:r>
        <w:rPr>
          <w:b/>
          <w:bCs/>
        </w:rPr>
        <w:t>631</w:t>
      </w:r>
      <w:r>
        <w:t>, 344–349 doi:10.1038/s41586-024-07582-y</w:t>
      </w:r>
    </w:p>
    <w:p w14:paraId="190C5096" w14:textId="0181077D" w:rsidR="006C28A0" w:rsidRDefault="006C28A0" w:rsidP="006C28A0">
      <w:pPr>
        <w:pStyle w:val="Bibliography"/>
      </w:pPr>
      <w:r>
        <w:t>Ward</w:t>
      </w:r>
      <w:r w:rsidR="00A20D77">
        <w:t>,</w:t>
      </w:r>
      <w:r>
        <w:t xml:space="preserve"> M</w:t>
      </w:r>
      <w:r w:rsidR="00A20D77">
        <w:t>.</w:t>
      </w:r>
      <w:r>
        <w:t>, Carwardine</w:t>
      </w:r>
      <w:r w:rsidR="00A20D77">
        <w:t>,</w:t>
      </w:r>
      <w:r>
        <w:t xml:space="preserve"> J</w:t>
      </w:r>
      <w:r w:rsidR="00A20D77">
        <w:t>.</w:t>
      </w:r>
      <w:r>
        <w:t>, Yong</w:t>
      </w:r>
      <w:r w:rsidR="00A20D77">
        <w:t>,</w:t>
      </w:r>
      <w:r>
        <w:t xml:space="preserve"> C</w:t>
      </w:r>
      <w:r w:rsidR="00A20D77">
        <w:t>.</w:t>
      </w:r>
      <w:r>
        <w:t>J</w:t>
      </w:r>
      <w:r w:rsidR="00A20D77">
        <w:t>.</w:t>
      </w:r>
      <w:r>
        <w:t>, Watson</w:t>
      </w:r>
      <w:r w:rsidR="00A20D77">
        <w:t>,</w:t>
      </w:r>
      <w:r>
        <w:t xml:space="preserve"> J</w:t>
      </w:r>
      <w:r w:rsidR="00A20D77">
        <w:t>.</w:t>
      </w:r>
      <w:r>
        <w:t>E</w:t>
      </w:r>
      <w:r w:rsidR="00A20D77">
        <w:t>.</w:t>
      </w:r>
      <w:r>
        <w:t>, Silcock</w:t>
      </w:r>
      <w:r w:rsidR="00A20D77">
        <w:t>,</w:t>
      </w:r>
      <w:r>
        <w:t xml:space="preserve"> J</w:t>
      </w:r>
      <w:r w:rsidR="00A20D77">
        <w:t>.</w:t>
      </w:r>
      <w:r>
        <w:t>, Taylor</w:t>
      </w:r>
      <w:r w:rsidR="00A20D77">
        <w:t>,</w:t>
      </w:r>
      <w:r>
        <w:t xml:space="preserve"> G</w:t>
      </w:r>
      <w:r w:rsidR="00A20D77">
        <w:t>.</w:t>
      </w:r>
      <w:r>
        <w:t>S</w:t>
      </w:r>
      <w:r w:rsidR="00A20D77">
        <w:t>.</w:t>
      </w:r>
      <w:r>
        <w:t>, Lintermans</w:t>
      </w:r>
      <w:r w:rsidR="00A20D77">
        <w:t>,</w:t>
      </w:r>
      <w:r>
        <w:t xml:space="preserve"> M</w:t>
      </w:r>
      <w:r w:rsidR="00A20D77">
        <w:t>.</w:t>
      </w:r>
      <w:r>
        <w:t>, Gillespie</w:t>
      </w:r>
      <w:r w:rsidR="00A20D77">
        <w:t>,</w:t>
      </w:r>
      <w:r>
        <w:t xml:space="preserve"> G</w:t>
      </w:r>
      <w:r w:rsidR="00A20D77">
        <w:t>.</w:t>
      </w:r>
      <w:r>
        <w:t>R</w:t>
      </w:r>
      <w:r w:rsidR="00A20D77">
        <w:t>.</w:t>
      </w:r>
      <w:r>
        <w:t>, Garnett</w:t>
      </w:r>
      <w:r w:rsidR="00A20D77">
        <w:t>,</w:t>
      </w:r>
      <w:r>
        <w:t xml:space="preserve"> S</w:t>
      </w:r>
      <w:r w:rsidR="00A20D77">
        <w:t>.</w:t>
      </w:r>
      <w:r>
        <w:t>T</w:t>
      </w:r>
      <w:r w:rsidR="00A20D77">
        <w:t>.</w:t>
      </w:r>
      <w:r>
        <w:t>, Woinarski</w:t>
      </w:r>
      <w:r w:rsidR="00A20D77">
        <w:t>,</w:t>
      </w:r>
      <w:r>
        <w:t xml:space="preserve"> J</w:t>
      </w:r>
      <w:r w:rsidR="00A20D77">
        <w:t>.</w:t>
      </w:r>
      <w:r>
        <w:t xml:space="preserve">, others (2021). A national-scale dataset for threats impacting Australia’s imperiled flora and fauna. </w:t>
      </w:r>
      <w:r>
        <w:rPr>
          <w:i/>
          <w:iCs/>
        </w:rPr>
        <w:t>Ecology and Evolution</w:t>
      </w:r>
      <w:r>
        <w:t xml:space="preserve"> </w:t>
      </w:r>
      <w:r>
        <w:rPr>
          <w:b/>
          <w:bCs/>
        </w:rPr>
        <w:t>11</w:t>
      </w:r>
      <w:r>
        <w:t>, 11749–11761.</w:t>
      </w:r>
    </w:p>
    <w:p w14:paraId="087C5BB8" w14:textId="45EA681A" w:rsidR="006C28A0" w:rsidRDefault="006C28A0" w:rsidP="006C28A0">
      <w:pPr>
        <w:pStyle w:val="Bibliography"/>
      </w:pPr>
      <w:r>
        <w:t>Ward</w:t>
      </w:r>
      <w:r w:rsidR="00A20D77">
        <w:t>,</w:t>
      </w:r>
      <w:r>
        <w:t xml:space="preserve"> M</w:t>
      </w:r>
      <w:r w:rsidR="00A20D77">
        <w:t>.</w:t>
      </w:r>
      <w:r>
        <w:t>, Garner</w:t>
      </w:r>
      <w:r w:rsidR="00A20D77">
        <w:t>,</w:t>
      </w:r>
      <w:r>
        <w:t xml:space="preserve"> M</w:t>
      </w:r>
      <w:r w:rsidR="00A20D77">
        <w:t>. and</w:t>
      </w:r>
      <w:r>
        <w:t xml:space="preserve"> Cowled</w:t>
      </w:r>
      <w:r w:rsidR="00A20D77">
        <w:t>,</w:t>
      </w:r>
      <w:r>
        <w:t xml:space="preserve"> B</w:t>
      </w:r>
      <w:r w:rsidR="00A20D77">
        <w:t>.</w:t>
      </w:r>
      <w:r>
        <w:t xml:space="preserve"> (2015). Modelling </w:t>
      </w:r>
      <w:r w:rsidR="00E07B96">
        <w:t>Foot and Mouth Disease</w:t>
      </w:r>
      <w:r>
        <w:t xml:space="preserve"> transmission in a wild pig–domestic cattle ecosystem. </w:t>
      </w:r>
      <w:r>
        <w:rPr>
          <w:i/>
          <w:iCs/>
        </w:rPr>
        <w:t>Australian Veterinary Journal</w:t>
      </w:r>
      <w:r>
        <w:t xml:space="preserve"> </w:t>
      </w:r>
      <w:r>
        <w:rPr>
          <w:b/>
          <w:bCs/>
        </w:rPr>
        <w:t>93</w:t>
      </w:r>
      <w:r>
        <w:t>, 4–12 doi:10.1111/avj.12278</w:t>
      </w:r>
    </w:p>
    <w:p w14:paraId="25D7516D" w14:textId="769A615D" w:rsidR="006C28A0" w:rsidRDefault="006C28A0" w:rsidP="006C28A0">
      <w:pPr>
        <w:pStyle w:val="Bibliography"/>
      </w:pPr>
      <w:r>
        <w:t xml:space="preserve">WHA (2024). </w:t>
      </w:r>
      <w:r w:rsidRPr="00DA5824">
        <w:rPr>
          <w:i/>
          <w:iCs/>
        </w:rPr>
        <w:t>Disease Factsheets. Wildlife Health Australia factsheets.</w:t>
      </w:r>
      <w:r>
        <w:t xml:space="preserve"> Available at: https://wildlifehealthaustralia.com.au/Resource-Centre/Fact-Sheets </w:t>
      </w:r>
      <w:r w:rsidR="00A20D77">
        <w:t>(</w:t>
      </w:r>
      <w:r>
        <w:t>accessed 1 October 2024</w:t>
      </w:r>
      <w:r w:rsidR="00A20D77">
        <w:t>).</w:t>
      </w:r>
    </w:p>
    <w:p w14:paraId="505B832F" w14:textId="1B962340" w:rsidR="006C28A0" w:rsidRDefault="006C28A0" w:rsidP="006C28A0">
      <w:pPr>
        <w:pStyle w:val="Bibliography"/>
      </w:pPr>
      <w:r>
        <w:t>Wicker</w:t>
      </w:r>
      <w:r w:rsidR="00A20D77">
        <w:t>,</w:t>
      </w:r>
      <w:r>
        <w:t xml:space="preserve"> L</w:t>
      </w:r>
      <w:r w:rsidR="00A20D77">
        <w:t>.</w:t>
      </w:r>
      <w:r>
        <w:t>, Portas</w:t>
      </w:r>
      <w:r w:rsidR="00A20D77">
        <w:t>,</w:t>
      </w:r>
      <w:r>
        <w:t xml:space="preserve"> T</w:t>
      </w:r>
      <w:r w:rsidR="00A20D77">
        <w:t>.</w:t>
      </w:r>
      <w:r>
        <w:t>, Hartnett</w:t>
      </w:r>
      <w:r w:rsidR="00A20D77">
        <w:t>,</w:t>
      </w:r>
      <w:r>
        <w:t xml:space="preserve"> C</w:t>
      </w:r>
      <w:r w:rsidR="00A20D77">
        <w:t>. and</w:t>
      </w:r>
      <w:r>
        <w:t xml:space="preserve"> Harley</w:t>
      </w:r>
      <w:r w:rsidR="00A20D77">
        <w:t>,</w:t>
      </w:r>
      <w:r>
        <w:t xml:space="preserve"> D</w:t>
      </w:r>
      <w:r w:rsidR="00A20D77">
        <w:t>.</w:t>
      </w:r>
      <w:r>
        <w:t xml:space="preserve"> (2017). </w:t>
      </w:r>
      <w:r w:rsidRPr="00DA5824">
        <w:rPr>
          <w:i/>
          <w:iCs/>
        </w:rPr>
        <w:t>Leadbeater’s possum translocation disease risk analysis.</w:t>
      </w:r>
      <w:r>
        <w:t xml:space="preserve"> Unpublished Technical Report. Zoos Victoria, Victoria, Australia.</w:t>
      </w:r>
    </w:p>
    <w:p w14:paraId="61C491F1" w14:textId="5FF8C29A" w:rsidR="006C28A0" w:rsidRDefault="006C28A0" w:rsidP="006C28A0">
      <w:pPr>
        <w:pStyle w:val="Bibliography"/>
      </w:pPr>
      <w:r>
        <w:t>Wille</w:t>
      </w:r>
      <w:r w:rsidR="00A20D77">
        <w:t>,</w:t>
      </w:r>
      <w:r>
        <w:t xml:space="preserve"> M</w:t>
      </w:r>
      <w:r w:rsidR="00A20D77">
        <w:t>. and</w:t>
      </w:r>
      <w:r>
        <w:t xml:space="preserve"> Klaassen</w:t>
      </w:r>
      <w:r w:rsidR="00A20D77">
        <w:t>,</w:t>
      </w:r>
      <w:r>
        <w:t xml:space="preserve"> M</w:t>
      </w:r>
      <w:r w:rsidR="00A20D77">
        <w:t>.</w:t>
      </w:r>
      <w:r>
        <w:t xml:space="preserve"> (2023). No evidence for HPAI H5N1 2.3.4.4b incursion into Australia in 2022. </w:t>
      </w:r>
      <w:r>
        <w:rPr>
          <w:i/>
          <w:iCs/>
        </w:rPr>
        <w:t>Influenza and other respiratory viruses</w:t>
      </w:r>
      <w:r>
        <w:t xml:space="preserve"> </w:t>
      </w:r>
      <w:r>
        <w:rPr>
          <w:b/>
          <w:bCs/>
        </w:rPr>
        <w:t>17</w:t>
      </w:r>
      <w:r>
        <w:t>, e13118 doi:10.1111/irv.13118</w:t>
      </w:r>
    </w:p>
    <w:p w14:paraId="4D1FABA8" w14:textId="534FD8AD" w:rsidR="006C28A0" w:rsidRDefault="006C28A0" w:rsidP="006C28A0">
      <w:pPr>
        <w:pStyle w:val="Bibliography"/>
      </w:pPr>
      <w:r>
        <w:t>Wood</w:t>
      </w:r>
      <w:r w:rsidR="00A20D77">
        <w:t>,</w:t>
      </w:r>
      <w:r>
        <w:t xml:space="preserve"> S</w:t>
      </w:r>
      <w:r w:rsidR="00A20D77">
        <w:t>.</w:t>
      </w:r>
      <w:r>
        <w:t>N</w:t>
      </w:r>
      <w:r w:rsidR="00A20D77">
        <w:t>.</w:t>
      </w:r>
      <w:r>
        <w:t xml:space="preserve"> (2017). </w:t>
      </w:r>
      <w:r w:rsidRPr="00DA5824">
        <w:rPr>
          <w:i/>
          <w:iCs/>
        </w:rPr>
        <w:t xml:space="preserve">Generalized </w:t>
      </w:r>
      <w:r w:rsidR="00A20D77" w:rsidRPr="00DA5824">
        <w:rPr>
          <w:i/>
          <w:iCs/>
        </w:rPr>
        <w:t>A</w:t>
      </w:r>
      <w:r w:rsidRPr="00DA5824">
        <w:rPr>
          <w:i/>
          <w:iCs/>
        </w:rPr>
        <w:t xml:space="preserve">dditive </w:t>
      </w:r>
      <w:r w:rsidR="00A20D77" w:rsidRPr="00DA5824">
        <w:rPr>
          <w:i/>
          <w:iCs/>
        </w:rPr>
        <w:t>M</w:t>
      </w:r>
      <w:r w:rsidRPr="00DA5824">
        <w:rPr>
          <w:i/>
          <w:iCs/>
        </w:rPr>
        <w:t xml:space="preserve">odels: </w:t>
      </w:r>
      <w:r w:rsidR="00A20D77" w:rsidRPr="00DA5824">
        <w:rPr>
          <w:i/>
          <w:iCs/>
        </w:rPr>
        <w:t>A</w:t>
      </w:r>
      <w:r w:rsidRPr="00DA5824">
        <w:rPr>
          <w:i/>
          <w:iCs/>
        </w:rPr>
        <w:t xml:space="preserve">n </w:t>
      </w:r>
      <w:r w:rsidR="00A20D77" w:rsidRPr="00DA5824">
        <w:rPr>
          <w:i/>
          <w:iCs/>
        </w:rPr>
        <w:t>I</w:t>
      </w:r>
      <w:r w:rsidRPr="00DA5824">
        <w:rPr>
          <w:i/>
          <w:iCs/>
        </w:rPr>
        <w:t xml:space="preserve">ntroduction with R. </w:t>
      </w:r>
      <w:r>
        <w:t>CRC Press, Taylor and Francis Group</w:t>
      </w:r>
      <w:r w:rsidR="00A20D77">
        <w:t>,</w:t>
      </w:r>
      <w:r>
        <w:t xml:space="preserve"> Boca Raton, Florida</w:t>
      </w:r>
      <w:r w:rsidR="000B04EF">
        <w:t>, USA</w:t>
      </w:r>
      <w:r>
        <w:t>.</w:t>
      </w:r>
    </w:p>
    <w:p w14:paraId="53093574" w14:textId="418CAC49" w:rsidR="006C28A0" w:rsidRDefault="006C28A0" w:rsidP="006C28A0">
      <w:pPr>
        <w:pStyle w:val="Bibliography"/>
      </w:pPr>
      <w:r>
        <w:t>Woodford</w:t>
      </w:r>
      <w:r w:rsidR="00A20D77">
        <w:t>,</w:t>
      </w:r>
      <w:r>
        <w:t xml:space="preserve"> L</w:t>
      </w:r>
      <w:r w:rsidR="00A20D77">
        <w:t>.</w:t>
      </w:r>
      <w:r>
        <w:t>P</w:t>
      </w:r>
      <w:r w:rsidR="00A20D77">
        <w:t>.</w:t>
      </w:r>
      <w:r>
        <w:t>, Ramsey</w:t>
      </w:r>
      <w:r w:rsidR="00A20D77">
        <w:t>,</w:t>
      </w:r>
      <w:r>
        <w:t xml:space="preserve"> D</w:t>
      </w:r>
      <w:r w:rsidR="00A20D77">
        <w:t>.</w:t>
      </w:r>
      <w:r>
        <w:t>S</w:t>
      </w:r>
      <w:r w:rsidR="00A20D77">
        <w:t>.</w:t>
      </w:r>
      <w:r>
        <w:t>L</w:t>
      </w:r>
      <w:r w:rsidR="00A20D77">
        <w:t>. and</w:t>
      </w:r>
      <w:r>
        <w:t xml:space="preserve"> Robley</w:t>
      </w:r>
      <w:r w:rsidR="00A20D77">
        <w:t>,</w:t>
      </w:r>
      <w:r>
        <w:t xml:space="preserve"> A</w:t>
      </w:r>
      <w:r w:rsidR="00A20D77">
        <w:t>.</w:t>
      </w:r>
      <w:r>
        <w:t xml:space="preserve"> (2023). </w:t>
      </w:r>
      <w:r w:rsidRPr="00DA5824">
        <w:rPr>
          <w:i/>
          <w:iCs/>
        </w:rPr>
        <w:t xml:space="preserve">Assessing </w:t>
      </w:r>
      <w:r w:rsidR="00E548AE" w:rsidRPr="00DA5824">
        <w:rPr>
          <w:i/>
          <w:iCs/>
        </w:rPr>
        <w:t>Feral Pig</w:t>
      </w:r>
      <w:r w:rsidRPr="00DA5824">
        <w:rPr>
          <w:i/>
          <w:iCs/>
        </w:rPr>
        <w:t xml:space="preserve"> and deer abundance on Indigenous Protected Areas adjoining Budj Bim National Park</w:t>
      </w:r>
      <w:r>
        <w:t>. Arthur Rylah Institute for Environmental Research Technical Report Series No. 350., Arthur Rylah Institute for Environmental Research Technical Report Series No. 350. Department of Environment, Land, Water and Planning, Heidelberg, Victoria.</w:t>
      </w:r>
    </w:p>
    <w:p w14:paraId="235492C9" w14:textId="52F220FF" w:rsidR="006C28A0" w:rsidRDefault="006C28A0" w:rsidP="006C28A0">
      <w:pPr>
        <w:pStyle w:val="Bibliography"/>
      </w:pPr>
      <w:r>
        <w:t>Woolaston</w:t>
      </w:r>
      <w:r w:rsidR="00A20D77">
        <w:t>,</w:t>
      </w:r>
      <w:r>
        <w:t xml:space="preserve"> K</w:t>
      </w:r>
      <w:r w:rsidR="00A20D77">
        <w:t>.</w:t>
      </w:r>
      <w:r>
        <w:t>, Nay</w:t>
      </w:r>
      <w:r w:rsidR="00A20D77">
        <w:t>,</w:t>
      </w:r>
      <w:r>
        <w:t xml:space="preserve"> Z</w:t>
      </w:r>
      <w:r w:rsidR="00A20D77">
        <w:t>.</w:t>
      </w:r>
      <w:r>
        <w:t>, Baker</w:t>
      </w:r>
      <w:r w:rsidR="00A20D77">
        <w:t>,</w:t>
      </w:r>
      <w:r>
        <w:t xml:space="preserve"> M</w:t>
      </w:r>
      <w:r w:rsidR="00A20D77">
        <w:t>.</w:t>
      </w:r>
      <w:r>
        <w:t>L</w:t>
      </w:r>
      <w:r w:rsidR="00A20D77">
        <w:t>.</w:t>
      </w:r>
      <w:r>
        <w:t>, Brockett</w:t>
      </w:r>
      <w:r w:rsidR="00A20D77">
        <w:t>,</w:t>
      </w:r>
      <w:r>
        <w:t xml:space="preserve"> C</w:t>
      </w:r>
      <w:r w:rsidR="00A20D77">
        <w:t>.</w:t>
      </w:r>
      <w:r>
        <w:t>, Bruce</w:t>
      </w:r>
      <w:r w:rsidR="00A20D77">
        <w:t>,</w:t>
      </w:r>
      <w:r>
        <w:t xml:space="preserve"> M</w:t>
      </w:r>
      <w:r w:rsidR="00A20D77">
        <w:t>.</w:t>
      </w:r>
      <w:r>
        <w:t>, Degeling</w:t>
      </w:r>
      <w:r w:rsidR="00A20D77">
        <w:t>,</w:t>
      </w:r>
      <w:r>
        <w:t xml:space="preserve"> C</w:t>
      </w:r>
      <w:r w:rsidR="00A20D77">
        <w:t>.</w:t>
      </w:r>
      <w:r>
        <w:t>, Gilbert</w:t>
      </w:r>
      <w:r w:rsidR="00A20D77">
        <w:t>,</w:t>
      </w:r>
      <w:r>
        <w:t xml:space="preserve"> J</w:t>
      </w:r>
      <w:r w:rsidR="00A20D77">
        <w:t>.</w:t>
      </w:r>
      <w:r>
        <w:t>, Jackson</w:t>
      </w:r>
      <w:r w:rsidR="00A20D77">
        <w:t>,</w:t>
      </w:r>
      <w:r>
        <w:t xml:space="preserve"> B</w:t>
      </w:r>
      <w:r w:rsidR="00A20D77">
        <w:t>.</w:t>
      </w:r>
      <w:r>
        <w:t>, Johnson</w:t>
      </w:r>
      <w:r w:rsidR="00A20D77">
        <w:t>,</w:t>
      </w:r>
      <w:r>
        <w:t xml:space="preserve"> H</w:t>
      </w:r>
      <w:r w:rsidR="00A20D77">
        <w:t>.</w:t>
      </w:r>
      <w:r>
        <w:t>, Peel</w:t>
      </w:r>
      <w:r w:rsidR="00A20D77">
        <w:t>,</w:t>
      </w:r>
      <w:r>
        <w:t xml:space="preserve"> A</w:t>
      </w:r>
      <w:r w:rsidR="00A20D77">
        <w:t>.</w:t>
      </w:r>
      <w:r>
        <w:t>, Sahibzada</w:t>
      </w:r>
      <w:r w:rsidR="00A20D77">
        <w:t>,</w:t>
      </w:r>
      <w:r>
        <w:t xml:space="preserve"> S</w:t>
      </w:r>
      <w:r w:rsidR="00A20D77">
        <w:t>.</w:t>
      </w:r>
      <w:r>
        <w:t>, Oskam</w:t>
      </w:r>
      <w:r w:rsidR="00A20D77">
        <w:t>,</w:t>
      </w:r>
      <w:r>
        <w:t xml:space="preserve"> C</w:t>
      </w:r>
      <w:r w:rsidR="00A20D77">
        <w:t>. and</w:t>
      </w:r>
      <w:r>
        <w:t xml:space="preserve"> Hewitt</w:t>
      </w:r>
      <w:r w:rsidR="00A20D77">
        <w:t>,</w:t>
      </w:r>
      <w:r>
        <w:t xml:space="preserve"> C</w:t>
      </w:r>
      <w:r w:rsidR="00A20D77">
        <w:t>.</w:t>
      </w:r>
      <w:r>
        <w:t>L</w:t>
      </w:r>
      <w:r w:rsidR="00A20D77">
        <w:t>.</w:t>
      </w:r>
      <w:r>
        <w:t xml:space="preserve"> (2022). An argument for pandemic risk management using a multidisciplinary One Health approach to governance: </w:t>
      </w:r>
      <w:r w:rsidR="00A20D77">
        <w:t>A</w:t>
      </w:r>
      <w:r>
        <w:t xml:space="preserve">n Australian case study. </w:t>
      </w:r>
      <w:r>
        <w:rPr>
          <w:i/>
          <w:iCs/>
        </w:rPr>
        <w:t>Globalization and Health</w:t>
      </w:r>
      <w:r>
        <w:t xml:space="preserve"> </w:t>
      </w:r>
      <w:r>
        <w:rPr>
          <w:b/>
          <w:bCs/>
        </w:rPr>
        <w:t>18</w:t>
      </w:r>
      <w:r>
        <w:t>, 73 doi:10.1186/s12992-022-00850-4</w:t>
      </w:r>
    </w:p>
    <w:p w14:paraId="7E8FF538" w14:textId="56D79B2D" w:rsidR="006C28A0" w:rsidRDefault="006C28A0" w:rsidP="006C28A0">
      <w:pPr>
        <w:pStyle w:val="Bibliography"/>
      </w:pPr>
      <w:r>
        <w:t>Wu</w:t>
      </w:r>
      <w:r w:rsidR="00A20D77">
        <w:t>,</w:t>
      </w:r>
      <w:r>
        <w:t xml:space="preserve"> N</w:t>
      </w:r>
      <w:r w:rsidR="00A20D77">
        <w:t>.</w:t>
      </w:r>
      <w:r>
        <w:t>C</w:t>
      </w:r>
      <w:r w:rsidR="00A20D77">
        <w:t>.</w:t>
      </w:r>
      <w:r>
        <w:t>, Welbergen</w:t>
      </w:r>
      <w:r w:rsidR="00A20D77">
        <w:t>,</w:t>
      </w:r>
      <w:r>
        <w:t xml:space="preserve"> J</w:t>
      </w:r>
      <w:r w:rsidR="00A20D77">
        <w:t>.</w:t>
      </w:r>
      <w:r>
        <w:t>A</w:t>
      </w:r>
      <w:r w:rsidR="000B04EF">
        <w:t>.</w:t>
      </w:r>
      <w:r>
        <w:t>, Villada-Cadavid</w:t>
      </w:r>
      <w:r w:rsidR="00A20D77">
        <w:t>,</w:t>
      </w:r>
      <w:r>
        <w:t xml:space="preserve"> T</w:t>
      </w:r>
      <w:r w:rsidR="00A20D77">
        <w:t>.</w:t>
      </w:r>
      <w:r>
        <w:t>, Lumsden</w:t>
      </w:r>
      <w:r w:rsidR="00A20D77">
        <w:t>,</w:t>
      </w:r>
      <w:r>
        <w:t xml:space="preserve"> L</w:t>
      </w:r>
      <w:r w:rsidR="00A20D77">
        <w:t>.</w:t>
      </w:r>
      <w:r>
        <w:t>F</w:t>
      </w:r>
      <w:r w:rsidR="00A20D77">
        <w:t>. and</w:t>
      </w:r>
      <w:r>
        <w:t xml:space="preserve"> Turbill</w:t>
      </w:r>
      <w:r w:rsidR="00A20D77">
        <w:t>,</w:t>
      </w:r>
      <w:r>
        <w:t xml:space="preserve"> C</w:t>
      </w:r>
      <w:r w:rsidR="00A20D77">
        <w:t>.</w:t>
      </w:r>
      <w:r>
        <w:t xml:space="preserve"> (2025). Vulnerability of Southern Hemisphere bats to </w:t>
      </w:r>
      <w:r w:rsidR="00E07B96">
        <w:t>White Nose Syndrome</w:t>
      </w:r>
      <w:r>
        <w:t xml:space="preserve"> based on global analysis of fungal host specificity and cave temperatures. </w:t>
      </w:r>
      <w:r>
        <w:rPr>
          <w:i/>
          <w:iCs/>
        </w:rPr>
        <w:t>Conservation Biology</w:t>
      </w:r>
      <w:r>
        <w:t xml:space="preserve"> </w:t>
      </w:r>
      <w:r>
        <w:rPr>
          <w:b/>
          <w:bCs/>
        </w:rPr>
        <w:t>39</w:t>
      </w:r>
      <w:r>
        <w:t>, e14390.</w:t>
      </w:r>
    </w:p>
    <w:p w14:paraId="6DB718C8" w14:textId="4B1CE0F4" w:rsidR="00D576C2" w:rsidRDefault="00016932" w:rsidP="00DC3852">
      <w:r>
        <w:rPr>
          <w:lang w:val="en-US"/>
        </w:rPr>
        <w:fldChar w:fldCharType="end"/>
      </w:r>
      <w:bookmarkEnd w:id="139"/>
    </w:p>
    <w:p w14:paraId="445AFBFF" w14:textId="77777777" w:rsidR="00D868AD" w:rsidRPr="00D868AD" w:rsidRDefault="00D868AD" w:rsidP="00DA5824">
      <w:pPr>
        <w:pStyle w:val="ARIERRefs"/>
        <w:ind w:left="0" w:firstLine="0"/>
        <w:rPr>
          <w:color w:val="FF0000"/>
        </w:rPr>
        <w:sectPr w:rsidR="00D868AD" w:rsidRPr="00D868AD" w:rsidSect="00081EAB">
          <w:pgSz w:w="11907" w:h="16840" w:code="9"/>
          <w:pgMar w:top="1134" w:right="1134" w:bottom="1134" w:left="1134" w:header="709" w:footer="567" w:gutter="0"/>
          <w:cols w:space="708"/>
          <w:formProt w:val="0"/>
          <w:titlePg/>
          <w:docGrid w:linePitch="360"/>
        </w:sectPr>
      </w:pPr>
    </w:p>
    <w:p w14:paraId="71823834" w14:textId="67E4C73F" w:rsidR="00D868AD" w:rsidRDefault="001515E0" w:rsidP="00203A65">
      <w:pPr>
        <w:pStyle w:val="Heading1-Numbered"/>
      </w:pPr>
      <w:bookmarkStart w:id="140" w:name="_Toc198634128"/>
      <w:r>
        <w:t>Additional modelling details and results</w:t>
      </w:r>
      <w:bookmarkEnd w:id="140"/>
    </w:p>
    <w:p w14:paraId="3083F413" w14:textId="754F5C22" w:rsidR="00591C51" w:rsidRDefault="00E07B96" w:rsidP="00E66168">
      <w:pPr>
        <w:pStyle w:val="Heading2-Numbered"/>
      </w:pPr>
      <w:bookmarkStart w:id="141" w:name="_Toc198634129"/>
      <w:r>
        <w:t>Foot and Mouth Disease</w:t>
      </w:r>
      <w:r w:rsidR="00591C51">
        <w:t xml:space="preserve"> in </w:t>
      </w:r>
      <w:r w:rsidR="00E548AE">
        <w:t>Feral Pig</w:t>
      </w:r>
      <w:r w:rsidR="00591C51">
        <w:t>s</w:t>
      </w:r>
      <w:bookmarkEnd w:id="141"/>
    </w:p>
    <w:p w14:paraId="69FB9898" w14:textId="3D6EBF7D" w:rsidR="00591C51" w:rsidRPr="00917311" w:rsidRDefault="00591C51" w:rsidP="00591C51">
      <w:r w:rsidRPr="00917311">
        <w:t xml:space="preserve">We constructed an individual based model for FMD in </w:t>
      </w:r>
      <w:r w:rsidR="00E548AE">
        <w:t>Feral Pig</w:t>
      </w:r>
      <w:r w:rsidRPr="00917311">
        <w:t xml:space="preserve">s based on the model of Pech and Hone </w:t>
      </w:r>
      <w:r w:rsidRPr="00917311">
        <w:fldChar w:fldCharType="begin"/>
      </w:r>
      <w:r w:rsidR="007806E0">
        <w:instrText xml:space="preserve"> ADDIN ZOTERO_ITEM CSL_CITATION {"citationID":"c2wC9bxb","properties":{"formattedCitation":"(1988)","plainCitation":"(1988)","noteIndex":0},"citationItems":[{"id":9468,"uris":["http://zotero.org/users/634364/items/DVW63NPB"],"itemData":{"id":9468,"type":"article-journal","container-title":"Journal of Applied Ecology","note":"publisher: JSTOR","page":"63–77","title":"A model of the dynamics and control of an outbreak of foot and mouth disease in feral pigs in Australia","author":[{"family":"Pech","given":"RP"},{"family":"Hone","given":"J"}],"issued":{"date-parts":[["1988"]]}},"label":"page","suppress-author":true}],"schema":"https://github.com/citation-style-language/schema/raw/master/csl-citation.json"} </w:instrText>
      </w:r>
      <w:r w:rsidRPr="00917311">
        <w:fldChar w:fldCharType="separate"/>
      </w:r>
      <w:r w:rsidR="009F541F" w:rsidRPr="009F541F">
        <w:t>(1988)</w:t>
      </w:r>
      <w:r w:rsidRPr="00917311">
        <w:fldChar w:fldCharType="end"/>
      </w:r>
      <w:r w:rsidRPr="00917311">
        <w:t>.</w:t>
      </w:r>
      <w:r w:rsidR="00BE3EC4">
        <w:t xml:space="preserve"> </w:t>
      </w:r>
      <w:r w:rsidRPr="00917311">
        <w:t xml:space="preserve">This model was constructed from the following </w:t>
      </w:r>
      <w:r w:rsidR="006F79A1">
        <w:t xml:space="preserve">set of </w:t>
      </w:r>
      <w:r w:rsidRPr="00917311">
        <w:t>differential equations:</w:t>
      </w:r>
    </w:p>
    <w:p w14:paraId="7419DC34" w14:textId="77777777" w:rsidR="00591C51" w:rsidRPr="00917311" w:rsidRDefault="00000000" w:rsidP="00591C51">
      <w:pPr>
        <w:spacing w:line="360" w:lineRule="auto"/>
        <w:rPr>
          <w:rFonts w:eastAsiaTheme="minorEastAsia"/>
        </w:rPr>
      </w:pPr>
      <m:oMathPara>
        <m:oMath>
          <m:f>
            <m:fPr>
              <m:ctrlPr>
                <w:rPr>
                  <w:rFonts w:ascii="Cambria Math" w:hAnsi="Cambria Math"/>
                </w:rPr>
              </m:ctrlPr>
            </m:fPr>
            <m:num>
              <m:r>
                <w:rPr>
                  <w:rFonts w:ascii="Cambria Math" w:hAnsi="Cambria Math"/>
                </w:rPr>
                <m:t>dS</m:t>
              </m:r>
            </m:num>
            <m:den>
              <m:r>
                <w:rPr>
                  <w:rFonts w:ascii="Cambria Math" w:hAnsi="Cambria Math"/>
                </w:rPr>
                <m:t>dt</m:t>
              </m:r>
            </m:den>
          </m:f>
          <m:r>
            <m:rPr>
              <m:aln/>
            </m:rPr>
            <w:rPr>
              <w:rFonts w:ascii="Cambria Math" w:hAnsi="Cambria Math"/>
            </w:rPr>
            <m:t>=</m:t>
          </m:r>
          <m:d>
            <m:dPr>
              <m:ctrlPr>
                <w:rPr>
                  <w:rFonts w:ascii="Cambria Math" w:hAnsi="Cambria Math"/>
                </w:rPr>
              </m:ctrlPr>
            </m:dPr>
            <m:e>
              <m:r>
                <w:rPr>
                  <w:rFonts w:ascii="Cambria Math" w:hAnsi="Cambria Math"/>
                </w:rPr>
                <m:t>b-d-gN</m:t>
              </m:r>
            </m:e>
          </m:d>
          <m:r>
            <w:rPr>
              <w:rFonts w:ascii="Cambria Math" w:hAnsi="Cambria Math"/>
            </w:rPr>
            <m:t>S- βSI+ωR</m:t>
          </m:r>
          <m:r>
            <m:rPr>
              <m:sty m:val="p"/>
            </m:rPr>
            <w:rPr>
              <w:rFonts w:ascii="Cambria Math" w:hAnsi="Cambria Math"/>
            </w:rPr>
            <w:br/>
          </m:r>
        </m:oMath>
        <m:oMath>
          <m:f>
            <m:fPr>
              <m:ctrlPr>
                <w:rPr>
                  <w:rFonts w:ascii="Cambria Math" w:hAnsi="Cambria Math"/>
                </w:rPr>
              </m:ctrlPr>
            </m:fPr>
            <m:num>
              <m:r>
                <w:rPr>
                  <w:rFonts w:ascii="Cambria Math" w:eastAsiaTheme="minorEastAsia" w:hAnsi="Cambria Math"/>
                </w:rPr>
                <m:t>dE</m:t>
              </m:r>
            </m:num>
            <m:den>
              <m:r>
                <w:rPr>
                  <w:rFonts w:ascii="Cambria Math" w:eastAsiaTheme="minorEastAsia" w:hAnsi="Cambria Math"/>
                </w:rPr>
                <m:t>dt</m:t>
              </m:r>
            </m:den>
          </m:f>
          <m:r>
            <m:rPr>
              <m:aln/>
            </m:rPr>
            <w:rPr>
              <w:rFonts w:ascii="Cambria Math" w:eastAsiaTheme="minorEastAsia" w:hAnsi="Cambria Math"/>
            </w:rPr>
            <m:t xml:space="preserve">=βSI- </m:t>
          </m:r>
          <m:d>
            <m:dPr>
              <m:ctrlPr>
                <w:rPr>
                  <w:rFonts w:ascii="Cambria Math" w:hAnsi="Cambria Math"/>
                </w:rPr>
              </m:ctrlPr>
            </m:dPr>
            <m:e>
              <m:r>
                <w:rPr>
                  <w:rFonts w:ascii="Cambria Math" w:eastAsiaTheme="minorEastAsia" w:hAnsi="Cambria Math"/>
                </w:rPr>
                <m:t>d+gN+σ</m:t>
              </m:r>
            </m:e>
          </m:d>
          <m:r>
            <w:rPr>
              <w:rFonts w:ascii="Cambria Math" w:eastAsiaTheme="minorEastAsia" w:hAnsi="Cambria Math"/>
            </w:rPr>
            <m:t>E</m:t>
          </m:r>
          <m:r>
            <m:rPr>
              <m:sty m:val="p"/>
            </m:rPr>
            <w:rPr>
              <w:rFonts w:ascii="Cambria Math" w:eastAsiaTheme="minorEastAsia" w:hAnsi="Cambria Math"/>
            </w:rPr>
            <w:br/>
          </m:r>
        </m:oMath>
        <m:oMath>
          <m:f>
            <m:fPr>
              <m:ctrlPr>
                <w:rPr>
                  <w:rFonts w:ascii="Cambria Math" w:hAnsi="Cambria Math"/>
                </w:rPr>
              </m:ctrlPr>
            </m:fPr>
            <m:num>
              <m:r>
                <w:rPr>
                  <w:rFonts w:ascii="Cambria Math" w:eastAsiaTheme="minorEastAsia" w:hAnsi="Cambria Math"/>
                </w:rPr>
                <m:t>dI</m:t>
              </m:r>
            </m:num>
            <m:den>
              <m:r>
                <w:rPr>
                  <w:rFonts w:ascii="Cambria Math" w:eastAsiaTheme="minorEastAsia" w:hAnsi="Cambria Math"/>
                </w:rPr>
                <m:t>dt</m:t>
              </m:r>
            </m:den>
          </m:f>
          <m:r>
            <m:rPr>
              <m:aln/>
            </m:rPr>
            <w:rPr>
              <w:rFonts w:ascii="Cambria Math" w:eastAsiaTheme="minorEastAsia" w:hAnsi="Cambria Math"/>
            </w:rPr>
            <m:t xml:space="preserve">=σE- </m:t>
          </m:r>
          <m:d>
            <m:dPr>
              <m:ctrlPr>
                <w:rPr>
                  <w:rFonts w:ascii="Cambria Math" w:hAnsi="Cambria Math"/>
                </w:rPr>
              </m:ctrlPr>
            </m:dPr>
            <m:e>
              <m:r>
                <w:rPr>
                  <w:rFonts w:ascii="Cambria Math" w:eastAsiaTheme="minorEastAsia" w:hAnsi="Cambria Math"/>
                </w:rPr>
                <m:t>α+d+gN+υ</m:t>
              </m:r>
            </m:e>
          </m:d>
          <m:r>
            <w:rPr>
              <w:rFonts w:ascii="Cambria Math" w:eastAsiaTheme="minorEastAsia" w:hAnsi="Cambria Math"/>
            </w:rPr>
            <m:t>I</m:t>
          </m:r>
          <m:r>
            <m:rPr>
              <m:sty m:val="p"/>
            </m:rPr>
            <w:rPr>
              <w:rFonts w:ascii="Cambria Math" w:eastAsiaTheme="minorEastAsia" w:hAnsi="Cambria Math"/>
            </w:rPr>
            <w:br/>
          </m:r>
        </m:oMath>
        <m:oMath>
          <m:f>
            <m:fPr>
              <m:ctrlPr>
                <w:rPr>
                  <w:rFonts w:ascii="Cambria Math" w:hAnsi="Cambria Math"/>
                </w:rPr>
              </m:ctrlPr>
            </m:fPr>
            <m:num>
              <m:r>
                <w:rPr>
                  <w:rFonts w:ascii="Cambria Math" w:eastAsiaTheme="minorEastAsia" w:hAnsi="Cambria Math"/>
                </w:rPr>
                <m:t>dR</m:t>
              </m:r>
            </m:num>
            <m:den>
              <m:r>
                <w:rPr>
                  <w:rFonts w:ascii="Cambria Math" w:eastAsiaTheme="minorEastAsia" w:hAnsi="Cambria Math"/>
                </w:rPr>
                <m:t>dt</m:t>
              </m:r>
            </m:den>
          </m:f>
          <m:r>
            <m:rPr>
              <m:aln/>
            </m:rPr>
            <w:rPr>
              <w:rFonts w:ascii="Cambria Math" w:eastAsiaTheme="minorEastAsia" w:hAnsi="Cambria Math"/>
            </w:rPr>
            <m:t>=υI+</m:t>
          </m:r>
          <m:d>
            <m:dPr>
              <m:ctrlPr>
                <w:rPr>
                  <w:rFonts w:ascii="Cambria Math" w:hAnsi="Cambria Math"/>
                </w:rPr>
              </m:ctrlPr>
            </m:dPr>
            <m:e>
              <m:r>
                <w:rPr>
                  <w:rFonts w:ascii="Cambria Math" w:eastAsiaTheme="minorEastAsia" w:hAnsi="Cambria Math"/>
                </w:rPr>
                <m:t>b-d-gN-ω</m:t>
              </m:r>
            </m:e>
          </m:d>
          <m:r>
            <w:rPr>
              <w:rFonts w:ascii="Cambria Math" w:eastAsiaTheme="minorEastAsia" w:hAnsi="Cambria Math"/>
            </w:rPr>
            <m:t>R</m:t>
          </m:r>
          <m:r>
            <m:rPr>
              <m:sty m:val="p"/>
            </m:rPr>
            <w:rPr>
              <w:rFonts w:ascii="Cambria Math" w:eastAsiaTheme="minorEastAsia" w:hAnsi="Cambria Math"/>
            </w:rPr>
            <w:br/>
          </m:r>
        </m:oMath>
        <m:oMath>
          <m:r>
            <w:rPr>
              <w:rFonts w:ascii="Cambria Math" w:eastAsiaTheme="minorEastAsia" w:hAnsi="Cambria Math"/>
            </w:rPr>
            <m:t>N</m:t>
          </m:r>
          <m:r>
            <m:rPr>
              <m:aln/>
            </m:rPr>
            <w:rPr>
              <w:rFonts w:ascii="Cambria Math" w:eastAsiaTheme="minorEastAsia" w:hAnsi="Cambria Math"/>
            </w:rPr>
            <m:t>=S+E+I+R</m:t>
          </m:r>
        </m:oMath>
      </m:oMathPara>
    </w:p>
    <w:p w14:paraId="0CA9E60A" w14:textId="1FDEE4F2" w:rsidR="00591C51" w:rsidRDefault="00591C51" w:rsidP="00591C51">
      <w:pPr>
        <w:rPr>
          <w:rFonts w:eastAsiaTheme="minorEastAsia"/>
        </w:rPr>
      </w:pPr>
      <w:r w:rsidRPr="00917311">
        <w:rPr>
          <w:rFonts w:eastAsiaTheme="minorEastAsia"/>
        </w:rPr>
        <w:t xml:space="preserve">Where </w:t>
      </w:r>
      <m:oMath>
        <m:r>
          <w:rPr>
            <w:rFonts w:ascii="Cambria Math" w:eastAsiaTheme="minorEastAsia" w:hAnsi="Cambria Math"/>
          </w:rPr>
          <m:t>S</m:t>
        </m:r>
      </m:oMath>
      <w:r w:rsidRPr="00917311">
        <w:rPr>
          <w:rFonts w:eastAsiaTheme="minorEastAsia"/>
        </w:rPr>
        <w:t xml:space="preserve"> are susceptible, </w:t>
      </w:r>
      <m:oMath>
        <m:r>
          <w:rPr>
            <w:rFonts w:ascii="Cambria Math" w:eastAsiaTheme="minorEastAsia" w:hAnsi="Cambria Math"/>
          </w:rPr>
          <m:t>E</m:t>
        </m:r>
      </m:oMath>
      <w:r w:rsidRPr="00917311">
        <w:rPr>
          <w:rFonts w:eastAsiaTheme="minorEastAsia"/>
        </w:rPr>
        <w:t xml:space="preserve"> are exposed (latent), </w:t>
      </w:r>
      <m:oMath>
        <m:r>
          <w:rPr>
            <w:rFonts w:ascii="Cambria Math" w:eastAsiaTheme="minorEastAsia" w:hAnsi="Cambria Math"/>
          </w:rPr>
          <m:t>I</m:t>
        </m:r>
      </m:oMath>
      <w:r w:rsidRPr="00917311">
        <w:rPr>
          <w:rFonts w:eastAsiaTheme="minorEastAsia"/>
        </w:rPr>
        <w:t xml:space="preserve"> are infectious and </w:t>
      </w:r>
      <m:oMath>
        <m:r>
          <w:rPr>
            <w:rFonts w:ascii="Cambria Math" w:eastAsiaTheme="minorEastAsia" w:hAnsi="Cambria Math"/>
          </w:rPr>
          <m:t>R</m:t>
        </m:r>
      </m:oMath>
      <w:r w:rsidRPr="00917311">
        <w:rPr>
          <w:rFonts w:eastAsiaTheme="minorEastAsia"/>
        </w:rPr>
        <w:t xml:space="preserve"> are recovered individuals.</w:t>
      </w:r>
      <w:r w:rsidR="00BE3EC4">
        <w:rPr>
          <w:rFonts w:eastAsiaTheme="minorEastAsia"/>
        </w:rPr>
        <w:t xml:space="preserve"> </w:t>
      </w:r>
      <w:r w:rsidRPr="00917311">
        <w:rPr>
          <w:rFonts w:eastAsiaTheme="minorEastAsia"/>
        </w:rPr>
        <w:t xml:space="preserve">The parameter </w:t>
      </w:r>
      <m:oMath>
        <m:r>
          <w:rPr>
            <w:rFonts w:ascii="Cambria Math" w:eastAsiaTheme="minorEastAsia" w:hAnsi="Cambria Math"/>
          </w:rPr>
          <m:t>b</m:t>
        </m:r>
      </m:oMath>
      <w:r w:rsidRPr="00917311">
        <w:rPr>
          <w:rFonts w:eastAsiaTheme="minorEastAsia"/>
        </w:rPr>
        <w:t xml:space="preserve"> is the density-independent per capita birth rate and </w:t>
      </w:r>
      <m:oMath>
        <m:r>
          <w:rPr>
            <w:rFonts w:ascii="Cambria Math" w:eastAsiaTheme="minorEastAsia" w:hAnsi="Cambria Math"/>
          </w:rPr>
          <m:t>d</m:t>
        </m:r>
      </m:oMath>
      <w:r w:rsidRPr="00917311">
        <w:rPr>
          <w:rFonts w:eastAsiaTheme="minorEastAsia"/>
        </w:rPr>
        <w:t xml:space="preserve"> is the density-dependent per capita minimum death rate, with </w:t>
      </w:r>
      <m:oMath>
        <m:r>
          <w:rPr>
            <w:rFonts w:ascii="Cambria Math" w:eastAsiaTheme="minorEastAsia" w:hAnsi="Cambria Math"/>
          </w:rPr>
          <m:t>g</m:t>
        </m:r>
      </m:oMath>
      <w:r w:rsidRPr="00917311">
        <w:rPr>
          <w:rFonts w:eastAsiaTheme="minorEastAsia"/>
        </w:rPr>
        <w:t xml:space="preserve"> governing the strength of density-dependence.</w:t>
      </w:r>
      <w:r w:rsidR="00BE3EC4">
        <w:rPr>
          <w:rFonts w:eastAsiaTheme="minorEastAsia"/>
        </w:rPr>
        <w:t xml:space="preserve"> </w:t>
      </w:r>
      <w:r w:rsidRPr="00917311">
        <w:rPr>
          <w:rFonts w:eastAsiaTheme="minorEastAsia"/>
        </w:rPr>
        <w:t xml:space="preserve">This notation differs slightly from the notation given in Pech and Hone </w:t>
      </w:r>
      <w:r w:rsidRPr="00917311">
        <w:rPr>
          <w:rFonts w:eastAsiaTheme="minorEastAsia"/>
        </w:rPr>
        <w:fldChar w:fldCharType="begin"/>
      </w:r>
      <w:r w:rsidR="007806E0">
        <w:rPr>
          <w:rFonts w:eastAsiaTheme="minorEastAsia"/>
        </w:rPr>
        <w:instrText xml:space="preserve"> ADDIN ZOTERO_ITEM CSL_CITATION {"citationID":"ECSxmUMe","properties":{"formattedCitation":"(1988)","plainCitation":"(1988)","noteIndex":0},"citationItems":[{"id":9468,"uris":["http://zotero.org/users/634364/items/DVW63NPB"],"itemData":{"id":9468,"type":"article-journal","container-title":"Journal of Applied Ecology","note":"publisher: JSTOR","page":"63–77","title":"A model of the dynamics and control of an outbreak of foot and mouth disease in feral pigs in Australia","author":[{"family":"Pech","given":"RP"},{"family":"Hone","given":"J"}],"issued":{"date-parts":[["1988"]]}},"label":"page","suppress-author":true}],"schema":"https://github.com/citation-style-language/schema/raw/master/csl-citation.json"} </w:instrText>
      </w:r>
      <w:r w:rsidRPr="00917311">
        <w:rPr>
          <w:rFonts w:eastAsiaTheme="minorEastAsia"/>
        </w:rPr>
        <w:fldChar w:fldCharType="separate"/>
      </w:r>
      <w:r w:rsidR="009F541F" w:rsidRPr="009F541F">
        <w:t>(1988)</w:t>
      </w:r>
      <w:r w:rsidRPr="00917311">
        <w:rPr>
          <w:rFonts w:eastAsiaTheme="minorEastAsia"/>
        </w:rPr>
        <w:fldChar w:fldCharType="end"/>
      </w:r>
      <w:r w:rsidRPr="00917311">
        <w:rPr>
          <w:rFonts w:eastAsiaTheme="minorEastAsia"/>
        </w:rPr>
        <w:t>.</w:t>
      </w:r>
      <w:r w:rsidR="00BE3EC4">
        <w:rPr>
          <w:rFonts w:eastAsiaTheme="minorEastAsia"/>
        </w:rPr>
        <w:t xml:space="preserve"> </w:t>
      </w:r>
      <w:r w:rsidRPr="00917311">
        <w:rPr>
          <w:rFonts w:eastAsiaTheme="minorEastAsia"/>
        </w:rPr>
        <w:t xml:space="preserve">Other parameters are given in Table </w:t>
      </w:r>
      <w:r w:rsidR="00EE703B">
        <w:rPr>
          <w:rFonts w:eastAsiaTheme="minorEastAsia"/>
        </w:rPr>
        <w:t>A</w:t>
      </w:r>
      <w:r w:rsidRPr="00917311">
        <w:rPr>
          <w:rFonts w:eastAsiaTheme="minorEastAsia"/>
        </w:rPr>
        <w:t>1.</w:t>
      </w:r>
      <w:r w:rsidR="00BE3EC4">
        <w:rPr>
          <w:rFonts w:eastAsiaTheme="minorEastAsia"/>
        </w:rPr>
        <w:t xml:space="preserve"> </w:t>
      </w:r>
      <w:r w:rsidRPr="00917311">
        <w:rPr>
          <w:rFonts w:eastAsiaTheme="minorEastAsia"/>
        </w:rPr>
        <w:t xml:space="preserve">These were subsequently used as the basis for the construction of the stochastic </w:t>
      </w:r>
      <w:r w:rsidR="006F79A1">
        <w:rPr>
          <w:rFonts w:eastAsiaTheme="minorEastAsia"/>
        </w:rPr>
        <w:t>IBM.</w:t>
      </w:r>
    </w:p>
    <w:p w14:paraId="18DAAF53" w14:textId="4C270FF2" w:rsidR="00546EC9" w:rsidRDefault="00591C51" w:rsidP="00591C51">
      <w:pPr>
        <w:rPr>
          <w:rFonts w:eastAsiaTheme="minorEastAsia"/>
        </w:rPr>
      </w:pPr>
      <w:r>
        <w:rPr>
          <w:rFonts w:eastAsiaTheme="minorEastAsia"/>
        </w:rPr>
        <w:t xml:space="preserve">As the parameter values </w:t>
      </w:r>
      <w:r w:rsidR="00F65BF9">
        <w:rPr>
          <w:rFonts w:eastAsiaTheme="minorEastAsia"/>
        </w:rPr>
        <w:t>we</w:t>
      </w:r>
      <w:r>
        <w:rPr>
          <w:rFonts w:eastAsiaTheme="minorEastAsia"/>
        </w:rPr>
        <w:t>re derived from a variety of sources</w:t>
      </w:r>
      <w:r w:rsidR="00F65BF9">
        <w:rPr>
          <w:rFonts w:eastAsiaTheme="minorEastAsia"/>
        </w:rPr>
        <w:t>,</w:t>
      </w:r>
      <w:r>
        <w:rPr>
          <w:rFonts w:eastAsiaTheme="minorEastAsia"/>
        </w:rPr>
        <w:t xml:space="preserve"> it was considered undesirable to rely on a single set of assumed parameter values when assessing the outcomes of simulated FMD outbreaks. Rather, we explored the sensitivity of the simulated model outcomes to the assumed values by running simulations with varying values for the parameters. For most parameters, little information about the range of plausible values was available. Accordingly, we considered lower and upper bound </w:t>
      </w:r>
      <w:r w:rsidR="00F65BF9">
        <w:rPr>
          <w:rFonts w:eastAsiaTheme="minorEastAsia"/>
        </w:rPr>
        <w:t xml:space="preserve">values </w:t>
      </w:r>
      <w:r>
        <w:rPr>
          <w:rFonts w:eastAsiaTheme="minorEastAsia"/>
        </w:rPr>
        <w:t>that were 30% more and less tha</w:t>
      </w:r>
      <w:r w:rsidR="00F65BF9">
        <w:rPr>
          <w:rFonts w:eastAsiaTheme="minorEastAsia"/>
        </w:rPr>
        <w:t>n</w:t>
      </w:r>
      <w:r>
        <w:rPr>
          <w:rFonts w:eastAsiaTheme="minorEastAsia"/>
        </w:rPr>
        <w:t xml:space="preserve"> the likely values (Table </w:t>
      </w:r>
      <w:r w:rsidR="00F111A0">
        <w:rPr>
          <w:rFonts w:eastAsiaTheme="minorEastAsia"/>
        </w:rPr>
        <w:t>A</w:t>
      </w:r>
      <w:r>
        <w:rPr>
          <w:rFonts w:eastAsiaTheme="minorEastAsia"/>
        </w:rPr>
        <w:t xml:space="preserve">1). An exception to this approach was the transmission rates, β, where Pech and Hone (1988) provided uncertainty bounds on the estimates used in their model, based on estimates of home-range size for </w:t>
      </w:r>
      <w:r w:rsidR="00E548AE">
        <w:rPr>
          <w:rFonts w:eastAsiaTheme="minorEastAsia"/>
        </w:rPr>
        <w:t>Feral Pig</w:t>
      </w:r>
      <w:r>
        <w:rPr>
          <w:rFonts w:eastAsiaTheme="minorEastAsia"/>
        </w:rPr>
        <w:t>s in floodplain environments in NSW.</w:t>
      </w:r>
      <w:r w:rsidR="00BE3EC4">
        <w:rPr>
          <w:rFonts w:eastAsiaTheme="minorEastAsia"/>
        </w:rPr>
        <w:t xml:space="preserve"> </w:t>
      </w:r>
    </w:p>
    <w:p w14:paraId="40B17AC9" w14:textId="119B9DCB" w:rsidR="00B4324B" w:rsidRDefault="00B4324B" w:rsidP="00CA6E95">
      <w:pPr>
        <w:pStyle w:val="Caption-Table"/>
        <w:rPr>
          <w:rFonts w:eastAsiaTheme="minorEastAsia"/>
        </w:rPr>
      </w:pPr>
      <w:bookmarkStart w:id="142" w:name="_Toc198634147"/>
      <w:r w:rsidRPr="00FC1044">
        <w:rPr>
          <w:rFonts w:eastAsiaTheme="minorEastAsia"/>
        </w:rPr>
        <w:t xml:space="preserve">Table </w:t>
      </w:r>
      <w:r w:rsidR="00546EC9">
        <w:rPr>
          <w:rFonts w:eastAsiaTheme="minorEastAsia"/>
        </w:rPr>
        <w:t>A</w:t>
      </w:r>
      <w:r w:rsidRPr="00FC1044">
        <w:rPr>
          <w:rFonts w:eastAsiaTheme="minorEastAsia"/>
        </w:rPr>
        <w:t>1</w:t>
      </w:r>
      <w:r>
        <w:rPr>
          <w:rFonts w:eastAsiaTheme="minorEastAsia"/>
        </w:rPr>
        <w:t>.</w:t>
      </w:r>
      <w:r w:rsidR="00BE3EC4">
        <w:rPr>
          <w:rFonts w:eastAsiaTheme="minorEastAsia"/>
        </w:rPr>
        <w:t xml:space="preserve"> </w:t>
      </w:r>
      <w:r>
        <w:rPr>
          <w:rFonts w:eastAsiaTheme="minorEastAsia"/>
        </w:rPr>
        <w:t xml:space="preserve">Parameter values used for the </w:t>
      </w:r>
      <w:r w:rsidR="00E548AE">
        <w:rPr>
          <w:rFonts w:eastAsiaTheme="minorEastAsia"/>
        </w:rPr>
        <w:t>Feral Pig</w:t>
      </w:r>
      <w:r>
        <w:rPr>
          <w:rFonts w:eastAsiaTheme="minorEastAsia"/>
        </w:rPr>
        <w:t xml:space="preserve"> FMD model.</w:t>
      </w:r>
      <w:r w:rsidR="00BE3EC4">
        <w:rPr>
          <w:rFonts w:eastAsiaTheme="minorEastAsia"/>
        </w:rPr>
        <w:t xml:space="preserve"> </w:t>
      </w:r>
      <w:r>
        <w:rPr>
          <w:rFonts w:eastAsiaTheme="minorEastAsia"/>
        </w:rPr>
        <w:t>Parameter values are per day.</w:t>
      </w:r>
      <w:bookmarkEnd w:id="142"/>
    </w:p>
    <w:tbl>
      <w:tblPr>
        <w:tblStyle w:val="TableGrid10"/>
        <w:tblW w:w="5000" w:type="pct"/>
        <w:tblLook w:val="04A0" w:firstRow="1" w:lastRow="0" w:firstColumn="1" w:lastColumn="0" w:noHBand="0" w:noVBand="1"/>
      </w:tblPr>
      <w:tblGrid>
        <w:gridCol w:w="1966"/>
        <w:gridCol w:w="5190"/>
        <w:gridCol w:w="2483"/>
      </w:tblGrid>
      <w:tr w:rsidR="004F38C2" w14:paraId="16D39263" w14:textId="77777777" w:rsidTr="00CA6E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pct"/>
          </w:tcPr>
          <w:p w14:paraId="73C05319" w14:textId="77777777" w:rsidR="004F38C2" w:rsidRDefault="004F38C2" w:rsidP="00DA5824">
            <w:pPr>
              <w:pStyle w:val="Tableheadingtext"/>
              <w:jc w:val="center"/>
              <w:rPr>
                <w:rFonts w:eastAsiaTheme="minorEastAsia"/>
              </w:rPr>
            </w:pPr>
            <w:r>
              <w:rPr>
                <w:rFonts w:eastAsiaTheme="minorEastAsia"/>
              </w:rPr>
              <w:t>Parameter</w:t>
            </w:r>
          </w:p>
        </w:tc>
        <w:tc>
          <w:tcPr>
            <w:tcW w:w="2692" w:type="pct"/>
          </w:tcPr>
          <w:p w14:paraId="3440DD5E" w14:textId="77777777" w:rsidR="004F38C2" w:rsidRDefault="004F38C2" w:rsidP="00DA5824">
            <w:pPr>
              <w:pStyle w:val="Tableheadingtext"/>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Description </w:t>
            </w:r>
          </w:p>
        </w:tc>
        <w:tc>
          <w:tcPr>
            <w:tcW w:w="1288" w:type="pct"/>
          </w:tcPr>
          <w:p w14:paraId="37793F95" w14:textId="77777777" w:rsidR="004F38C2" w:rsidRDefault="004F38C2" w:rsidP="00DA5824">
            <w:pPr>
              <w:pStyle w:val="Tableheadingtext"/>
              <w:jc w:val="center"/>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Values (day</w:t>
            </w:r>
            <w:r w:rsidRPr="00FC1044">
              <w:rPr>
                <w:rFonts w:eastAsiaTheme="minorEastAsia"/>
                <w:vertAlign w:val="superscript"/>
              </w:rPr>
              <w:t>-1</w:t>
            </w:r>
            <w:r>
              <w:rPr>
                <w:rFonts w:eastAsiaTheme="minorEastAsia"/>
              </w:rPr>
              <w:t>)</w:t>
            </w:r>
          </w:p>
        </w:tc>
      </w:tr>
      <w:tr w:rsidR="004F38C2" w14:paraId="1752AA0D"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4DA3A8B8" w14:textId="7AD6C2F9" w:rsidR="004F38C2" w:rsidRPr="00651F1D" w:rsidRDefault="00651F1D">
            <w:pPr>
              <w:spacing w:after="0"/>
              <w:jc w:val="center"/>
              <w:rPr>
                <w:rFonts w:eastAsiaTheme="minorEastAsia"/>
                <w:bCs/>
              </w:rPr>
            </w:pPr>
            <m:oMathPara>
              <m:oMath>
                <m:r>
                  <w:rPr>
                    <w:rFonts w:ascii="Cambria Math" w:eastAsiaTheme="minorEastAsia" w:hAnsi="Cambria Math"/>
                  </w:rPr>
                  <m:t>b</m:t>
                </m:r>
              </m:oMath>
            </m:oMathPara>
          </w:p>
        </w:tc>
        <w:tc>
          <w:tcPr>
            <w:tcW w:w="2692" w:type="pct"/>
          </w:tcPr>
          <w:p w14:paraId="1A8C82FF"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Per-capita birth rate</w:t>
            </w:r>
          </w:p>
        </w:tc>
        <w:tc>
          <w:tcPr>
            <w:tcW w:w="1288" w:type="pct"/>
          </w:tcPr>
          <w:p w14:paraId="1B8A368C"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0.0025</w:t>
            </w:r>
          </w:p>
        </w:tc>
      </w:tr>
      <w:tr w:rsidR="004F38C2" w14:paraId="4405319A"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59526A4C" w14:textId="31DDAA73" w:rsidR="004F38C2" w:rsidRPr="00651F1D" w:rsidRDefault="00651F1D">
            <w:pPr>
              <w:spacing w:after="0"/>
              <w:jc w:val="center"/>
              <w:rPr>
                <w:rFonts w:eastAsiaTheme="minorEastAsia"/>
                <w:bCs/>
              </w:rPr>
            </w:pPr>
            <m:oMathPara>
              <m:oMath>
                <m:r>
                  <w:rPr>
                    <w:rFonts w:ascii="Cambria Math" w:eastAsiaTheme="minorEastAsia" w:hAnsi="Cambria Math"/>
                  </w:rPr>
                  <m:t>d</m:t>
                </m:r>
              </m:oMath>
            </m:oMathPara>
          </w:p>
        </w:tc>
        <w:tc>
          <w:tcPr>
            <w:tcW w:w="2692" w:type="pct"/>
          </w:tcPr>
          <w:p w14:paraId="49C4BA94"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Minimum per-capita death rate</w:t>
            </w:r>
          </w:p>
        </w:tc>
        <w:tc>
          <w:tcPr>
            <w:tcW w:w="1288" w:type="pct"/>
          </w:tcPr>
          <w:p w14:paraId="1B3698DC"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0.00089</w:t>
            </w:r>
          </w:p>
        </w:tc>
      </w:tr>
      <w:tr w:rsidR="004F38C2" w14:paraId="4D4E609B"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164CA98E" w14:textId="0FF3379E" w:rsidR="004F38C2" w:rsidRPr="00651F1D" w:rsidRDefault="00651F1D">
            <w:pPr>
              <w:spacing w:after="0"/>
              <w:jc w:val="center"/>
              <w:rPr>
                <w:rFonts w:eastAsiaTheme="minorEastAsia"/>
                <w:bCs/>
              </w:rPr>
            </w:pPr>
            <m:oMathPara>
              <m:oMath>
                <m:r>
                  <w:rPr>
                    <w:rFonts w:ascii="Cambria Math" w:eastAsiaTheme="minorEastAsia" w:hAnsi="Cambria Math"/>
                  </w:rPr>
                  <m:t>g</m:t>
                </m:r>
              </m:oMath>
            </m:oMathPara>
          </w:p>
        </w:tc>
        <w:tc>
          <w:tcPr>
            <w:tcW w:w="2692" w:type="pct"/>
          </w:tcPr>
          <w:p w14:paraId="16116070"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Strength of density-dependence</w:t>
            </w:r>
          </w:p>
        </w:tc>
        <w:tc>
          <w:tcPr>
            <w:tcW w:w="1288" w:type="pct"/>
          </w:tcPr>
          <w:p w14:paraId="33AD76D7"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0.00011</w:t>
            </w:r>
          </w:p>
        </w:tc>
      </w:tr>
      <w:tr w:rsidR="004F38C2" w14:paraId="272CDA9E"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52DCF259" w14:textId="7BE8D589" w:rsidR="004F38C2" w:rsidRPr="00651F1D" w:rsidRDefault="00651F1D">
            <w:pPr>
              <w:spacing w:after="0"/>
              <w:jc w:val="center"/>
              <w:rPr>
                <w:rFonts w:eastAsiaTheme="minorEastAsia"/>
                <w:bCs/>
              </w:rPr>
            </w:pPr>
            <m:oMathPara>
              <m:oMath>
                <m:r>
                  <w:rPr>
                    <w:rFonts w:ascii="Cambria Math" w:eastAsiaTheme="minorEastAsia" w:hAnsi="Cambria Math"/>
                  </w:rPr>
                  <m:t>β</m:t>
                </m:r>
              </m:oMath>
            </m:oMathPara>
          </w:p>
        </w:tc>
        <w:tc>
          <w:tcPr>
            <w:tcW w:w="2692" w:type="pct"/>
          </w:tcPr>
          <w:p w14:paraId="014A2A96"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Transmission rate</w:t>
            </w:r>
          </w:p>
        </w:tc>
        <w:tc>
          <w:tcPr>
            <w:tcW w:w="1288" w:type="pct"/>
          </w:tcPr>
          <w:p w14:paraId="15505F56"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0.026 km</w:t>
            </w:r>
            <w:r w:rsidRPr="00836637">
              <w:rPr>
                <w:rFonts w:eastAsiaTheme="minorEastAsia"/>
                <w:vertAlign w:val="superscript"/>
              </w:rPr>
              <w:t>2</w:t>
            </w:r>
          </w:p>
        </w:tc>
      </w:tr>
      <w:tr w:rsidR="004F38C2" w14:paraId="415D7F14"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7ECBAA66" w14:textId="09D69D0B" w:rsidR="004F38C2" w:rsidRPr="00651F1D" w:rsidRDefault="00651F1D">
            <w:pPr>
              <w:spacing w:after="0"/>
              <w:jc w:val="center"/>
              <w:rPr>
                <w:rFonts w:eastAsiaTheme="minorEastAsia"/>
                <w:bCs/>
              </w:rPr>
            </w:pPr>
            <m:oMathPara>
              <m:oMath>
                <m:r>
                  <w:rPr>
                    <w:rFonts w:ascii="Cambria Math" w:eastAsiaTheme="minorEastAsia" w:hAnsi="Cambria Math"/>
                  </w:rPr>
                  <m:t>σ</m:t>
                </m:r>
              </m:oMath>
            </m:oMathPara>
          </w:p>
        </w:tc>
        <w:tc>
          <w:tcPr>
            <w:tcW w:w="2692" w:type="pct"/>
          </w:tcPr>
          <w:p w14:paraId="66550470"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Latent period</w:t>
            </w:r>
          </w:p>
        </w:tc>
        <w:tc>
          <w:tcPr>
            <w:tcW w:w="1288" w:type="pct"/>
          </w:tcPr>
          <w:p w14:paraId="6698206A"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0.5</w:t>
            </w:r>
          </w:p>
        </w:tc>
      </w:tr>
      <w:tr w:rsidR="004F38C2" w14:paraId="40A4AE27"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3AE0F091" w14:textId="5F712811" w:rsidR="004F38C2" w:rsidRPr="00651F1D" w:rsidRDefault="00651F1D">
            <w:pPr>
              <w:spacing w:after="0"/>
              <w:jc w:val="center"/>
              <w:rPr>
                <w:rFonts w:eastAsiaTheme="minorEastAsia"/>
                <w:bCs/>
              </w:rPr>
            </w:pPr>
            <m:oMathPara>
              <m:oMath>
                <m:r>
                  <w:rPr>
                    <w:rFonts w:ascii="Cambria Math" w:eastAsiaTheme="minorEastAsia" w:hAnsi="Cambria Math"/>
                  </w:rPr>
                  <m:t>υ</m:t>
                </m:r>
              </m:oMath>
            </m:oMathPara>
          </w:p>
        </w:tc>
        <w:tc>
          <w:tcPr>
            <w:tcW w:w="2692" w:type="pct"/>
          </w:tcPr>
          <w:p w14:paraId="6279BD65"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Recovery rate</w:t>
            </w:r>
          </w:p>
        </w:tc>
        <w:tc>
          <w:tcPr>
            <w:tcW w:w="1288" w:type="pct"/>
          </w:tcPr>
          <w:p w14:paraId="7363B9E8"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0.17</w:t>
            </w:r>
          </w:p>
        </w:tc>
      </w:tr>
      <w:tr w:rsidR="004F38C2" w14:paraId="6A8F8350"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08B9D2E2" w14:textId="0D4928B0" w:rsidR="004F38C2" w:rsidRPr="00651F1D" w:rsidRDefault="00651F1D">
            <w:pPr>
              <w:spacing w:after="0"/>
              <w:jc w:val="center"/>
              <w:rPr>
                <w:rFonts w:eastAsiaTheme="minorEastAsia"/>
                <w:bCs/>
              </w:rPr>
            </w:pPr>
            <m:oMathPara>
              <m:oMath>
                <m:r>
                  <w:rPr>
                    <w:rFonts w:ascii="Cambria Math" w:eastAsiaTheme="minorEastAsia" w:hAnsi="Cambria Math"/>
                  </w:rPr>
                  <m:t>α</m:t>
                </m:r>
              </m:oMath>
            </m:oMathPara>
          </w:p>
        </w:tc>
        <w:tc>
          <w:tcPr>
            <w:tcW w:w="2692" w:type="pct"/>
          </w:tcPr>
          <w:p w14:paraId="5BDBCADE"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Disease-induced mortality rate</w:t>
            </w:r>
          </w:p>
        </w:tc>
        <w:tc>
          <w:tcPr>
            <w:tcW w:w="1288" w:type="pct"/>
          </w:tcPr>
          <w:p w14:paraId="1A028B48"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0.0064</w:t>
            </w:r>
          </w:p>
        </w:tc>
      </w:tr>
      <w:tr w:rsidR="004F38C2" w14:paraId="0850C988"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1EAD84D5" w14:textId="0C4A3801" w:rsidR="004F38C2" w:rsidRPr="00651F1D" w:rsidRDefault="00651F1D">
            <w:pPr>
              <w:spacing w:after="0"/>
              <w:jc w:val="center"/>
              <w:rPr>
                <w:rFonts w:eastAsiaTheme="minorEastAsia"/>
                <w:bCs/>
              </w:rPr>
            </w:pPr>
            <m:oMathPara>
              <m:oMath>
                <m:r>
                  <w:rPr>
                    <w:rFonts w:ascii="Cambria Math" w:eastAsiaTheme="minorEastAsia" w:hAnsi="Cambria Math"/>
                  </w:rPr>
                  <m:t>ω</m:t>
                </m:r>
              </m:oMath>
            </m:oMathPara>
          </w:p>
        </w:tc>
        <w:tc>
          <w:tcPr>
            <w:tcW w:w="2692" w:type="pct"/>
          </w:tcPr>
          <w:p w14:paraId="01CDA105" w14:textId="77777777" w:rsidR="004F38C2"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Loss of immunity</w:t>
            </w:r>
          </w:p>
        </w:tc>
        <w:tc>
          <w:tcPr>
            <w:tcW w:w="1288" w:type="pct"/>
          </w:tcPr>
          <w:p w14:paraId="48A6F4CA" w14:textId="77777777" w:rsidR="004F38C2"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0.011</w:t>
            </w:r>
          </w:p>
        </w:tc>
      </w:tr>
      <w:tr w:rsidR="004F38C2" w14:paraId="7389F582" w14:textId="77777777" w:rsidTr="00CA6E95">
        <w:tc>
          <w:tcPr>
            <w:cnfStyle w:val="001000000000" w:firstRow="0" w:lastRow="0" w:firstColumn="1" w:lastColumn="0" w:oddVBand="0" w:evenVBand="0" w:oddHBand="0" w:evenHBand="0" w:firstRowFirstColumn="0" w:firstRowLastColumn="0" w:lastRowFirstColumn="0" w:lastRowLastColumn="0"/>
            <w:tcW w:w="1020" w:type="pct"/>
          </w:tcPr>
          <w:p w14:paraId="1E501F81" w14:textId="124CA407" w:rsidR="004F38C2" w:rsidRPr="00CA6E95" w:rsidRDefault="00651F1D">
            <w:pPr>
              <w:spacing w:after="0"/>
              <w:jc w:val="center"/>
              <w:rPr>
                <w:rFonts w:eastAsiaTheme="minorEastAsia"/>
                <w:bCs/>
              </w:rPr>
            </w:pPr>
            <m:oMathPara>
              <m:oMath>
                <m:r>
                  <w:rPr>
                    <w:rFonts w:ascii="Cambria Math" w:eastAsiaTheme="minorEastAsia" w:hAnsi="Cambria Math"/>
                  </w:rPr>
                  <m:t>K</m:t>
                </m:r>
              </m:oMath>
            </m:oMathPara>
          </w:p>
        </w:tc>
        <w:tc>
          <w:tcPr>
            <w:tcW w:w="2692" w:type="pct"/>
          </w:tcPr>
          <w:p w14:paraId="02D55B14" w14:textId="77777777" w:rsidR="004F38C2" w:rsidRPr="00FC1044" w:rsidRDefault="004F38C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sidRPr="00FC1044">
              <w:rPr>
                <w:rFonts w:eastAsiaTheme="minorEastAsia"/>
              </w:rPr>
              <w:t>Carrying capacity</w:t>
            </w:r>
          </w:p>
        </w:tc>
        <w:tc>
          <w:tcPr>
            <w:tcW w:w="1288" w:type="pct"/>
          </w:tcPr>
          <w:p w14:paraId="4E13BF1E" w14:textId="77777777" w:rsidR="004F38C2" w:rsidRPr="00FC1044" w:rsidRDefault="004F38C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500 pigs</w:t>
            </w:r>
          </w:p>
        </w:tc>
      </w:tr>
    </w:tbl>
    <w:p w14:paraId="642BE930" w14:textId="77777777" w:rsidR="00C05B4A" w:rsidRPr="00C05B4A" w:rsidRDefault="00C05B4A" w:rsidP="00C05B4A">
      <w:pPr>
        <w:rPr>
          <w:rFonts w:eastAsiaTheme="minorEastAsia"/>
        </w:rPr>
      </w:pPr>
    </w:p>
    <w:p w14:paraId="21E45796" w14:textId="563A8529" w:rsidR="009A19DD" w:rsidRPr="007806E0" w:rsidRDefault="009A19DD" w:rsidP="009A19DD">
      <w:pPr>
        <w:rPr>
          <w:rFonts w:eastAsiaTheme="minorEastAsia"/>
        </w:rPr>
      </w:pPr>
      <w:r w:rsidRPr="007806E0">
        <w:rPr>
          <w:rFonts w:eastAsiaTheme="minorEastAsia"/>
        </w:rPr>
        <w:t>We undert</w:t>
      </w:r>
      <w:r w:rsidR="002C0D8A" w:rsidRPr="007806E0">
        <w:rPr>
          <w:rFonts w:eastAsiaTheme="minorEastAsia"/>
        </w:rPr>
        <w:t>ook</w:t>
      </w:r>
      <w:r w:rsidRPr="007806E0">
        <w:rPr>
          <w:rFonts w:eastAsiaTheme="minorEastAsia"/>
        </w:rPr>
        <w:t xml:space="preserve"> a sensitivity analysis to assess the relative </w:t>
      </w:r>
      <w:r w:rsidR="00F65BF9">
        <w:rPr>
          <w:rFonts w:eastAsiaTheme="minorEastAsia"/>
        </w:rPr>
        <w:t xml:space="preserve">importance </w:t>
      </w:r>
      <w:r w:rsidRPr="007806E0">
        <w:rPr>
          <w:rFonts w:eastAsiaTheme="minorEastAsia"/>
        </w:rPr>
        <w:t>of the parameters in a simple scenario</w:t>
      </w:r>
      <w:r w:rsidR="00F65BF9">
        <w:rPr>
          <w:rFonts w:eastAsiaTheme="minorEastAsia"/>
        </w:rPr>
        <w:t>,</w:t>
      </w:r>
      <w:r w:rsidRPr="007806E0">
        <w:rPr>
          <w:rFonts w:eastAsiaTheme="minorEastAsia"/>
        </w:rPr>
        <w:t xml:space="preserve"> where an outbreak of FMD in a population of 500 </w:t>
      </w:r>
      <w:r w:rsidR="00E548AE">
        <w:rPr>
          <w:rFonts w:eastAsiaTheme="minorEastAsia"/>
        </w:rPr>
        <w:t>Feral Pig</w:t>
      </w:r>
      <w:r w:rsidRPr="007806E0">
        <w:rPr>
          <w:rFonts w:eastAsiaTheme="minorEastAsia"/>
        </w:rPr>
        <w:t>s is initiated by infection of a single individual at time zero. The simulation was allowed to run for 1825 days (~5 years), with the time at which the last infected pig was present in the population recorded as a measure of the tendency of the disease to persist in the population.</w:t>
      </w:r>
    </w:p>
    <w:p w14:paraId="5000D1CF" w14:textId="664B5AD4" w:rsidR="009A19DD" w:rsidRPr="007806E0" w:rsidRDefault="009A19DD" w:rsidP="009A19DD">
      <w:pPr>
        <w:rPr>
          <w:rFonts w:eastAsiaTheme="minorEastAsia"/>
        </w:rPr>
      </w:pPr>
      <w:r w:rsidRPr="007806E0">
        <w:rPr>
          <w:rFonts w:eastAsiaTheme="minorEastAsia"/>
        </w:rPr>
        <w:t xml:space="preserve">To assess the relative influence of each parameter, a global sensitivity analysis </w:t>
      </w:r>
      <w:r w:rsidRPr="007806E0">
        <w:rPr>
          <w:rFonts w:eastAsiaTheme="minorEastAsia"/>
        </w:rPr>
        <w:fldChar w:fldCharType="begin"/>
      </w:r>
      <w:r w:rsidR="009F541F">
        <w:rPr>
          <w:rFonts w:eastAsiaTheme="minorEastAsia"/>
        </w:rPr>
        <w:instrText xml:space="preserve"> ADDIN ZOTERO_ITEM CSL_CITATION {"citationID":"KCeZVvPu","properties":{"formattedCitation":"(Prowse {\\i{}et al.} 2016)","plainCitation":"(Prowse et al. 2016)","noteIndex":0},"citationItems":[{"id":4216,"uris":["http://zotero.org/users/634364/items/5FR5L2HL"],"itemData":{"id":4216,"type":"article-journal","container-title":"Ecosphere","DOI":"10.1002/ecs2.1238","ISSN":"2150-8925","issue":"3","note":"Citation Key: RN2696","page":"e01238-n/a","title":"An efficient protocol for the global sensitivity analysis of stochastic ecological models","volume":"7","author":[{"family":"Prowse","given":"Thomas A A"},{"family":"Bradshaw","given":"Corey J A"},{"family":"Delean","given":"Steven"},{"family":"Cassey","given":"Phillip"},{"family":"Lacy","given":"Robert C"},{"family":"Wells","given":"Konstans"},{"family":"Aiello-Lammens","given":"Matthew E"},{"family":"Akçakaya","given":"H R"},{"family":"Brook","given":"Barry W"}],"issued":{"date-parts":[["2016"]]}}}],"schema":"https://github.com/citation-style-language/schema/raw/master/csl-citation.json"} </w:instrText>
      </w:r>
      <w:r w:rsidRPr="007806E0">
        <w:rPr>
          <w:rFonts w:eastAsiaTheme="minorEastAsia"/>
        </w:rPr>
        <w:fldChar w:fldCharType="separate"/>
      </w:r>
      <w:r w:rsidR="009F541F" w:rsidRPr="009F541F">
        <w:t xml:space="preserve">(Prowse </w:t>
      </w:r>
      <w:r w:rsidR="009F541F" w:rsidRPr="00DA5824">
        <w:t>et al.</w:t>
      </w:r>
      <w:r w:rsidR="009F541F" w:rsidRPr="00F65BF9">
        <w:t xml:space="preserve"> </w:t>
      </w:r>
      <w:r w:rsidR="009F541F" w:rsidRPr="009F541F">
        <w:t>2016)</w:t>
      </w:r>
      <w:r w:rsidRPr="007806E0">
        <w:rPr>
          <w:rFonts w:eastAsiaTheme="minorEastAsia"/>
        </w:rPr>
        <w:fldChar w:fldCharType="end"/>
      </w:r>
      <w:r w:rsidRPr="007806E0">
        <w:rPr>
          <w:rFonts w:eastAsiaTheme="minorEastAsia"/>
        </w:rPr>
        <w:t xml:space="preserve"> was conducted. First, a Latin hypercube sample of 1000 parameter combinations from the plausible ranges in Table </w:t>
      </w:r>
      <w:r w:rsidR="00C30721">
        <w:rPr>
          <w:rFonts w:eastAsiaTheme="minorEastAsia"/>
        </w:rPr>
        <w:t>A</w:t>
      </w:r>
      <w:r w:rsidRPr="007806E0">
        <w:rPr>
          <w:rFonts w:eastAsiaTheme="minorEastAsia"/>
        </w:rPr>
        <w:t xml:space="preserve">1 was generated. For each set of parameters, a single simulation of the pig-FMD individual-based disease model </w:t>
      </w:r>
      <w:r w:rsidR="00F65BF9" w:rsidRPr="007806E0">
        <w:rPr>
          <w:rFonts w:eastAsiaTheme="minorEastAsia"/>
        </w:rPr>
        <w:t>was run</w:t>
      </w:r>
      <w:r w:rsidR="00F65BF9">
        <w:rPr>
          <w:rFonts w:eastAsiaTheme="minorEastAsia"/>
        </w:rPr>
        <w:t>,</w:t>
      </w:r>
      <w:r w:rsidR="00F65BF9" w:rsidRPr="007806E0">
        <w:rPr>
          <w:rFonts w:eastAsiaTheme="minorEastAsia"/>
        </w:rPr>
        <w:t xml:space="preserve"> </w:t>
      </w:r>
      <w:r w:rsidRPr="007806E0">
        <w:rPr>
          <w:rFonts w:eastAsiaTheme="minorEastAsia"/>
        </w:rPr>
        <w:t>with one infected pig introduced on the first day of the simulation. The time at which the last infected pig was lost from the population (via death or recovery) was recorded for each of the 1000</w:t>
      </w:r>
      <w:r w:rsidR="00F65BF9">
        <w:rPr>
          <w:rFonts w:eastAsiaTheme="minorEastAsia"/>
        </w:rPr>
        <w:t> </w:t>
      </w:r>
      <w:r w:rsidRPr="007806E0">
        <w:rPr>
          <w:rFonts w:eastAsiaTheme="minorEastAsia"/>
        </w:rPr>
        <w:t>scenarios.</w:t>
      </w:r>
    </w:p>
    <w:p w14:paraId="4A7DD481" w14:textId="49E6A41A" w:rsidR="009A19DD" w:rsidRPr="007806E0" w:rsidRDefault="009A19DD" w:rsidP="009A19DD">
      <w:pPr>
        <w:rPr>
          <w:rFonts w:eastAsiaTheme="minorEastAsia"/>
        </w:rPr>
      </w:pPr>
      <w:r w:rsidRPr="007806E0">
        <w:rPr>
          <w:rFonts w:eastAsiaTheme="minorEastAsia"/>
        </w:rPr>
        <w:t>The results of 1000 simulations were then analysed to discern the relationships between the values of the individual parameters in each simulation and the outcome (time of eradication of FMD from the population). This sensitivity analysis was conducted using generali</w:t>
      </w:r>
      <w:r w:rsidR="00F65BF9">
        <w:rPr>
          <w:rFonts w:eastAsiaTheme="minorEastAsia"/>
        </w:rPr>
        <w:t>s</w:t>
      </w:r>
      <w:r w:rsidRPr="007806E0">
        <w:rPr>
          <w:rFonts w:eastAsiaTheme="minorEastAsia"/>
        </w:rPr>
        <w:t xml:space="preserve">ed additive models </w:t>
      </w:r>
      <w:r w:rsidRPr="007806E0">
        <w:rPr>
          <w:rFonts w:eastAsiaTheme="minorEastAsia"/>
        </w:rPr>
        <w:fldChar w:fldCharType="begin"/>
      </w:r>
      <w:r w:rsidRPr="007806E0">
        <w:rPr>
          <w:rFonts w:eastAsiaTheme="minorEastAsia"/>
        </w:rPr>
        <w:instrText xml:space="preserve"> ADDIN ZOTERO_ITEM CSL_CITATION {"citationID":"Zfx7LzLm","properties":{"formattedCitation":"(GAMs, Wood 2017)","plainCitation":"(GAMs, Wood 2017)","noteIndex":0},"citationItems":[{"id":2325,"uris":["http://zotero.org/users/634364/items/M8XR7UAT"],"itemData":{"id":2325,"type":"book","event-place":"Boca Raton, Florida.","publisher":"CRC Press, Taylor and Francis Group","publisher-place":"Boca Raton, Florida.","title":"Generalized additive models: an introduction with R","author":[{"family":"Wood","given":"Simon N."}],"issued":{"date-parts":[["2017"]]}},"label":"page","prefix":"GAMs, "}],"schema":"https://github.com/citation-style-language/schema/raw/master/csl-citation.json"} </w:instrText>
      </w:r>
      <w:r w:rsidRPr="007806E0">
        <w:rPr>
          <w:rFonts w:eastAsiaTheme="minorEastAsia"/>
        </w:rPr>
        <w:fldChar w:fldCharType="separate"/>
      </w:r>
      <w:r w:rsidR="009F541F" w:rsidRPr="009F541F">
        <w:t>(GAMs, Wood 2017)</w:t>
      </w:r>
      <w:r w:rsidRPr="007806E0">
        <w:rPr>
          <w:rFonts w:eastAsiaTheme="minorEastAsia"/>
        </w:rPr>
        <w:fldChar w:fldCharType="end"/>
      </w:r>
      <w:r w:rsidRPr="007806E0">
        <w:rPr>
          <w:rFonts w:eastAsiaTheme="minorEastAsia"/>
        </w:rPr>
        <w:t xml:space="preserve">, which are </w:t>
      </w:r>
      <w:r w:rsidR="00F65BF9">
        <w:rPr>
          <w:rFonts w:eastAsiaTheme="minorEastAsia"/>
        </w:rPr>
        <w:t xml:space="preserve">based on </w:t>
      </w:r>
      <w:r w:rsidRPr="007806E0">
        <w:rPr>
          <w:rFonts w:eastAsiaTheme="minorEastAsia"/>
        </w:rPr>
        <w:t xml:space="preserve">a regression modelling framework </w:t>
      </w:r>
      <w:r w:rsidR="00F65BF9">
        <w:rPr>
          <w:rFonts w:eastAsiaTheme="minorEastAsia"/>
        </w:rPr>
        <w:t xml:space="preserve">that </w:t>
      </w:r>
      <w:r w:rsidRPr="007806E0">
        <w:rPr>
          <w:rFonts w:eastAsiaTheme="minorEastAsia"/>
        </w:rPr>
        <w:t>extends conventional generali</w:t>
      </w:r>
      <w:r w:rsidR="00F65BF9">
        <w:rPr>
          <w:rFonts w:eastAsiaTheme="minorEastAsia"/>
        </w:rPr>
        <w:t>s</w:t>
      </w:r>
      <w:r w:rsidRPr="007806E0">
        <w:rPr>
          <w:rFonts w:eastAsiaTheme="minorEastAsia"/>
        </w:rPr>
        <w:t xml:space="preserve">ed linear models to allow for possibly non-linear responses. The fitted GAM related the time to disease eradication to the parameter values, with a log-normal error distribution being assumed (given that time to eradication cannot be negative). To assess the relative importance of each variable in the model, partial response curves for each parameter were constructed across the assumed plausible range of each parameter (Figure </w:t>
      </w:r>
      <w:r w:rsidR="00C30721">
        <w:rPr>
          <w:rFonts w:eastAsiaTheme="minorEastAsia"/>
        </w:rPr>
        <w:t>A1</w:t>
      </w:r>
      <w:r w:rsidRPr="007806E0">
        <w:rPr>
          <w:rFonts w:eastAsiaTheme="minorEastAsia"/>
        </w:rPr>
        <w:t>).</w:t>
      </w:r>
    </w:p>
    <w:p w14:paraId="584E3EB1" w14:textId="4EC9D9BB" w:rsidR="009A19DD" w:rsidRPr="007806E0" w:rsidRDefault="009A19DD" w:rsidP="009A19DD">
      <w:pPr>
        <w:rPr>
          <w:rFonts w:eastAsiaTheme="minorEastAsia"/>
        </w:rPr>
      </w:pPr>
      <w:r w:rsidRPr="007806E0">
        <w:rPr>
          <w:rFonts w:eastAsiaTheme="minorEastAsia"/>
        </w:rPr>
        <w:t>The sensitivity analysis revealed the overwhelming influence of the transmission parameter</w:t>
      </w:r>
      <w:r w:rsidR="00F65BF9">
        <w:rPr>
          <w:rFonts w:eastAsiaTheme="minorEastAsia"/>
        </w:rPr>
        <w:t>,</w:t>
      </w:r>
      <w:r w:rsidRPr="007806E0">
        <w:rPr>
          <w:rFonts w:eastAsiaTheme="minorEastAsia"/>
        </w:rPr>
        <w:t xml:space="preserve"> β</w:t>
      </w:r>
      <w:r w:rsidR="00F65BF9">
        <w:rPr>
          <w:rFonts w:eastAsiaTheme="minorEastAsia"/>
        </w:rPr>
        <w:t>,</w:t>
      </w:r>
      <w:r w:rsidRPr="007806E0">
        <w:rPr>
          <w:rFonts w:eastAsiaTheme="minorEastAsia"/>
        </w:rPr>
        <w:t xml:space="preserve"> in driving the persistence of FMD in the modelled pig populations, with much lower sensitivities to the values of the other parameters of the model. (Figure </w:t>
      </w:r>
      <w:r w:rsidR="00C30721">
        <w:rPr>
          <w:rFonts w:eastAsiaTheme="minorEastAsia"/>
        </w:rPr>
        <w:t>A1</w:t>
      </w:r>
      <w:r w:rsidRPr="007806E0">
        <w:rPr>
          <w:rFonts w:eastAsiaTheme="minorEastAsia"/>
        </w:rPr>
        <w:t xml:space="preserve">). </w:t>
      </w:r>
      <w:r w:rsidR="00F65BF9">
        <w:rPr>
          <w:rFonts w:eastAsiaTheme="minorEastAsia"/>
        </w:rPr>
        <w:t>Accordingly</w:t>
      </w:r>
      <w:r w:rsidRPr="007806E0">
        <w:rPr>
          <w:rFonts w:eastAsiaTheme="minorEastAsia"/>
        </w:rPr>
        <w:t xml:space="preserve">, we undertook further analyses based on scenarios where all other parameters were held at their likely values, </w:t>
      </w:r>
      <w:proofErr w:type="gramStart"/>
      <w:r w:rsidRPr="007806E0">
        <w:rPr>
          <w:rFonts w:eastAsiaTheme="minorEastAsia"/>
        </w:rPr>
        <w:t>with the exception of</w:t>
      </w:r>
      <w:proofErr w:type="gramEnd"/>
      <w:r w:rsidRPr="007806E0">
        <w:rPr>
          <w:rFonts w:eastAsiaTheme="minorEastAsia"/>
        </w:rPr>
        <w:t xml:space="preserve"> the transmission parameter </w:t>
      </w:r>
      <w:r w:rsidR="00F65BF9">
        <w:rPr>
          <w:rFonts w:eastAsiaTheme="minorEastAsia"/>
        </w:rPr>
        <w:t xml:space="preserve">– </w:t>
      </w:r>
      <w:r w:rsidRPr="007806E0">
        <w:rPr>
          <w:rFonts w:eastAsiaTheme="minorEastAsia"/>
        </w:rPr>
        <w:t xml:space="preserve">which was either held at its likely value or at the upper bound. This was considered to provide a reasonable exploration of probable outcomes under both </w:t>
      </w:r>
      <w:r w:rsidR="0022442B">
        <w:rPr>
          <w:rFonts w:eastAsiaTheme="minorEastAsia"/>
        </w:rPr>
        <w:t>‘</w:t>
      </w:r>
      <w:r w:rsidRPr="007806E0">
        <w:rPr>
          <w:rFonts w:eastAsiaTheme="minorEastAsia"/>
        </w:rPr>
        <w:t>likely</w:t>
      </w:r>
      <w:r w:rsidR="0022442B">
        <w:rPr>
          <w:rFonts w:eastAsiaTheme="minorEastAsia"/>
        </w:rPr>
        <w:t>’</w:t>
      </w:r>
      <w:r w:rsidRPr="007806E0">
        <w:rPr>
          <w:rFonts w:eastAsiaTheme="minorEastAsia"/>
        </w:rPr>
        <w:t xml:space="preserve"> and </w:t>
      </w:r>
      <w:r w:rsidR="0022442B">
        <w:rPr>
          <w:rFonts w:eastAsiaTheme="minorEastAsia"/>
        </w:rPr>
        <w:t>‘</w:t>
      </w:r>
      <w:r w:rsidRPr="007806E0">
        <w:rPr>
          <w:rFonts w:eastAsiaTheme="minorEastAsia"/>
        </w:rPr>
        <w:t>worst case</w:t>
      </w:r>
      <w:r w:rsidR="0022442B">
        <w:rPr>
          <w:rFonts w:eastAsiaTheme="minorEastAsia"/>
        </w:rPr>
        <w:t>’</w:t>
      </w:r>
      <w:r w:rsidRPr="007806E0">
        <w:rPr>
          <w:rFonts w:eastAsiaTheme="minorEastAsia"/>
        </w:rPr>
        <w:t xml:space="preserve"> dynamics for the disease within a </w:t>
      </w:r>
      <w:r w:rsidR="00E548AE">
        <w:rPr>
          <w:rFonts w:eastAsiaTheme="minorEastAsia"/>
        </w:rPr>
        <w:t>Feral Pig</w:t>
      </w:r>
      <w:r w:rsidRPr="007806E0">
        <w:rPr>
          <w:rFonts w:eastAsiaTheme="minorEastAsia"/>
        </w:rPr>
        <w:t xml:space="preserve"> population in Victoria. For each of these two scenarios, 250 simulations of an uncontrolled outbreak of FMD were run to assess the likely range of outcomes in terms of the duration of the outbreak and the likelihood of prolonged persistence of the disease in the population. </w:t>
      </w:r>
    </w:p>
    <w:p w14:paraId="278C8110" w14:textId="6EEA8AC1" w:rsidR="0054258F" w:rsidRDefault="0054258F" w:rsidP="0054258F"/>
    <w:p w14:paraId="544016BB" w14:textId="77777777" w:rsidR="0054258F" w:rsidRDefault="0054258F" w:rsidP="0054258F">
      <w:pPr>
        <w:jc w:val="center"/>
      </w:pPr>
      <w:r>
        <w:rPr>
          <w:noProof/>
        </w:rPr>
        <w:drawing>
          <wp:inline distT="0" distB="0" distL="0" distR="0" wp14:anchorId="6D30A9A1" wp14:editId="6E55CCC6">
            <wp:extent cx="3333750" cy="5336294"/>
            <wp:effectExtent l="0" t="0" r="0" b="0"/>
            <wp:docPr id="131573836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38362" name="Picture 1" descr="A graph of a graph&#10;&#10;Description automatically generated with medium confidence"/>
                    <pic:cNvPicPr>
                      <a:picLocks noChangeAspect="1" noChangeArrowheads="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0" y="0"/>
                      <a:ext cx="3362416" cy="5382179"/>
                    </a:xfrm>
                    <a:prstGeom prst="rect">
                      <a:avLst/>
                    </a:prstGeom>
                    <a:noFill/>
                    <a:ln>
                      <a:noFill/>
                    </a:ln>
                  </pic:spPr>
                </pic:pic>
              </a:graphicData>
            </a:graphic>
          </wp:inline>
        </w:drawing>
      </w:r>
    </w:p>
    <w:p w14:paraId="39B4EE8F" w14:textId="6028E9FF" w:rsidR="0054258F" w:rsidRDefault="0054258F" w:rsidP="00CA6E95">
      <w:pPr>
        <w:pStyle w:val="Caption-Figure"/>
      </w:pPr>
      <w:bookmarkStart w:id="143" w:name="_Toc198634181"/>
      <w:r w:rsidRPr="00C30721">
        <w:t xml:space="preserve">Figure </w:t>
      </w:r>
      <w:r w:rsidR="00C30721" w:rsidRPr="00C30721">
        <w:t>A1</w:t>
      </w:r>
      <w:r>
        <w:t>. Partial effects of the values of the model parameters on the logarithm of the time to disease eradication in an unmanaged outbreak of FMD. Note</w:t>
      </w:r>
      <w:r w:rsidR="007847C7">
        <w:t>,</w:t>
      </w:r>
      <w:r>
        <w:t xml:space="preserve"> the large effect of the value taken by the parameter β, which represents the density-dependent transmission rate of FMD between individual pigs.</w:t>
      </w:r>
      <w:bookmarkEnd w:id="143"/>
    </w:p>
    <w:p w14:paraId="2428ACED" w14:textId="77777777" w:rsidR="00263D04" w:rsidRDefault="00263D04" w:rsidP="008565B4"/>
    <w:p w14:paraId="36594B70" w14:textId="6A26E6B9" w:rsidR="008565B4" w:rsidRDefault="008565B4" w:rsidP="008565B4">
      <w:r>
        <w:t xml:space="preserve">The dynamics of simulated unmanaged outbreaks under low, likely and high values of beta are illustrated in Figure </w:t>
      </w:r>
      <w:r w:rsidR="009B5D6C">
        <w:t>A2</w:t>
      </w:r>
      <w:r>
        <w:t>. Under a low-beta scenario, the number of infected animals initially increased, reaching a peak within the first few weeks of the outbreak, before declining to zero. It appears that</w:t>
      </w:r>
      <w:r w:rsidR="007847C7">
        <w:t>,</w:t>
      </w:r>
      <w:r>
        <w:t xml:space="preserve"> under such conditions</w:t>
      </w:r>
      <w:r w:rsidR="007847C7">
        <w:t xml:space="preserve">, </w:t>
      </w:r>
      <w:r>
        <w:t xml:space="preserve">rates of transmission are insufficient for the disease to establish and become self-sustaining. </w:t>
      </w:r>
    </w:p>
    <w:p w14:paraId="1AAFDC6F" w14:textId="77777777" w:rsidR="008565B4" w:rsidRDefault="008565B4" w:rsidP="008565B4">
      <w:r>
        <w:t xml:space="preserve">In contrast, under a high-beta scenario, the population experienced a rapid increase in the number of infected individuals, peaking within a few weeks of the commencement of the outbreak before rapidly declining as infected individuals either recovered or died. While some trajectories resulted in extinction of the disease, a large proportion of simulation runs led to the disease being maintained in the population out to the five-year mark, albeit at relatively low prevalence. </w:t>
      </w:r>
    </w:p>
    <w:p w14:paraId="67A85282" w14:textId="1C7BDE1B" w:rsidR="008565B4" w:rsidRDefault="008565B4" w:rsidP="008565B4">
      <w:r>
        <w:t xml:space="preserve">Scenarios run under the likely value of beta represented a middle ground between these two extremes, with a lower peak prevalence, and </w:t>
      </w:r>
      <w:proofErr w:type="gramStart"/>
      <w:r>
        <w:t>the majority of</w:t>
      </w:r>
      <w:proofErr w:type="gramEnd"/>
      <w:r>
        <w:t xml:space="preserve"> simulated trajectories resulting in extinction of the disease, with a minority of replicates resulting in persistence of the disease for months or years. Suppression of the total abundance of pigs by the disease under the likely and low-beta scenarios was minimal, while under high-beta scenarios</w:t>
      </w:r>
      <w:r w:rsidR="007847C7">
        <w:t>,</w:t>
      </w:r>
      <w:r>
        <w:t xml:space="preserve"> numbers were typically suppressed in the long term to around 80% of the carrying capacity of 500 pigs. </w:t>
      </w:r>
    </w:p>
    <w:p w14:paraId="3F722A4E" w14:textId="77777777" w:rsidR="008565B4" w:rsidRDefault="008565B4" w:rsidP="008565B4">
      <w:pPr>
        <w:jc w:val="center"/>
      </w:pPr>
      <w:r>
        <w:rPr>
          <w:noProof/>
        </w:rPr>
        <w:drawing>
          <wp:inline distT="0" distB="0" distL="0" distR="0" wp14:anchorId="074F89D3" wp14:editId="72923706">
            <wp:extent cx="4210050" cy="4210050"/>
            <wp:effectExtent l="0" t="0" r="0" b="0"/>
            <wp:docPr id="12507267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screen">
                      <a:extLst>
                        <a:ext uri="{28A0092B-C50C-407E-A947-70E740481C1C}">
                          <a14:useLocalDpi xmlns:a14="http://schemas.microsoft.com/office/drawing/2010/main" val="0"/>
                        </a:ext>
                      </a:extLst>
                    </a:blip>
                    <a:srcRect/>
                    <a:stretch>
                      <a:fillRect/>
                    </a:stretch>
                  </pic:blipFill>
                  <pic:spPr bwMode="auto">
                    <a:xfrm>
                      <a:off x="0" y="0"/>
                      <a:ext cx="4210050" cy="4210050"/>
                    </a:xfrm>
                    <a:prstGeom prst="rect">
                      <a:avLst/>
                    </a:prstGeom>
                    <a:noFill/>
                    <a:ln>
                      <a:noFill/>
                    </a:ln>
                  </pic:spPr>
                </pic:pic>
              </a:graphicData>
            </a:graphic>
          </wp:inline>
        </w:drawing>
      </w:r>
    </w:p>
    <w:p w14:paraId="19CDCD74" w14:textId="5EA99F54" w:rsidR="008565B4" w:rsidRDefault="008565B4" w:rsidP="00BE74D6">
      <w:pPr>
        <w:pStyle w:val="Caption-Figure"/>
      </w:pPr>
      <w:bookmarkStart w:id="144" w:name="_Toc198634182"/>
      <w:r w:rsidRPr="00263D04">
        <w:t xml:space="preserve">Figure </w:t>
      </w:r>
      <w:r w:rsidR="00BE74D6">
        <w:t>A2</w:t>
      </w:r>
      <w:r w:rsidRPr="00263D04">
        <w:t>. Trajectories of simulated FMD outbreaks where beta (transmission parameter) is set at the lower bound (top), likely value (middle) or upper bound (bottom). Each coloured line represents a separate run of the stochastic simulation</w:t>
      </w:r>
      <w:r w:rsidR="007847C7">
        <w:t>,</w:t>
      </w:r>
      <w:r w:rsidRPr="00263D04">
        <w:t xml:space="preserve"> with heavy and light black lines giving the median and 95% confidence limits. The blue lines are the total number of pigs in the population and the red lines are number of pigs infected with FMD. 250 simulations were run for each of the three assumed values of beta. All other parameters were held at their likely values (Table </w:t>
      </w:r>
      <w:r w:rsidR="009B5D6C">
        <w:t>A1</w:t>
      </w:r>
      <w:r w:rsidRPr="00263D04">
        <w:t>).</w:t>
      </w:r>
      <w:bookmarkEnd w:id="144"/>
      <w:r w:rsidRPr="00263D04">
        <w:t xml:space="preserve"> </w:t>
      </w:r>
    </w:p>
    <w:p w14:paraId="30A5F4CF" w14:textId="77777777" w:rsidR="00BE74D6" w:rsidRPr="00BE74D6" w:rsidRDefault="00BE74D6" w:rsidP="00BE74D6"/>
    <w:p w14:paraId="714D6D35" w14:textId="356B0426" w:rsidR="0046563D" w:rsidRDefault="0046563D" w:rsidP="0046563D">
      <w:r>
        <w:t>The</w:t>
      </w:r>
      <w:r w:rsidR="00BE3EC4">
        <w:t xml:space="preserve"> </w:t>
      </w:r>
      <w:r>
        <w:t>implications of</w:t>
      </w:r>
      <w:r w:rsidR="00BE3EC4">
        <w:t xml:space="preserve"> </w:t>
      </w:r>
      <w:r w:rsidR="0022442B">
        <w:t>‘</w:t>
      </w:r>
      <w:r>
        <w:t>worst-case</w:t>
      </w:r>
      <w:r w:rsidR="0022442B">
        <w:t>’</w:t>
      </w:r>
      <w:r>
        <w:t xml:space="preserve"> high transmission parameter conditions on the effectiveness of one-off cull operations are illustrated in Figure </w:t>
      </w:r>
      <w:r w:rsidR="009B5D6C">
        <w:t>A3</w:t>
      </w:r>
      <w:r>
        <w:t xml:space="preserve">. All culls were conducted on day 28 of the outbreak. These simulations revealed that reliable suppression of the outbreak required culling of over 60% of the population, with only the 80% culling scenario resulting in reliable eradication of the disease. Low culling fractions (20 or 40%) frequently failed to eradicate the disease, with FMD persisting (albeit at low prevalence) in such populations for years in a substantial proportion of simulation runs (Figure </w:t>
      </w:r>
      <w:r w:rsidR="009B5D6C">
        <w:t>A3</w:t>
      </w:r>
      <w:r>
        <w:t xml:space="preserve">). </w:t>
      </w:r>
    </w:p>
    <w:p w14:paraId="42638BA8" w14:textId="77777777" w:rsidR="0046563D" w:rsidRDefault="0046563D" w:rsidP="0046563D"/>
    <w:p w14:paraId="7FF17A2E" w14:textId="77777777" w:rsidR="0046563D" w:rsidRDefault="0046563D" w:rsidP="0046563D">
      <w:r>
        <w:rPr>
          <w:noProof/>
        </w:rPr>
        <w:drawing>
          <wp:inline distT="0" distB="0" distL="0" distR="0" wp14:anchorId="23C4C52C" wp14:editId="0E1263FA">
            <wp:extent cx="5534025" cy="5534025"/>
            <wp:effectExtent l="0" t="0" r="9525" b="9525"/>
            <wp:docPr id="13114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screen">
                      <a:extLst>
                        <a:ext uri="{28A0092B-C50C-407E-A947-70E740481C1C}">
                          <a14:useLocalDpi xmlns:a14="http://schemas.microsoft.com/office/drawing/2010/main" val="0"/>
                        </a:ext>
                      </a:extLst>
                    </a:blip>
                    <a:srcRect/>
                    <a:stretch>
                      <a:fillRect/>
                    </a:stretch>
                  </pic:blipFill>
                  <pic:spPr bwMode="auto">
                    <a:xfrm>
                      <a:off x="0" y="0"/>
                      <a:ext cx="5534025" cy="5534025"/>
                    </a:xfrm>
                    <a:prstGeom prst="rect">
                      <a:avLst/>
                    </a:prstGeom>
                    <a:noFill/>
                    <a:ln>
                      <a:noFill/>
                    </a:ln>
                  </pic:spPr>
                </pic:pic>
              </a:graphicData>
            </a:graphic>
          </wp:inline>
        </w:drawing>
      </w:r>
      <w:r w:rsidRPr="00A35485">
        <w:t xml:space="preserve"> </w:t>
      </w:r>
    </w:p>
    <w:p w14:paraId="49FFB19B" w14:textId="21390636" w:rsidR="0046563D" w:rsidRPr="00263D04" w:rsidRDefault="0046563D" w:rsidP="00CA6E95">
      <w:pPr>
        <w:pStyle w:val="Caption-Figure"/>
      </w:pPr>
      <w:bookmarkStart w:id="145" w:name="_Toc198634183"/>
      <w:r>
        <w:t xml:space="preserve">Figure </w:t>
      </w:r>
      <w:r w:rsidR="00BE74D6">
        <w:t>A3</w:t>
      </w:r>
      <w:r>
        <w:t xml:space="preserve">. Simulated FMD outbreaks where the transmission parameter beta is set at its upper bound. A </w:t>
      </w:r>
      <w:proofErr w:type="gramStart"/>
      <w:r>
        <w:t>one-off culling operations of varying intensity</w:t>
      </w:r>
      <w:proofErr w:type="gramEnd"/>
      <w:r>
        <w:t xml:space="preserve"> (C=20, 40, 60 or 80%) is conducted at 28 days after the origin of the outbreak. Blue lines are total population size (N), </w:t>
      </w:r>
      <w:r w:rsidR="007847C7">
        <w:t xml:space="preserve">and </w:t>
      </w:r>
      <w:r>
        <w:t>red lines are the number of infected animals (exposed + infectious) over time. Light and heavy black lines give the median and 95% confidence intervals across all 250 runs of the simulation.</w:t>
      </w:r>
      <w:bookmarkEnd w:id="145"/>
    </w:p>
    <w:p w14:paraId="3C8A7A8E" w14:textId="38217AE8" w:rsidR="007847C7" w:rsidRDefault="007847C7">
      <w:pPr>
        <w:spacing w:after="0"/>
        <w:rPr>
          <w:rFonts w:eastAsiaTheme="minorEastAsia"/>
        </w:rPr>
      </w:pPr>
      <w:r>
        <w:rPr>
          <w:rFonts w:eastAsiaTheme="minorEastAsia"/>
        </w:rPr>
        <w:br w:type="page"/>
      </w:r>
    </w:p>
    <w:p w14:paraId="159A08A9" w14:textId="2AE9FE52" w:rsidR="00FE6884" w:rsidRDefault="00E07B96" w:rsidP="001E2D13">
      <w:pPr>
        <w:pStyle w:val="Heading2-Numbered"/>
      </w:pPr>
      <w:bookmarkStart w:id="146" w:name="_Toc196318870"/>
      <w:bookmarkStart w:id="147" w:name="_Toc196417940"/>
      <w:bookmarkStart w:id="148" w:name="_Toc196419817"/>
      <w:bookmarkStart w:id="149" w:name="_Toc196492752"/>
      <w:bookmarkStart w:id="150" w:name="_Toc198634130"/>
      <w:bookmarkEnd w:id="146"/>
      <w:bookmarkEnd w:id="147"/>
      <w:bookmarkEnd w:id="148"/>
      <w:bookmarkEnd w:id="149"/>
      <w:r>
        <w:t>High Pathogenic Avian Influenza</w:t>
      </w:r>
      <w:r w:rsidR="00FE6884">
        <w:t xml:space="preserve"> in Little Penguins</w:t>
      </w:r>
      <w:bookmarkEnd w:id="150"/>
    </w:p>
    <w:p w14:paraId="03760FFA" w14:textId="18CD5985" w:rsidR="001E2D13" w:rsidRPr="00520FD0" w:rsidRDefault="001E2D13" w:rsidP="001E2D13">
      <w:r w:rsidRPr="00520FD0">
        <w:rPr>
          <w:rFonts w:eastAsiaTheme="minorEastAsia"/>
        </w:rPr>
        <w:t>To Investigate the consequences of an outbreak of H5N1 on Little Penguins on Phillip Island</w:t>
      </w:r>
      <w:r w:rsidR="007847C7">
        <w:rPr>
          <w:rFonts w:eastAsiaTheme="minorEastAsia"/>
        </w:rPr>
        <w:t xml:space="preserve">, </w:t>
      </w:r>
      <w:r w:rsidRPr="00520FD0">
        <w:rPr>
          <w:rFonts w:eastAsiaTheme="minorEastAsia"/>
        </w:rPr>
        <w:t>we constructed the following model:</w:t>
      </w:r>
    </w:p>
    <w:p w14:paraId="634FADDA" w14:textId="79F9DD2B" w:rsidR="001E2D13" w:rsidRPr="00A40F5F" w:rsidRDefault="00000000" w:rsidP="001E2D13">
      <w:pPr>
        <w:spacing w:line="360" w:lineRule="auto"/>
        <w:rPr>
          <w:rFonts w:eastAsiaTheme="minorEastAsia"/>
        </w:rPr>
      </w:pPr>
      <m:oMathPara>
        <m:oMath>
          <m:f>
            <m:fPr>
              <m:ctrlPr>
                <w:rPr>
                  <w:rFonts w:ascii="Cambria Math" w:hAnsi="Cambria Math"/>
                  <w:i/>
                </w:rPr>
              </m:ctrlPr>
            </m:fPr>
            <m:num>
              <m:r>
                <w:rPr>
                  <w:rFonts w:ascii="Cambria Math" w:hAnsi="Cambria Math"/>
                </w:rPr>
                <m:t>dS</m:t>
              </m:r>
            </m:num>
            <m:den>
              <m:r>
                <w:rPr>
                  <w:rFonts w:ascii="Cambria Math" w:hAnsi="Cambria Math"/>
                </w:rPr>
                <m:t>dt</m:t>
              </m:r>
            </m:den>
          </m:f>
          <m:r>
            <m:rPr>
              <m:aln/>
            </m:rPr>
            <w:rPr>
              <w:rFonts w:ascii="Cambria Math" w:hAnsi="Cambria Math"/>
            </w:rPr>
            <m:t>=-βSI</m:t>
          </m:r>
          <m:r>
            <m:rPr>
              <m:sty m:val="p"/>
            </m:rPr>
            <w:rPr>
              <w:rFonts w:ascii="Cambria Math" w:hAnsi="Cambria Math"/>
            </w:rPr>
            <w:br/>
          </m:r>
        </m:oMath>
        <m:oMath>
          <m:f>
            <m:fPr>
              <m:ctrlPr>
                <w:rPr>
                  <w:rFonts w:ascii="Cambria Math" w:eastAsiaTheme="minorEastAsia" w:hAnsi="Cambria Math"/>
                  <w:i/>
                </w:rPr>
              </m:ctrlPr>
            </m:fPr>
            <m:num>
              <m:r>
                <w:rPr>
                  <w:rFonts w:ascii="Cambria Math" w:eastAsiaTheme="minorEastAsia" w:hAnsi="Cambria Math"/>
                </w:rPr>
                <m:t>dI</m:t>
              </m:r>
            </m:num>
            <m:den>
              <m:r>
                <w:rPr>
                  <w:rFonts w:ascii="Cambria Math" w:eastAsiaTheme="minorEastAsia" w:hAnsi="Cambria Math"/>
                </w:rPr>
                <m:t>dt</m:t>
              </m:r>
            </m:den>
          </m:f>
          <m:r>
            <m:rPr>
              <m:aln/>
            </m:rPr>
            <w:rPr>
              <w:rFonts w:ascii="Cambria Math" w:eastAsiaTheme="minorEastAsia" w:hAnsi="Cambria Math"/>
            </w:rPr>
            <m:t>=βSI- υI-αI</m:t>
          </m:r>
          <m:r>
            <m:rPr>
              <m:sty m:val="p"/>
            </m:rPr>
            <w:rPr>
              <w:rFonts w:ascii="Cambria Math" w:eastAsiaTheme="minorEastAsia" w:hAnsi="Cambria Math"/>
            </w:rPr>
            <w:br/>
          </m:r>
        </m:oMath>
        <m:oMath>
          <m:f>
            <m:fPr>
              <m:ctrlPr>
                <w:rPr>
                  <w:rFonts w:ascii="Cambria Math" w:eastAsiaTheme="minorEastAsia" w:hAnsi="Cambria Math"/>
                  <w:i/>
                </w:rPr>
              </m:ctrlPr>
            </m:fPr>
            <m:num>
              <m:r>
                <w:rPr>
                  <w:rFonts w:ascii="Cambria Math" w:eastAsiaTheme="minorEastAsia" w:hAnsi="Cambria Math"/>
                </w:rPr>
                <m:t>dR</m:t>
              </m:r>
            </m:num>
            <m:den>
              <m:r>
                <w:rPr>
                  <w:rFonts w:ascii="Cambria Math" w:eastAsiaTheme="minorEastAsia" w:hAnsi="Cambria Math"/>
                </w:rPr>
                <m:t>dt</m:t>
              </m:r>
            </m:den>
          </m:f>
          <m:r>
            <m:rPr>
              <m:aln/>
            </m:rPr>
            <w:rPr>
              <w:rFonts w:ascii="Cambria Math" w:eastAsiaTheme="minorEastAsia" w:hAnsi="Cambria Math"/>
            </w:rPr>
            <m:t>=υI</m:t>
          </m:r>
          <m:r>
            <m:rPr>
              <m:sty m:val="p"/>
            </m:rPr>
            <w:rPr>
              <w:rFonts w:eastAsiaTheme="minorEastAsia"/>
            </w:rPr>
            <w:br/>
          </m:r>
        </m:oMath>
        <m:oMath>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dt</m:t>
              </m:r>
            </m:den>
          </m:f>
          <m:r>
            <m:rPr>
              <m:sty m:val="p"/>
            </m:rPr>
            <w:rPr>
              <w:rFonts w:ascii="Cambria Math" w:eastAsiaTheme="minorEastAsia" w:hAnsi="Cambria Math"/>
            </w:rPr>
            <m:t>=</m:t>
          </m:r>
          <m:r>
            <w:rPr>
              <w:rFonts w:ascii="Cambria Math" w:eastAsiaTheme="minorEastAsia" w:hAnsi="Cambria Math"/>
            </w:rPr>
            <m:t>αI</m:t>
          </m:r>
          <m:r>
            <m:rPr>
              <m:sty m:val="p"/>
            </m:rPr>
            <w:rPr>
              <w:rFonts w:ascii="Cambria Math" w:eastAsiaTheme="minorEastAsia" w:hAnsi="Cambria Math"/>
            </w:rPr>
            <w:br/>
          </m:r>
        </m:oMath>
        <m:oMath>
          <m:r>
            <w:rPr>
              <w:rFonts w:ascii="Cambria Math" w:eastAsiaTheme="minorEastAsia" w:hAnsi="Cambria Math"/>
            </w:rPr>
            <m:t>N</m:t>
          </m:r>
          <m:r>
            <m:rPr>
              <m:aln/>
            </m:rPr>
            <w:rPr>
              <w:rFonts w:ascii="Cambria Math" w:eastAsiaTheme="minorEastAsia" w:hAnsi="Cambria Math"/>
            </w:rPr>
            <m:t>=S+I+R</m:t>
          </m:r>
        </m:oMath>
      </m:oMathPara>
    </w:p>
    <w:p w14:paraId="02CD81B4" w14:textId="4A096DD7" w:rsidR="001E2D13" w:rsidRDefault="001E2D13" w:rsidP="001E2D13">
      <w:pPr>
        <w:rPr>
          <w:rFonts w:eastAsiaTheme="minorEastAsia"/>
        </w:rPr>
      </w:pPr>
      <w:r>
        <w:rPr>
          <w:rFonts w:eastAsiaTheme="minorEastAsia"/>
        </w:rPr>
        <w:t xml:space="preserve">Where </w:t>
      </w:r>
      <m:oMath>
        <m:r>
          <w:rPr>
            <w:rFonts w:ascii="Cambria Math" w:eastAsiaTheme="minorEastAsia" w:hAnsi="Cambria Math"/>
          </w:rPr>
          <m:t>S</m:t>
        </m:r>
      </m:oMath>
      <w:r>
        <w:rPr>
          <w:rFonts w:eastAsiaTheme="minorEastAsia"/>
        </w:rPr>
        <w:t xml:space="preserve">, </w:t>
      </w:r>
      <m:oMath>
        <m:r>
          <w:rPr>
            <w:rFonts w:ascii="Cambria Math" w:eastAsiaTheme="minorEastAsia" w:hAnsi="Cambria Math"/>
          </w:rPr>
          <m:t>E</m:t>
        </m:r>
      </m:oMath>
      <w:r>
        <w:rPr>
          <w:rFonts w:eastAsiaTheme="minorEastAsia"/>
        </w:rPr>
        <w:t xml:space="preserve">, </w:t>
      </w:r>
      <m:oMath>
        <m:r>
          <w:rPr>
            <w:rFonts w:ascii="Cambria Math" w:eastAsiaTheme="minorEastAsia" w:hAnsi="Cambria Math"/>
          </w:rPr>
          <m:t>I</m:t>
        </m:r>
      </m:oMath>
      <w:r>
        <w:rPr>
          <w:rFonts w:eastAsiaTheme="minorEastAsia"/>
        </w:rPr>
        <w:t xml:space="preserve">, </w:t>
      </w:r>
      <m:oMath>
        <m:r>
          <w:rPr>
            <w:rFonts w:ascii="Cambria Math" w:eastAsiaTheme="minorEastAsia" w:hAnsi="Cambria Math"/>
          </w:rPr>
          <m:t>R</m:t>
        </m:r>
      </m:oMath>
      <w:r>
        <w:rPr>
          <w:rFonts w:eastAsiaTheme="minorEastAsia"/>
        </w:rPr>
        <w:t xml:space="preserve"> are as described previously and </w:t>
      </w:r>
      <m:oMath>
        <m:r>
          <w:rPr>
            <w:rFonts w:ascii="Cambria Math" w:eastAsiaTheme="minorEastAsia" w:hAnsi="Cambria Math"/>
          </w:rPr>
          <m:t>D</m:t>
        </m:r>
      </m:oMath>
      <w:r>
        <w:rPr>
          <w:rFonts w:eastAsiaTheme="minorEastAsia"/>
        </w:rPr>
        <w:t xml:space="preserve"> </w:t>
      </w:r>
      <w:r w:rsidR="007847C7">
        <w:rPr>
          <w:rFonts w:eastAsiaTheme="minorEastAsia"/>
        </w:rPr>
        <w:t xml:space="preserve">refers to </w:t>
      </w:r>
      <w:r>
        <w:rPr>
          <w:rFonts w:eastAsiaTheme="minorEastAsia"/>
        </w:rPr>
        <w:t>the number of deaths in the population</w:t>
      </w:r>
      <w:r w:rsidR="007847C7">
        <w:rPr>
          <w:rFonts w:eastAsiaTheme="minorEastAsia"/>
        </w:rPr>
        <w:t xml:space="preserve">, </w:t>
      </w:r>
      <w:r>
        <w:rPr>
          <w:rFonts w:eastAsiaTheme="minorEastAsia"/>
        </w:rPr>
        <w:t xml:space="preserve">with </w:t>
      </w:r>
      <m:oMath>
        <m:r>
          <w:rPr>
            <w:rFonts w:ascii="Cambria Math" w:eastAsiaTheme="minorEastAsia" w:hAnsi="Cambria Math"/>
          </w:rPr>
          <m:t>α</m:t>
        </m:r>
      </m:oMath>
      <w:r>
        <w:rPr>
          <w:rFonts w:eastAsiaTheme="minorEastAsia"/>
        </w:rPr>
        <w:t xml:space="preserve"> being the mortality rate due to HPAI infection. </w:t>
      </w:r>
      <w:r w:rsidR="006E1B16">
        <w:rPr>
          <w:rFonts w:eastAsiaTheme="minorEastAsia"/>
        </w:rPr>
        <w:t xml:space="preserve">Parameter values are provided in Table A2. </w:t>
      </w:r>
      <w:r>
        <w:rPr>
          <w:rFonts w:eastAsiaTheme="minorEastAsia"/>
        </w:rPr>
        <w:t xml:space="preserve">This model was based on the one developed for HPAI and LPAI in waterfowl in North America </w:t>
      </w:r>
      <w:r>
        <w:rPr>
          <w:rFonts w:eastAsiaTheme="minorEastAsia"/>
        </w:rPr>
        <w:fldChar w:fldCharType="begin"/>
      </w:r>
      <w:r w:rsidR="009F541F">
        <w:rPr>
          <w:rFonts w:eastAsiaTheme="minorEastAsia"/>
        </w:rPr>
        <w:instrText xml:space="preserve"> ADDIN ZOTERO_ITEM CSL_CITATION {"citationID":"H9WyfmdD","properties":{"formattedCitation":"(H\\uc0\\u233{}naux {\\i{}et al.} 2010)","plainCitation":"(Hénaux et al. 2010)","noteIndex":0},"citationItems":[{"id":9478,"uris":["http://zotero.org/users/634364/items/HCXC2LI8"],"itemData":{"id":9478,"type":"article-journal","abstract":"There is growing interest in avian influenza (AI) epidemiology to predict disease risk in wild and domestic birds, and prevent transmission to humans. However, understanding the epidemic dynamics of highly pathogenic (HPAI) viruses remains challenging because they have rarely been detected in wild birds. We used modeling to integrate available scientific information from laboratory and field studies, evaluate AI dynamics in individual hosts and waterfowl populations, and identify key areas for future research. We developed a Susceptible-Exposed-Infectious-Recovered (SEIR) model and used published laboratory challenge studies to estimate epidemiological parameters (rate of infection, latency period, recovery and mortality rates), considering the importance of age classes, and virus pathogenicity. Infectious contact leads to infection and virus shedding within 1–2 days, followed by relatively slower period for recovery or mortality. We found a shorter infectious period for HPAI than low pathogenic (LP) AI, which may explain that HPAI has been much harder to detect than LPAI during surveillance programs. Our model predicted a rapid LPAI epidemic curve, with a median duration of infection of 50–60 days and no fatalities. In contrast, HPAI dynamics had lower prevalence and higher mortality, especially in young birds. Based on field data from LPAI studies, our model suggests to increase surveillance for HPAI in post-breeding areas, because the presence of immunologically na¨ıve young birds is predicted to cause higher HPAI prevalence and bird losses during this season. Our results indicate a better understanding of the transmission, infection, and immunity-related processes is required to refine predictions of AI risk and spread, improve surveillance for HPAI in wild birds, and develop disease control strategies to reduce potential transmission to domestic birds and/or humans.","container-title":"PLoS ONE","DOI":"10.1371/journal.pone.0010997","ISSN":"1932-6203","issue":"6","journalAbbreviation":"PLoS ONE","language":"en","page":"e10997","source":"DOI.org (Crossref)","title":"Model-Based Evaluation of Highly and Low Pathogenic Avian Influenza Dynamics in Wild Birds","volume":"5","author":[{"family":"Hénaux","given":"Viviane"},{"family":"Samuel","given":"Michael D."},{"family":"Bunck","given":"Christine M."}],"editor":[{"family":"Cornell","given":"Stephen J."}],"issued":{"date-parts":[["2010",6,23]]}}}],"schema":"https://github.com/citation-style-language/schema/raw/master/csl-citation.json"} </w:instrText>
      </w:r>
      <w:r>
        <w:rPr>
          <w:rFonts w:eastAsiaTheme="minorEastAsia"/>
        </w:rPr>
        <w:fldChar w:fldCharType="separate"/>
      </w:r>
      <w:r w:rsidR="009F541F" w:rsidRPr="009F541F">
        <w:t xml:space="preserve">(Hénaux </w:t>
      </w:r>
      <w:r w:rsidR="009F541F" w:rsidRPr="00DA5824">
        <w:t>et al.</w:t>
      </w:r>
      <w:r w:rsidR="009F541F" w:rsidRPr="007847C7">
        <w:t xml:space="preserve"> </w:t>
      </w:r>
      <w:r w:rsidR="009F541F" w:rsidRPr="009F541F">
        <w:t>2010)</w:t>
      </w:r>
      <w:r>
        <w:rPr>
          <w:rFonts w:eastAsiaTheme="minorEastAsia"/>
        </w:rPr>
        <w:fldChar w:fldCharType="end"/>
      </w:r>
      <w:r>
        <w:rPr>
          <w:rFonts w:eastAsiaTheme="minorEastAsia"/>
        </w:rPr>
        <w:t>, and represents the dynamics of AI in a population closed to births, natural deaths, immigration or emigration.</w:t>
      </w:r>
      <w:r w:rsidR="00BE3EC4">
        <w:rPr>
          <w:rFonts w:eastAsiaTheme="minorEastAsia"/>
        </w:rPr>
        <w:t xml:space="preserve"> </w:t>
      </w:r>
      <w:r>
        <w:rPr>
          <w:rFonts w:eastAsiaTheme="minorEastAsia"/>
        </w:rPr>
        <w:t>The rationale for assuming the population to be closed to natural births and deaths is that an outbreak of HPAI in a susceptible host would be rapid, such that the population dynamics of the host can be ignored for the duration of the epidemic. This model was used as the basis for the construction of the stochastic individual-based model.</w:t>
      </w:r>
    </w:p>
    <w:p w14:paraId="1E068A95" w14:textId="77F65DC4" w:rsidR="00C74F9D" w:rsidRDefault="00C74F9D" w:rsidP="00CA6E95">
      <w:pPr>
        <w:pStyle w:val="Caption-Table"/>
        <w:rPr>
          <w:rFonts w:eastAsiaTheme="minorEastAsia"/>
        </w:rPr>
      </w:pPr>
      <w:bookmarkStart w:id="151" w:name="_Toc198634148"/>
      <w:r w:rsidRPr="00FC1044">
        <w:rPr>
          <w:rFonts w:eastAsiaTheme="minorEastAsia"/>
        </w:rPr>
        <w:t xml:space="preserve">Table </w:t>
      </w:r>
      <w:r>
        <w:rPr>
          <w:rFonts w:eastAsiaTheme="minorEastAsia"/>
        </w:rPr>
        <w:t>A2.</w:t>
      </w:r>
      <w:r w:rsidR="00BE3EC4">
        <w:rPr>
          <w:rFonts w:eastAsiaTheme="minorEastAsia"/>
        </w:rPr>
        <w:t xml:space="preserve"> </w:t>
      </w:r>
      <w:r>
        <w:rPr>
          <w:rFonts w:eastAsiaTheme="minorEastAsia"/>
        </w:rPr>
        <w:t>Parameter values used to model an outbreak of HPAI in Little Penguins.</w:t>
      </w:r>
      <w:r w:rsidR="00BE3EC4">
        <w:rPr>
          <w:rFonts w:eastAsiaTheme="minorEastAsia"/>
        </w:rPr>
        <w:t xml:space="preserve"> </w:t>
      </w:r>
      <w:r>
        <w:rPr>
          <w:rFonts w:eastAsiaTheme="minorEastAsia"/>
        </w:rPr>
        <w:t>Parameter values are per day.</w:t>
      </w:r>
      <w:bookmarkEnd w:id="151"/>
    </w:p>
    <w:tbl>
      <w:tblPr>
        <w:tblStyle w:val="TableGrid10"/>
        <w:tblW w:w="5000" w:type="pct"/>
        <w:tblLook w:val="04A0" w:firstRow="1" w:lastRow="0" w:firstColumn="1" w:lastColumn="0" w:noHBand="0" w:noVBand="1"/>
      </w:tblPr>
      <w:tblGrid>
        <w:gridCol w:w="1584"/>
        <w:gridCol w:w="5514"/>
        <w:gridCol w:w="2541"/>
      </w:tblGrid>
      <w:tr w:rsidR="00C74F9D" w14:paraId="05C9A90D" w14:textId="77777777" w:rsidTr="00DE5B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2" w:type="pct"/>
          </w:tcPr>
          <w:p w14:paraId="7BFF2BB3" w14:textId="77777777" w:rsidR="00C74F9D" w:rsidRDefault="00C74F9D" w:rsidP="00DA5824">
            <w:pPr>
              <w:pStyle w:val="Tableheadingtext"/>
              <w:rPr>
                <w:rFonts w:eastAsiaTheme="minorEastAsia"/>
              </w:rPr>
            </w:pPr>
            <w:r>
              <w:rPr>
                <w:rFonts w:eastAsiaTheme="minorEastAsia"/>
              </w:rPr>
              <w:t>Parameter</w:t>
            </w:r>
          </w:p>
        </w:tc>
        <w:tc>
          <w:tcPr>
            <w:tcW w:w="2860" w:type="pct"/>
          </w:tcPr>
          <w:p w14:paraId="073C6D5D" w14:textId="77777777" w:rsidR="00C74F9D" w:rsidRDefault="00C74F9D" w:rsidP="00DA5824">
            <w:pPr>
              <w:pStyle w:val="Tableheadingtext"/>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Description </w:t>
            </w:r>
          </w:p>
        </w:tc>
        <w:tc>
          <w:tcPr>
            <w:tcW w:w="1318" w:type="pct"/>
          </w:tcPr>
          <w:p w14:paraId="343C3BAA" w14:textId="77777777" w:rsidR="00C74F9D" w:rsidRDefault="00C74F9D" w:rsidP="00DA5824">
            <w:pPr>
              <w:pStyle w:val="Tableheadingtext"/>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Values (day</w:t>
            </w:r>
            <w:r w:rsidRPr="00FC1044">
              <w:rPr>
                <w:rFonts w:eastAsiaTheme="minorEastAsia"/>
                <w:vertAlign w:val="superscript"/>
              </w:rPr>
              <w:t>-1</w:t>
            </w:r>
            <w:r>
              <w:rPr>
                <w:rFonts w:eastAsiaTheme="minorEastAsia"/>
              </w:rPr>
              <w:t>)</w:t>
            </w:r>
          </w:p>
        </w:tc>
      </w:tr>
      <w:tr w:rsidR="00DE5B7B" w14:paraId="3810EDC3" w14:textId="77777777" w:rsidTr="00DE5B7B">
        <w:tc>
          <w:tcPr>
            <w:cnfStyle w:val="001000000000" w:firstRow="0" w:lastRow="0" w:firstColumn="1" w:lastColumn="0" w:oddVBand="0" w:evenVBand="0" w:oddHBand="0" w:evenHBand="0" w:firstRowFirstColumn="0" w:firstRowLastColumn="0" w:lastRowFirstColumn="0" w:lastRowLastColumn="0"/>
            <w:tcW w:w="822" w:type="pct"/>
          </w:tcPr>
          <w:p w14:paraId="5B495317" w14:textId="6F9D9897" w:rsidR="00DE5B7B" w:rsidRDefault="00DE5B7B">
            <w:pPr>
              <w:spacing w:after="0"/>
              <w:jc w:val="center"/>
            </w:pPr>
            <m:oMathPara>
              <m:oMath>
                <m:r>
                  <w:rPr>
                    <w:rFonts w:ascii="Cambria Math" w:hAnsi="Cambria Math"/>
                  </w:rPr>
                  <m:t>N</m:t>
                </m:r>
              </m:oMath>
            </m:oMathPara>
          </w:p>
        </w:tc>
        <w:tc>
          <w:tcPr>
            <w:tcW w:w="2860" w:type="pct"/>
          </w:tcPr>
          <w:p w14:paraId="27057AFD" w14:textId="22423101" w:rsidR="00DE5B7B" w:rsidRDefault="00DE5B7B">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Initial population size</w:t>
            </w:r>
          </w:p>
        </w:tc>
        <w:tc>
          <w:tcPr>
            <w:tcW w:w="1318" w:type="pct"/>
          </w:tcPr>
          <w:p w14:paraId="184C0964" w14:textId="001230FE" w:rsidR="00DE5B7B" w:rsidRDefault="00DE5B7B">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1000</w:t>
            </w:r>
          </w:p>
        </w:tc>
      </w:tr>
      <w:tr w:rsidR="00C74F9D" w14:paraId="2AB8DBC8" w14:textId="77777777" w:rsidTr="00DE5B7B">
        <w:tc>
          <w:tcPr>
            <w:cnfStyle w:val="001000000000" w:firstRow="0" w:lastRow="0" w:firstColumn="1" w:lastColumn="0" w:oddVBand="0" w:evenVBand="0" w:oddHBand="0" w:evenHBand="0" w:firstRowFirstColumn="0" w:firstRowLastColumn="0" w:lastRowFirstColumn="0" w:lastRowLastColumn="0"/>
            <w:tcW w:w="822" w:type="pct"/>
          </w:tcPr>
          <w:p w14:paraId="2467055B" w14:textId="77777777" w:rsidR="00C74F9D" w:rsidRPr="0004667A" w:rsidRDefault="00C74F9D">
            <w:pPr>
              <w:spacing w:after="0"/>
              <w:jc w:val="center"/>
              <w:rPr>
                <w:rFonts w:eastAsiaTheme="minorEastAsia"/>
                <w:b/>
                <w:bCs/>
                <w:iCs/>
              </w:rPr>
            </w:pPr>
            <m:oMathPara>
              <m:oMath>
                <m:r>
                  <m:rPr>
                    <m:sty m:val="p"/>
                  </m:rPr>
                  <w:rPr>
                    <w:rFonts w:ascii="Cambria Math" w:eastAsiaTheme="minorEastAsia" w:hAnsi="Cambria Math"/>
                  </w:rPr>
                  <m:t>β</m:t>
                </m:r>
              </m:oMath>
            </m:oMathPara>
          </w:p>
        </w:tc>
        <w:tc>
          <w:tcPr>
            <w:tcW w:w="2860" w:type="pct"/>
          </w:tcPr>
          <w:p w14:paraId="1F453F4A" w14:textId="77777777"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Transmission rate (scaled to initial </w:t>
            </w:r>
            <m:oMath>
              <m:r>
                <w:rPr>
                  <w:rFonts w:ascii="Cambria Math" w:eastAsiaTheme="minorEastAsia" w:hAnsi="Cambria Math"/>
                </w:rPr>
                <m:t>N</m:t>
              </m:r>
            </m:oMath>
            <w:r>
              <w:rPr>
                <w:rFonts w:eastAsiaTheme="minorEastAsia"/>
              </w:rPr>
              <w:t>)</w:t>
            </w:r>
          </w:p>
        </w:tc>
        <w:tc>
          <w:tcPr>
            <w:tcW w:w="1318" w:type="pct"/>
          </w:tcPr>
          <w:p w14:paraId="3E99BB72" w14:textId="30F6B28A"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0.00</w:t>
            </w:r>
            <w:r w:rsidR="00DE5B7B">
              <w:rPr>
                <w:rFonts w:eastAsiaTheme="minorEastAsia"/>
              </w:rPr>
              <w:t>085</w:t>
            </w:r>
            <w:r>
              <w:rPr>
                <w:rFonts w:eastAsiaTheme="minorEastAsia"/>
              </w:rPr>
              <w:t xml:space="preserve"> </w:t>
            </w:r>
          </w:p>
        </w:tc>
      </w:tr>
      <w:tr w:rsidR="00C74F9D" w14:paraId="4774C40D" w14:textId="77777777" w:rsidTr="00DE5B7B">
        <w:tc>
          <w:tcPr>
            <w:cnfStyle w:val="001000000000" w:firstRow="0" w:lastRow="0" w:firstColumn="1" w:lastColumn="0" w:oddVBand="0" w:evenVBand="0" w:oddHBand="0" w:evenHBand="0" w:firstRowFirstColumn="0" w:firstRowLastColumn="0" w:lastRowFirstColumn="0" w:lastRowLastColumn="0"/>
            <w:tcW w:w="822" w:type="pct"/>
          </w:tcPr>
          <w:p w14:paraId="69B8D344" w14:textId="77777777" w:rsidR="00C74F9D" w:rsidRPr="0004667A" w:rsidRDefault="00C74F9D">
            <w:pPr>
              <w:spacing w:after="0"/>
              <w:jc w:val="center"/>
              <w:rPr>
                <w:rFonts w:eastAsiaTheme="minorEastAsia"/>
                <w:b/>
                <w:bCs/>
                <w:iCs/>
              </w:rPr>
            </w:pPr>
            <m:oMathPara>
              <m:oMath>
                <m:r>
                  <m:rPr>
                    <m:sty m:val="p"/>
                  </m:rPr>
                  <w:rPr>
                    <w:rFonts w:ascii="Cambria Math" w:eastAsiaTheme="minorEastAsia" w:hAnsi="Cambria Math"/>
                  </w:rPr>
                  <m:t>υ</m:t>
                </m:r>
              </m:oMath>
            </m:oMathPara>
          </w:p>
        </w:tc>
        <w:tc>
          <w:tcPr>
            <w:tcW w:w="2860" w:type="pct"/>
          </w:tcPr>
          <w:p w14:paraId="728DC77E" w14:textId="2C0A8F11"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Recovery rate</w:t>
            </w:r>
            <w:r w:rsidR="00DE5B7B">
              <w:rPr>
                <w:rFonts w:eastAsiaTheme="minorEastAsia"/>
              </w:rPr>
              <w:t xml:space="preserve"> (inverse of infectious period)</w:t>
            </w:r>
          </w:p>
        </w:tc>
        <w:tc>
          <w:tcPr>
            <w:tcW w:w="1318" w:type="pct"/>
          </w:tcPr>
          <w:p w14:paraId="442B2D47" w14:textId="331CE8C2"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w:t>
            </w:r>
            <w:r w:rsidR="004707E6">
              <w:rPr>
                <w:rFonts w:eastAsiaTheme="minorEastAsia"/>
              </w:rPr>
              <w:t>5</w:t>
            </w:r>
            <w:r>
              <w:rPr>
                <w:rFonts w:eastAsiaTheme="minorEastAsia"/>
              </w:rPr>
              <w:t xml:space="preserve"> </w:t>
            </w:r>
          </w:p>
        </w:tc>
      </w:tr>
      <w:tr w:rsidR="00C74F9D" w14:paraId="62821371" w14:textId="77777777" w:rsidTr="00DE5B7B">
        <w:tc>
          <w:tcPr>
            <w:cnfStyle w:val="001000000000" w:firstRow="0" w:lastRow="0" w:firstColumn="1" w:lastColumn="0" w:oddVBand="0" w:evenVBand="0" w:oddHBand="0" w:evenHBand="0" w:firstRowFirstColumn="0" w:firstRowLastColumn="0" w:lastRowFirstColumn="0" w:lastRowLastColumn="0"/>
            <w:tcW w:w="822" w:type="pct"/>
          </w:tcPr>
          <w:p w14:paraId="6591F698" w14:textId="77777777" w:rsidR="00C74F9D" w:rsidRPr="0004667A" w:rsidRDefault="00C74F9D">
            <w:pPr>
              <w:spacing w:after="0"/>
              <w:jc w:val="center"/>
              <w:rPr>
                <w:rFonts w:eastAsiaTheme="minorEastAsia"/>
                <w:b/>
                <w:bCs/>
                <w:iCs/>
              </w:rPr>
            </w:pPr>
            <m:oMathPara>
              <m:oMath>
                <m:r>
                  <m:rPr>
                    <m:sty m:val="p"/>
                  </m:rPr>
                  <w:rPr>
                    <w:rFonts w:ascii="Cambria Math" w:eastAsiaTheme="minorEastAsia" w:hAnsi="Cambria Math"/>
                  </w:rPr>
                  <m:t>α</m:t>
                </m:r>
              </m:oMath>
            </m:oMathPara>
          </w:p>
        </w:tc>
        <w:tc>
          <w:tcPr>
            <w:tcW w:w="2860" w:type="pct"/>
          </w:tcPr>
          <w:p w14:paraId="2BAE1730" w14:textId="77777777"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Disease-induced mortality rate</w:t>
            </w:r>
          </w:p>
        </w:tc>
        <w:tc>
          <w:tcPr>
            <w:tcW w:w="1318" w:type="pct"/>
          </w:tcPr>
          <w:p w14:paraId="50BC4A7A" w14:textId="77777777"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1/10</w:t>
            </w:r>
          </w:p>
        </w:tc>
      </w:tr>
      <w:tr w:rsidR="00C74F9D" w14:paraId="15F1D273" w14:textId="77777777" w:rsidTr="00DE5B7B">
        <w:tc>
          <w:tcPr>
            <w:cnfStyle w:val="001000000000" w:firstRow="0" w:lastRow="0" w:firstColumn="1" w:lastColumn="0" w:oddVBand="0" w:evenVBand="0" w:oddHBand="0" w:evenHBand="0" w:firstRowFirstColumn="0" w:firstRowLastColumn="0" w:lastRowFirstColumn="0" w:lastRowLastColumn="0"/>
            <w:tcW w:w="822" w:type="pct"/>
          </w:tcPr>
          <w:p w14:paraId="3330D02F" w14:textId="77777777" w:rsidR="00C74F9D" w:rsidRPr="0004667A" w:rsidRDefault="00C74F9D">
            <w:pPr>
              <w:spacing w:after="0"/>
              <w:jc w:val="center"/>
              <w:rPr>
                <w:rFonts w:ascii="Aptos" w:eastAsia="Aptos" w:hAnsi="Aptos" w:cs="Times New Roman"/>
                <w:b/>
                <w:bCs/>
                <w:iCs/>
              </w:rPr>
            </w:pPr>
            <m:oMathPara>
              <m:oMath>
                <m:r>
                  <m:rPr>
                    <m:sty m:val="p"/>
                  </m:rPr>
                  <w:rPr>
                    <w:rFonts w:ascii="Cambria Math" w:eastAsia="Aptos" w:hAnsi="Cambria Math" w:cs="Times New Roman"/>
                  </w:rPr>
                  <m:t>γ</m:t>
                </m:r>
              </m:oMath>
            </m:oMathPara>
          </w:p>
        </w:tc>
        <w:tc>
          <w:tcPr>
            <w:tcW w:w="2860" w:type="pct"/>
          </w:tcPr>
          <w:p w14:paraId="72AF77C2" w14:textId="77777777"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Vaccination rate</w:t>
            </w:r>
          </w:p>
        </w:tc>
        <w:tc>
          <w:tcPr>
            <w:tcW w:w="1318" w:type="pct"/>
          </w:tcPr>
          <w:p w14:paraId="509241C4" w14:textId="7C1759F2"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Variable [0–95%]</w:t>
            </w:r>
          </w:p>
        </w:tc>
      </w:tr>
      <w:tr w:rsidR="00C74F9D" w14:paraId="689CF8D6" w14:textId="77777777" w:rsidTr="00DE5B7B">
        <w:tc>
          <w:tcPr>
            <w:cnfStyle w:val="001000000000" w:firstRow="0" w:lastRow="0" w:firstColumn="1" w:lastColumn="0" w:oddVBand="0" w:evenVBand="0" w:oddHBand="0" w:evenHBand="0" w:firstRowFirstColumn="0" w:firstRowLastColumn="0" w:lastRowFirstColumn="0" w:lastRowLastColumn="0"/>
            <w:tcW w:w="822" w:type="pct"/>
          </w:tcPr>
          <w:p w14:paraId="79233BDF" w14:textId="77777777" w:rsidR="00C74F9D" w:rsidRPr="0004667A" w:rsidRDefault="00C74F9D">
            <w:pPr>
              <w:spacing w:after="0"/>
              <w:jc w:val="center"/>
              <w:rPr>
                <w:rFonts w:ascii="Aptos" w:eastAsia="Aptos" w:hAnsi="Aptos" w:cs="Times New Roman"/>
                <w:b/>
                <w:bCs/>
                <w:iCs/>
              </w:rPr>
            </w:pPr>
            <m:oMathPara>
              <m:oMath>
                <m:r>
                  <m:rPr>
                    <m:sty m:val="p"/>
                  </m:rPr>
                  <w:rPr>
                    <w:rFonts w:ascii="Cambria Math" w:eastAsia="Aptos" w:hAnsi="Cambria Math" w:cs="Times New Roman"/>
                  </w:rPr>
                  <m:t>ω</m:t>
                </m:r>
              </m:oMath>
            </m:oMathPara>
          </w:p>
        </w:tc>
        <w:tc>
          <w:tcPr>
            <w:tcW w:w="2860" w:type="pct"/>
          </w:tcPr>
          <w:p w14:paraId="57BCDFC2" w14:textId="24881176"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Loss of vaccine immunity</w:t>
            </w:r>
          </w:p>
        </w:tc>
        <w:tc>
          <w:tcPr>
            <w:tcW w:w="1318" w:type="pct"/>
          </w:tcPr>
          <w:p w14:paraId="03E0F829" w14:textId="77777777" w:rsidR="00C74F9D" w:rsidRDefault="00C74F9D">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1/175</w:t>
            </w:r>
          </w:p>
        </w:tc>
      </w:tr>
    </w:tbl>
    <w:p w14:paraId="54F4F999" w14:textId="77777777" w:rsidR="00C74F9D" w:rsidRDefault="00C74F9D" w:rsidP="001E2D13">
      <w:pPr>
        <w:rPr>
          <w:rFonts w:eastAsiaTheme="minorEastAsia"/>
        </w:rPr>
      </w:pPr>
    </w:p>
    <w:p w14:paraId="4998B84C" w14:textId="26E299F1" w:rsidR="0071016C" w:rsidRDefault="0071016C" w:rsidP="0071016C">
      <w:r>
        <w:t xml:space="preserve">To model vaccination strategies for Little Penguins, we assumed that vaccination was applied over </w:t>
      </w:r>
      <w:proofErr w:type="gramStart"/>
      <w:r>
        <w:t>a period of time</w:t>
      </w:r>
      <w:proofErr w:type="gramEnd"/>
      <w:r>
        <w:t xml:space="preserve"> (e.g. one month) reflective of the amount of time taken to achieve the required rate of population coverage.</w:t>
      </w:r>
      <w:r w:rsidR="00BE3EC4">
        <w:t xml:space="preserve"> </w:t>
      </w:r>
      <w:r>
        <w:t>To facilitate this, an extra vaccinated class</w:t>
      </w:r>
      <w:r w:rsidR="008D1236">
        <w:t>,</w:t>
      </w:r>
      <w:r>
        <w:t xml:space="preserve"> </w:t>
      </w:r>
      <m:oMath>
        <m:r>
          <w:rPr>
            <w:rFonts w:ascii="Cambria Math" w:hAnsi="Cambria Math"/>
          </w:rPr>
          <m:t>V</m:t>
        </m:r>
      </m:oMath>
      <w:r w:rsidR="008D1236">
        <w:t>,</w:t>
      </w:r>
      <w:r>
        <w:rPr>
          <w:rFonts w:eastAsiaTheme="minorEastAsia"/>
        </w:rPr>
        <w:t xml:space="preserve"> </w:t>
      </w:r>
      <w:r>
        <w:t>was added to the model with vaccinated individuals added progressively over the designated period.</w:t>
      </w:r>
      <w:r w:rsidR="00BE3EC4">
        <w:t xml:space="preserve"> </w:t>
      </w:r>
      <w:r w:rsidR="008D1236">
        <w:t xml:space="preserve">Therefore, </w:t>
      </w:r>
      <w:r>
        <w:t>the model was modified with the following additions:</w:t>
      </w:r>
    </w:p>
    <w:p w14:paraId="02E32915" w14:textId="77777777" w:rsidR="0071016C" w:rsidRPr="00386F25" w:rsidRDefault="0071016C" w:rsidP="0071016C">
      <w:pPr>
        <w:spacing w:line="360" w:lineRule="auto"/>
        <w:rPr>
          <w:rFonts w:ascii="Cambria Math" w:eastAsiaTheme="minorEastAsia" w:hAnsi="Cambria Math"/>
          <w:i/>
        </w:rPr>
      </w:pPr>
      <w:r>
        <w:t xml:space="preserve"> </w:t>
      </w:r>
      <w:r w:rsidRPr="00D515F9">
        <w:rPr>
          <w:rFonts w:ascii="Cambria Math" w:hAnsi="Cambria Math"/>
          <w:i/>
        </w:rPr>
        <w:br/>
      </w:r>
      <m:oMathPara>
        <m:oMath>
          <m:f>
            <m:fPr>
              <m:ctrlPr>
                <w:rPr>
                  <w:rFonts w:ascii="Cambria Math" w:hAnsi="Cambria Math"/>
                  <w:i/>
                </w:rPr>
              </m:ctrlPr>
            </m:fPr>
            <m:num>
              <m:r>
                <w:rPr>
                  <w:rFonts w:ascii="Cambria Math" w:hAnsi="Cambria Math"/>
                </w:rPr>
                <m:t>dS</m:t>
              </m:r>
            </m:num>
            <m:den>
              <m:r>
                <w:rPr>
                  <w:rFonts w:ascii="Cambria Math" w:hAnsi="Cambria Math"/>
                </w:rPr>
                <m:t>dt</m:t>
              </m:r>
            </m:den>
          </m:f>
          <m:r>
            <m:rPr>
              <m:aln/>
            </m:rPr>
            <w:rPr>
              <w:rFonts w:ascii="Cambria Math" w:hAnsi="Cambria Math"/>
            </w:rPr>
            <m:t>=-βSI-γS+ωV</m:t>
          </m:r>
          <m:r>
            <m:rPr>
              <m:sty m:val="p"/>
            </m:rPr>
            <w:rPr>
              <w:rFonts w:ascii="Cambria Math" w:hAnsi="Cambria Math"/>
            </w:rPr>
            <w:br/>
          </m:r>
        </m:oMath>
        <m:oMath>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=γS-ωV</m:t>
          </m:r>
        </m:oMath>
      </m:oMathPara>
    </w:p>
    <w:p w14:paraId="5FABCC90" w14:textId="600F3DEB" w:rsidR="0071016C" w:rsidRDefault="0071016C" w:rsidP="0071016C">
      <w:pPr>
        <w:rPr>
          <w:rFonts w:eastAsiaTheme="minorEastAsia"/>
        </w:rPr>
      </w:pPr>
      <w:r>
        <w:t xml:space="preserve">Where </w:t>
      </w:r>
      <m:oMath>
        <m:r>
          <w:rPr>
            <w:rFonts w:ascii="Cambria Math" w:hAnsi="Cambria Math"/>
          </w:rPr>
          <m:t>γ</m:t>
        </m:r>
      </m:oMath>
      <w:r>
        <w:rPr>
          <w:rFonts w:eastAsiaTheme="minorEastAsia"/>
        </w:rPr>
        <w:t xml:space="preserve"> is the rate of vaccination and </w:t>
      </w:r>
      <m:oMath>
        <m:r>
          <w:rPr>
            <w:rFonts w:ascii="Cambria Math" w:eastAsiaTheme="minorEastAsia" w:hAnsi="Cambria Math"/>
          </w:rPr>
          <m:t>ω</m:t>
        </m:r>
      </m:oMath>
      <w:r>
        <w:rPr>
          <w:rFonts w:eastAsiaTheme="minorEastAsia"/>
        </w:rPr>
        <w:t xml:space="preserve"> is the rate of loss of vaccine immunity, which was set at 1/175 (Table </w:t>
      </w:r>
      <w:r w:rsidR="009B5D6C">
        <w:rPr>
          <w:rFonts w:eastAsiaTheme="minorEastAsia"/>
        </w:rPr>
        <w:t>A2</w:t>
      </w:r>
      <w:r>
        <w:rPr>
          <w:rFonts w:eastAsiaTheme="minorEastAsia"/>
        </w:rPr>
        <w:t>).</w:t>
      </w:r>
      <w:r w:rsidR="00BE3EC4">
        <w:rPr>
          <w:rFonts w:eastAsiaTheme="minorEastAsia"/>
        </w:rPr>
        <w:t xml:space="preserve"> </w:t>
      </w:r>
      <w:r>
        <w:rPr>
          <w:rFonts w:eastAsiaTheme="minorEastAsia"/>
        </w:rPr>
        <w:t xml:space="preserve">To achieve a desired proportion of vaccine coverage (e.g. 80%), the daily vaccination rate </w:t>
      </w:r>
      <m:oMath>
        <m:r>
          <w:rPr>
            <w:rFonts w:ascii="Cambria Math" w:eastAsiaTheme="minorEastAsia" w:hAnsi="Cambria Math"/>
          </w:rPr>
          <m:t>γ</m:t>
        </m:r>
      </m:oMath>
      <w:r>
        <w:rPr>
          <w:rFonts w:eastAsiaTheme="minorEastAsia"/>
        </w:rPr>
        <w:t xml:space="preserve"> was calculated as </w:t>
      </w:r>
      <m:oMath>
        <m:f>
          <m:fPr>
            <m:type m:val="lin"/>
            <m:ctrlPr>
              <w:rPr>
                <w:rFonts w:ascii="Cambria Math" w:eastAsiaTheme="minorEastAsia" w:hAnsi="Cambria Math"/>
                <w:i/>
              </w:rPr>
            </m:ctrlPr>
          </m:fPr>
          <m:num>
            <m:r>
              <w:rPr>
                <w:rFonts w:ascii="Cambria Math" w:eastAsiaTheme="minorEastAsia" w:hAnsi="Cambria Math"/>
              </w:rPr>
              <m:t>-</m:t>
            </m:r>
            <m:r>
              <m:rPr>
                <m:nor/>
              </m:rPr>
              <w:rPr>
                <w:rFonts w:ascii="Cambria Math" w:eastAsiaTheme="minorEastAsia" w:hAnsi="Cambria Math"/>
              </w:rPr>
              <m:t>log</m:t>
            </m:r>
            <m:d>
              <m:dPr>
                <m:ctrlPr>
                  <w:rPr>
                    <w:rFonts w:ascii="Cambria Math" w:eastAsiaTheme="minorEastAsia" w:hAnsi="Cambria Math"/>
                    <w:i/>
                  </w:rPr>
                </m:ctrlPr>
              </m:dPr>
              <m:e>
                <m:r>
                  <w:rPr>
                    <w:rFonts w:ascii="Cambria Math" w:eastAsiaTheme="minorEastAsia" w:hAnsi="Cambria Math"/>
                  </w:rPr>
                  <m:t>1-p</m:t>
                </m:r>
              </m:e>
            </m:d>
          </m:num>
          <m:den>
            <m:r>
              <w:rPr>
                <w:rFonts w:ascii="Cambria Math" w:eastAsiaTheme="minorEastAsia" w:hAnsi="Cambria Math"/>
              </w:rPr>
              <m:t>τ</m:t>
            </m:r>
          </m:den>
        </m:f>
      </m:oMath>
      <w:r>
        <w:rPr>
          <w:rFonts w:eastAsiaTheme="minorEastAsia"/>
        </w:rPr>
        <w:t xml:space="preserve"> ,</w:t>
      </w:r>
      <w:r w:rsidR="00BE3EC4">
        <w:rPr>
          <w:rFonts w:eastAsiaTheme="minorEastAsia"/>
        </w:rPr>
        <w:t xml:space="preserve"> </w:t>
      </w:r>
      <w:r>
        <w:rPr>
          <w:rFonts w:eastAsiaTheme="minorEastAsia"/>
        </w:rPr>
        <w:t xml:space="preserve">where </w:t>
      </w:r>
      <m:oMath>
        <m:r>
          <w:rPr>
            <w:rFonts w:ascii="Cambria Math" w:eastAsiaTheme="minorEastAsia" w:hAnsi="Cambria Math"/>
          </w:rPr>
          <m:t>p</m:t>
        </m:r>
      </m:oMath>
      <w:r>
        <w:rPr>
          <w:rFonts w:eastAsiaTheme="minorEastAsia"/>
        </w:rPr>
        <w:t xml:space="preserve"> is the desired proportional coverage and </w:t>
      </w:r>
      <m:oMath>
        <m:r>
          <w:rPr>
            <w:rFonts w:ascii="Cambria Math" w:eastAsiaTheme="minorEastAsia" w:hAnsi="Cambria Math"/>
          </w:rPr>
          <m:t>τ</m:t>
        </m:r>
      </m:oMath>
      <w:r>
        <w:rPr>
          <w:rFonts w:eastAsiaTheme="minorEastAsia"/>
        </w:rPr>
        <w:t xml:space="preserve"> is the period (days) where the vaccine was applied.</w:t>
      </w:r>
      <w:r w:rsidR="00BE3EC4">
        <w:rPr>
          <w:rFonts w:eastAsiaTheme="minorEastAsia"/>
        </w:rPr>
        <w:t xml:space="preserve"> </w:t>
      </w:r>
      <w:r>
        <w:rPr>
          <w:rFonts w:eastAsiaTheme="minorEastAsia"/>
        </w:rPr>
        <w:t>We investigated scenarios where vaccination was applied prophylactically (e.g. just prior to disease arrival) as well as when diseased birds were first detected, which was assumed to be one week following initial disease arrival.</w:t>
      </w:r>
      <w:r w:rsidR="00BE3EC4">
        <w:rPr>
          <w:rFonts w:eastAsiaTheme="minorEastAsia"/>
        </w:rPr>
        <w:t xml:space="preserve"> </w:t>
      </w:r>
      <w:r>
        <w:rPr>
          <w:rFonts w:eastAsiaTheme="minorEastAsia"/>
        </w:rPr>
        <w:t>We examined varying rates of vaccine coverage between 20% and 95% of the population vaccinated.</w:t>
      </w:r>
    </w:p>
    <w:p w14:paraId="4359C3DE" w14:textId="77777777" w:rsidR="008D1236" w:rsidRDefault="008D1236" w:rsidP="00D24740">
      <w:pPr>
        <w:rPr>
          <w:rFonts w:eastAsiaTheme="minorEastAsia"/>
        </w:rPr>
      </w:pPr>
    </w:p>
    <w:p w14:paraId="15FA9E98" w14:textId="77777777" w:rsidR="008D1236" w:rsidRDefault="008D1236" w:rsidP="00D24740">
      <w:pPr>
        <w:rPr>
          <w:rFonts w:eastAsiaTheme="minorEastAsia"/>
        </w:rPr>
      </w:pPr>
    </w:p>
    <w:p w14:paraId="5F9C9F16" w14:textId="5E38844C" w:rsidR="00D24740" w:rsidRDefault="00D24740" w:rsidP="00D24740">
      <w:pPr>
        <w:rPr>
          <w:rFonts w:eastAsiaTheme="minorEastAsia"/>
        </w:rPr>
      </w:pPr>
      <w:r>
        <w:rPr>
          <w:rFonts w:eastAsiaTheme="minorEastAsia"/>
        </w:rPr>
        <w:t xml:space="preserve">Using the default parameter values (Table </w:t>
      </w:r>
      <w:r w:rsidR="009B5D6C">
        <w:rPr>
          <w:rFonts w:eastAsiaTheme="minorEastAsia"/>
        </w:rPr>
        <w:t>A2</w:t>
      </w:r>
      <w:r>
        <w:rPr>
          <w:rFonts w:eastAsiaTheme="minorEastAsia"/>
        </w:rPr>
        <w:t xml:space="preserve">), the basic disease reproduction number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e>
        </m:d>
      </m:oMath>
      <w:r>
        <w:rPr>
          <w:rFonts w:eastAsiaTheme="minorEastAsia"/>
        </w:rPr>
        <w:t xml:space="preserve"> of HPAI in Little Penguins in this model system is given by </w:t>
      </w:r>
      <w:r>
        <w:rPr>
          <w:rFonts w:eastAsiaTheme="minorEastAsia"/>
        </w:rPr>
        <w:fldChar w:fldCharType="begin"/>
      </w:r>
      <w:r>
        <w:rPr>
          <w:rFonts w:eastAsiaTheme="minorEastAsia"/>
        </w:rPr>
        <w:instrText xml:space="preserve"> ADDIN ZOTERO_ITEM CSL_CITATION {"citationID":"jeFww9xE","properties":{"formattedCitation":"(e.g., Caley and Ramsey 2001)","plainCitation":"(e.g., Caley and Ramsey 2001)","noteIndex":0},"citationItems":[{"id":5406,"uris":["http://zotero.org/users/634364/items/MVKXELHI"],"itemData":{"id":5406,"type":"article-journal","abstract":"1. We present methods for estimating disease transmission coefficients in wildlife, using Leptospira interrogans infection (a bacterial disease transmitted predominantly during social contacts) in brushtail possums Trichosurus vulpecula as a model system. 2. Using data from a field experiment conducted on a naturally infected possum population, we estimated disease transmission coefficients assuming either 'density-dependent' or 'frequency-dependent' transmission. 3. A model-selection approach determined that density-dependent transmission was the most appropriate form of the transmission of L. interrogans infection in brushtail possums. 4. We used the chosen model of transmission to examine experimentally the effect of tubally ligating female brushtail possums on the epidemiology of L. interrogans. The estimated transmission coefficient was 28% higher (P = 0.16) in populations subject to tubal ligation, raising the possibility that fertility control of this type may increase disease transmission rates. 5. Altering mating behaviour through fertility control may have the potential to control diseases such as bovine tuberculosis in brushtail possums, although the potential of fertility control techniques to change disease transmission coefficients and disease epidemiology requires further investigation. This would require models that examine the combined effects of fertility control on population dynamics, social behaviour and disease transmission coefficients simultaneously. [References: 68]","container-title":"Journal of Applied Ecology","issue":"6","page":"1362-1370","title":"Estimating disease transmission in wildlife, with emphasis on leptospirosis and bovine tuberculosis in possums, and effects of fertility control","volume":"38","author":[{"family":"Caley","given":"P."},{"family":"Ramsey","given":"D."}],"issued":{"date-parts":[["2001"]]}},"label":"page","prefix":"e.g., "}],"schema":"https://github.com/citation-style-language/schema/raw/master/csl-citation.json"} </w:instrText>
      </w:r>
      <w:r>
        <w:rPr>
          <w:rFonts w:eastAsiaTheme="minorEastAsia"/>
        </w:rPr>
        <w:fldChar w:fldCharType="separate"/>
      </w:r>
      <w:r w:rsidR="009F541F" w:rsidRPr="009B5D6C">
        <w:rPr>
          <w:rFonts w:eastAsiaTheme="minorEastAsia"/>
        </w:rPr>
        <w:t>(</w:t>
      </w:r>
      <w:r w:rsidR="005B24DC">
        <w:rPr>
          <w:rFonts w:eastAsiaTheme="minorEastAsia"/>
        </w:rPr>
        <w:t xml:space="preserve">e.g. </w:t>
      </w:r>
      <w:r w:rsidR="009F541F" w:rsidRPr="009B5D6C">
        <w:rPr>
          <w:rFonts w:eastAsiaTheme="minorEastAsia"/>
        </w:rPr>
        <w:t>Caley and Ramsey 2001)</w:t>
      </w:r>
      <w:r>
        <w:rPr>
          <w:rFonts w:eastAsiaTheme="minorEastAsia"/>
        </w:rPr>
        <w:fldChar w:fldCharType="end"/>
      </w:r>
      <w:r>
        <w:rPr>
          <w:rFonts w:eastAsiaTheme="minorEastAsia"/>
        </w:rPr>
        <w:t>:</w:t>
      </w:r>
    </w:p>
    <w:p w14:paraId="168FE83C" w14:textId="77777777" w:rsidR="00D24740" w:rsidRDefault="00000000" w:rsidP="00D24740">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βN</m:t>
              </m:r>
            </m:num>
            <m:den>
              <m:r>
                <w:rPr>
                  <w:rFonts w:ascii="Cambria Math" w:eastAsiaTheme="minorEastAsia" w:hAnsi="Cambria Math"/>
                </w:rPr>
                <m:t>α+υ</m:t>
              </m:r>
            </m:den>
          </m:f>
        </m:oMath>
      </m:oMathPara>
    </w:p>
    <w:p w14:paraId="29CD0616" w14:textId="6053E329" w:rsidR="00D24740" w:rsidRDefault="00D24740" w:rsidP="00D24740">
      <w:pPr>
        <w:rPr>
          <w:rFonts w:eastAsiaTheme="minorEastAsia"/>
        </w:rPr>
      </w:pPr>
      <w:r>
        <w:rPr>
          <w:rFonts w:eastAsiaTheme="minorEastAsia"/>
        </w:rPr>
        <w:t>which, for an initial population of susceptible penguins (</w:t>
      </w:r>
      <m:oMath>
        <m:r>
          <w:rPr>
            <w:rFonts w:ascii="Cambria Math" w:eastAsiaTheme="minorEastAsia" w:hAnsi="Cambria Math"/>
          </w:rPr>
          <m:t>N</m:t>
        </m:r>
      </m:oMath>
      <w:r>
        <w:rPr>
          <w:rFonts w:eastAsiaTheme="minorEastAsia"/>
        </w:rPr>
        <w:t xml:space="preserve">) of 1000 gives an estimate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oMath>
      <w:r>
        <w:rPr>
          <w:rFonts w:eastAsiaTheme="minorEastAsia"/>
        </w:rPr>
        <w:t xml:space="preserve"> = </w:t>
      </w:r>
      <w:r w:rsidR="002752FE">
        <w:rPr>
          <w:rFonts w:eastAsiaTheme="minorEastAsia"/>
        </w:rPr>
        <w:t>2</w:t>
      </w:r>
      <w:r>
        <w:rPr>
          <w:rFonts w:eastAsiaTheme="minorEastAsia"/>
        </w:rPr>
        <w:t>.</w:t>
      </w:r>
      <w:r w:rsidR="002752FE">
        <w:rPr>
          <w:rFonts w:eastAsiaTheme="minorEastAsia"/>
        </w:rPr>
        <w:t>7</w:t>
      </w:r>
      <w:r>
        <w:rPr>
          <w:rFonts w:eastAsiaTheme="minorEastAsia"/>
        </w:rPr>
        <w:t xml:space="preserve">, which is within the plausible range of values assumed for HPAI in waterfowl </w:t>
      </w:r>
      <w:r>
        <w:rPr>
          <w:rFonts w:eastAsiaTheme="minorEastAsia"/>
        </w:rPr>
        <w:fldChar w:fldCharType="begin"/>
      </w:r>
      <w:r w:rsidR="009F541F">
        <w:rPr>
          <w:rFonts w:eastAsiaTheme="minorEastAsia"/>
        </w:rPr>
        <w:instrText xml:space="preserve"> ADDIN ZOTERO_ITEM CSL_CITATION {"citationID":"h3l1FBmb","properties":{"formattedCitation":"(Bourouiba {\\i{}et al.} 2011)","plainCitation":"(Bourouiba et al. 2011)","noteIndex":0},"citationItems":[{"id":9491,"uris":["http://zotero.org/users/634364/items/83LNUK7I"],"itemData":{"id":9491,"type":"article-journal","abstract":"The spread of highly pathogenic avian inﬂuenza (HPAI) H5N1 remains a threat for both wild and domestic bird populations, while low pathogenic avian inﬂuenza (LPAI) strains have been reported to induce partial immunity to HPAI in poultry and some wild birds inoculated with both HPAI and LPAI strains. Here, based on the reported data and experiments, we develop a two-strain avian inﬂuenza model to examine the extent to which this partial immunity observed at the individual level can affect the outcome of the outbreaks among migratory birds in the wild at the population level during different seasons. We ﬁnd a distinct mitigating effect of LPAI on the death toll induced by HPAI strain, and this effect is particularly important for populations previously exposed to and recovered from LPAI. We further investigate the effect of the dominant mode of transmission of an HPAI strain on the outcome of the epidemic. Four combinations of contact based direct transmission and indirect fecal-to-oral (or environmental) routes are examined. For a given infection peak of HPAI, indirect fecal-to-oral transmission of HPAI can lead to a higher death toll than that associated with direct transmission. The mitigating effect of LPAI can, in turn, be dependent on the route of infection of HPAI.","container-title":"Journal of Theoretical Biology","DOI":"10.1016/j.jtbi.2010.11.013","ISSN":"00225193","issue":"1","journalAbbreviation":"Journal of Theoretical Biology","language":"en","license":"https://www.elsevier.com/tdm/userlicense/1.0/","page":"181-201","source":"DOI.org (Crossref)","title":"Highly pathogenic avian influenza outbreak mitigated by seasonal low pathogenic strains: Insights from dynamic modeling","title-short":"Highly pathogenic avian influenza outbreak mitigated by seasonal low pathogenic strains","volume":"271","author":[{"family":"Bourouiba","given":"L."},{"family":"Teslya","given":"A."},{"family":"Wu","given":"J."}],"issued":{"date-parts":[["2011",2]]}}}],"schema":"https://github.com/citation-style-language/schema/raw/master/csl-citation.json"} </w:instrText>
      </w:r>
      <w:r>
        <w:rPr>
          <w:rFonts w:eastAsiaTheme="minorEastAsia"/>
        </w:rPr>
        <w:fldChar w:fldCharType="separate"/>
      </w:r>
      <w:r w:rsidR="009F541F" w:rsidRPr="009B5D6C">
        <w:rPr>
          <w:rFonts w:eastAsiaTheme="minorEastAsia"/>
        </w:rPr>
        <w:t>(Bourouiba et al. 2011)</w:t>
      </w:r>
      <w:r>
        <w:rPr>
          <w:rFonts w:eastAsiaTheme="minorEastAsia"/>
        </w:rPr>
        <w:fldChar w:fldCharType="end"/>
      </w:r>
      <w:r>
        <w:rPr>
          <w:rFonts w:eastAsiaTheme="minorEastAsia"/>
        </w:rPr>
        <w:t>.</w:t>
      </w:r>
    </w:p>
    <w:p w14:paraId="4F94DC7C" w14:textId="393837F8" w:rsidR="00251A6E" w:rsidRDefault="00251A6E" w:rsidP="00251A6E">
      <w:pPr>
        <w:rPr>
          <w:rFonts w:eastAsiaTheme="minorEastAsia"/>
        </w:rPr>
      </w:pPr>
      <w:r>
        <w:rPr>
          <w:rFonts w:eastAsiaTheme="minorEastAsia"/>
        </w:rPr>
        <w:t xml:space="preserve">Simulation of the 250 random sets of parameter values using Latin Hypercube </w:t>
      </w:r>
      <w:r w:rsidR="007F1C87">
        <w:rPr>
          <w:rFonts w:eastAsiaTheme="minorEastAsia"/>
        </w:rPr>
        <w:t>s</w:t>
      </w:r>
      <w:r>
        <w:rPr>
          <w:rFonts w:eastAsiaTheme="minorEastAsia"/>
        </w:rPr>
        <w:t>ampling revealed the potential variation in the response of Little Penguins to HPAI to variation in the key epidemiological parameters.</w:t>
      </w:r>
      <w:r w:rsidR="00BE3EC4">
        <w:rPr>
          <w:rFonts w:eastAsiaTheme="minorEastAsia"/>
        </w:rPr>
        <w:t xml:space="preserve"> </w:t>
      </w:r>
      <w:r>
        <w:rPr>
          <w:rFonts w:eastAsiaTheme="minorEastAsia"/>
        </w:rPr>
        <w:t xml:space="preserve">The proportion of deaths in the population (mortality rate) was most sensitive to variation in the transmission rate </w:t>
      </w:r>
      <m:oMath>
        <m:d>
          <m:dPr>
            <m:ctrlPr>
              <w:rPr>
                <w:rFonts w:ascii="Cambria Math" w:eastAsiaTheme="minorEastAsia" w:hAnsi="Cambria Math"/>
                <w:i/>
              </w:rPr>
            </m:ctrlPr>
          </m:dPr>
          <m:e>
            <m:r>
              <w:rPr>
                <w:rFonts w:ascii="Cambria Math" w:eastAsiaTheme="minorEastAsia" w:hAnsi="Cambria Math"/>
              </w:rPr>
              <m:t>β</m:t>
            </m:r>
          </m:e>
        </m:d>
      </m:oMath>
      <w:r>
        <w:rPr>
          <w:rFonts w:eastAsiaTheme="minorEastAsia"/>
        </w:rPr>
        <w:t xml:space="preserve">, the mortality rate due to HPAI </w:t>
      </w:r>
      <m:oMath>
        <m:d>
          <m:dPr>
            <m:ctrlPr>
              <w:rPr>
                <w:rFonts w:ascii="Cambria Math" w:eastAsiaTheme="minorEastAsia" w:hAnsi="Cambria Math"/>
                <w:i/>
              </w:rPr>
            </m:ctrlPr>
          </m:dPr>
          <m:e>
            <m:r>
              <w:rPr>
                <w:rFonts w:ascii="Cambria Math" w:eastAsiaTheme="minorEastAsia" w:hAnsi="Cambria Math"/>
              </w:rPr>
              <m:t>α</m:t>
            </m:r>
          </m:e>
        </m:d>
      </m:oMath>
      <w:r>
        <w:rPr>
          <w:rFonts w:eastAsiaTheme="minorEastAsia"/>
        </w:rPr>
        <w:t xml:space="preserve"> as well as the recovery rate </w:t>
      </w:r>
      <m:oMath>
        <m:d>
          <m:dPr>
            <m:ctrlPr>
              <w:rPr>
                <w:rFonts w:ascii="Cambria Math" w:eastAsiaTheme="minorEastAsia" w:hAnsi="Cambria Math"/>
                <w:i/>
              </w:rPr>
            </m:ctrlPr>
          </m:dPr>
          <m:e>
            <m:r>
              <w:rPr>
                <w:rFonts w:ascii="Cambria Math" w:eastAsiaTheme="minorEastAsia" w:hAnsi="Cambria Math"/>
              </w:rPr>
              <m:t>υ</m:t>
            </m:r>
          </m:e>
        </m:d>
      </m:oMath>
      <w:r>
        <w:rPr>
          <w:rFonts w:eastAsiaTheme="minorEastAsia"/>
        </w:rPr>
        <w:t xml:space="preserve">, while peak HPAI prevalence was most sensitive to the transmission rate as well as the recovery rate (Figure </w:t>
      </w:r>
      <w:r w:rsidR="009B5D6C">
        <w:rPr>
          <w:rFonts w:eastAsiaTheme="minorEastAsia"/>
        </w:rPr>
        <w:t>A4</w:t>
      </w:r>
      <w:r>
        <w:rPr>
          <w:rFonts w:eastAsiaTheme="minorEastAsia"/>
        </w:rPr>
        <w:t>).</w:t>
      </w:r>
      <w:r w:rsidR="00BE3EC4">
        <w:rPr>
          <w:rFonts w:eastAsiaTheme="minorEastAsia"/>
        </w:rPr>
        <w:t xml:space="preserve"> </w:t>
      </w:r>
      <w:r>
        <w:rPr>
          <w:rFonts w:eastAsiaTheme="minorEastAsia"/>
        </w:rPr>
        <w:t xml:space="preserve">In general, the epidemiology of HPAI appeared to be little influenced by variation in the latent period </w:t>
      </w:r>
      <m:oMath>
        <m:d>
          <m:dPr>
            <m:ctrlPr>
              <w:rPr>
                <w:rFonts w:ascii="Cambria Math" w:eastAsiaTheme="minorEastAsia" w:hAnsi="Cambria Math"/>
                <w:i/>
              </w:rPr>
            </m:ctrlPr>
          </m:dPr>
          <m:e>
            <m:r>
              <w:rPr>
                <w:rFonts w:ascii="Cambria Math" w:eastAsiaTheme="minorEastAsia" w:hAnsi="Cambria Math"/>
              </w:rPr>
              <m:t>σ</m:t>
            </m:r>
          </m:e>
        </m:d>
      </m:oMath>
      <w:r>
        <w:rPr>
          <w:rFonts w:eastAsiaTheme="minorEastAsia"/>
        </w:rPr>
        <w:t xml:space="preserve"> (Figure </w:t>
      </w:r>
      <w:r w:rsidR="009B5D6C">
        <w:rPr>
          <w:rFonts w:eastAsiaTheme="minorEastAsia"/>
        </w:rPr>
        <w:t>A4</w:t>
      </w:r>
      <w:r>
        <w:rPr>
          <w:rFonts w:eastAsiaTheme="minorEastAsia"/>
        </w:rPr>
        <w:t>).</w:t>
      </w:r>
    </w:p>
    <w:p w14:paraId="02813550" w14:textId="3CC7EF33" w:rsidR="0091026F" w:rsidRDefault="0091026F" w:rsidP="00251A6E">
      <w:pPr>
        <w:rPr>
          <w:rFonts w:eastAsiaTheme="minorEastAsia"/>
        </w:rPr>
      </w:pPr>
      <w:r>
        <w:rPr>
          <w:rFonts w:eastAsiaTheme="minorEastAsia"/>
        </w:rPr>
        <w:t xml:space="preserve">Further results relating to the effect of vaccination against HPAI on Little Penguins are given in Figure A5 and A6. These are discussed in detail in </w:t>
      </w:r>
      <w:r w:rsidR="008D1236">
        <w:rPr>
          <w:rFonts w:eastAsiaTheme="minorEastAsia"/>
        </w:rPr>
        <w:t>S</w:t>
      </w:r>
      <w:r>
        <w:rPr>
          <w:rFonts w:eastAsiaTheme="minorEastAsia"/>
        </w:rPr>
        <w:t>ection 3.5.2.</w:t>
      </w:r>
    </w:p>
    <w:p w14:paraId="281D7269" w14:textId="77777777" w:rsidR="00251A6E" w:rsidRDefault="00251A6E" w:rsidP="00251A6E">
      <w:pPr>
        <w:jc w:val="center"/>
      </w:pPr>
      <w:r>
        <w:rPr>
          <w:noProof/>
        </w:rPr>
        <w:drawing>
          <wp:inline distT="0" distB="0" distL="0" distR="0" wp14:anchorId="7CA4FC18" wp14:editId="18CD1103">
            <wp:extent cx="5479085" cy="3503712"/>
            <wp:effectExtent l="0" t="0" r="7620" b="1905"/>
            <wp:docPr id="1312875918" name="Picture 28" descr="A graph of different valu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75918" name="Picture 28" descr="A graph of different values&#10;&#10;Description automatically generated with medium confidence"/>
                    <pic:cNvPicPr/>
                  </pic:nvPicPr>
                  <pic:blipFill rotWithShape="1">
                    <a:blip r:embed="rId76" cstate="screen">
                      <a:extLst>
                        <a:ext uri="{28A0092B-C50C-407E-A947-70E740481C1C}">
                          <a14:useLocalDpi xmlns:a14="http://schemas.microsoft.com/office/drawing/2010/main" val="0"/>
                        </a:ext>
                      </a:extLst>
                    </a:blip>
                    <a:srcRect/>
                    <a:stretch/>
                  </pic:blipFill>
                  <pic:spPr bwMode="auto">
                    <a:xfrm>
                      <a:off x="0" y="0"/>
                      <a:ext cx="5479506" cy="3503981"/>
                    </a:xfrm>
                    <a:prstGeom prst="rect">
                      <a:avLst/>
                    </a:prstGeom>
                    <a:ln>
                      <a:noFill/>
                    </a:ln>
                    <a:extLst>
                      <a:ext uri="{53640926-AAD7-44D8-BBD7-CCE9431645EC}">
                        <a14:shadowObscured xmlns:a14="http://schemas.microsoft.com/office/drawing/2010/main"/>
                      </a:ext>
                    </a:extLst>
                  </pic:spPr>
                </pic:pic>
              </a:graphicData>
            </a:graphic>
          </wp:inline>
        </w:drawing>
      </w:r>
    </w:p>
    <w:p w14:paraId="6BAFBA8E" w14:textId="63A323AF" w:rsidR="00251A6E" w:rsidRDefault="00251A6E" w:rsidP="00CA6E95">
      <w:pPr>
        <w:pStyle w:val="Caption-Figure"/>
      </w:pPr>
      <w:bookmarkStart w:id="152" w:name="_Toc198634184"/>
      <w:r>
        <w:t xml:space="preserve">Figure </w:t>
      </w:r>
      <w:r w:rsidR="00BE74D6">
        <w:t>A4</w:t>
      </w:r>
      <w:r>
        <w:t>. Sensitivity of the mortality rate</w:t>
      </w:r>
      <w:r w:rsidR="008D1236">
        <w:t xml:space="preserve"> (left)</w:t>
      </w:r>
      <w:r>
        <w:t xml:space="preserve"> </w:t>
      </w:r>
      <w:r w:rsidR="008D1236">
        <w:t xml:space="preserve">due to </w:t>
      </w:r>
      <w:r>
        <w:t xml:space="preserve">and peak prevalence </w:t>
      </w:r>
      <w:r w:rsidR="008D1236">
        <w:t>(right) of</w:t>
      </w:r>
      <w:r>
        <w:t xml:space="preserve"> HPAI in Little Penguins</w:t>
      </w:r>
      <w:r w:rsidR="008D1236">
        <w:t xml:space="preserve">, with respect to </w:t>
      </w:r>
      <w:r>
        <w:t>variation in the key epidemiological parameters.</w:t>
      </w:r>
      <w:bookmarkEnd w:id="152"/>
    </w:p>
    <w:p w14:paraId="6CF0A1E9" w14:textId="77777777" w:rsidR="00BB0E53" w:rsidRDefault="00BB0E53" w:rsidP="00251A6E"/>
    <w:p w14:paraId="28C0AD86" w14:textId="0B5792B5" w:rsidR="007B10A0" w:rsidRDefault="00104088" w:rsidP="007B10A0">
      <w:pPr>
        <w:jc w:val="center"/>
        <w:rPr>
          <w:rFonts w:eastAsiaTheme="minorEastAsia"/>
        </w:rPr>
      </w:pPr>
      <w:r>
        <w:rPr>
          <w:rFonts w:eastAsiaTheme="minorEastAsia"/>
          <w:noProof/>
        </w:rPr>
        <w:drawing>
          <wp:inline distT="0" distB="0" distL="0" distR="0" wp14:anchorId="39A3DEE1" wp14:editId="441C9D58">
            <wp:extent cx="5482800" cy="4377600"/>
            <wp:effectExtent l="0" t="0" r="3810" b="4445"/>
            <wp:docPr id="1633000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0005" name="Picture 163300005"/>
                    <pic:cNvPicPr/>
                  </pic:nvPicPr>
                  <pic:blipFill>
                    <a:blip r:embed="rId77" cstate="screen">
                      <a:extLst>
                        <a:ext uri="{28A0092B-C50C-407E-A947-70E740481C1C}">
                          <a14:useLocalDpi xmlns:a14="http://schemas.microsoft.com/office/drawing/2010/main" val="0"/>
                        </a:ext>
                      </a:extLst>
                    </a:blip>
                    <a:stretch>
                      <a:fillRect/>
                    </a:stretch>
                  </pic:blipFill>
                  <pic:spPr>
                    <a:xfrm>
                      <a:off x="0" y="0"/>
                      <a:ext cx="5482800" cy="4377600"/>
                    </a:xfrm>
                    <a:prstGeom prst="rect">
                      <a:avLst/>
                    </a:prstGeom>
                  </pic:spPr>
                </pic:pic>
              </a:graphicData>
            </a:graphic>
          </wp:inline>
        </w:drawing>
      </w:r>
    </w:p>
    <w:p w14:paraId="02CDB324" w14:textId="20712D4F" w:rsidR="007B10A0" w:rsidRDefault="007B10A0" w:rsidP="007B10A0">
      <w:pPr>
        <w:pStyle w:val="Caption-Figure"/>
      </w:pPr>
      <w:bookmarkStart w:id="153" w:name="_Toc198634185"/>
      <w:r>
        <w:t xml:space="preserve">Figure A5. Trajectories for total population (N) and mortality rate (D) under vaccination programs achieving varying levels of population coverage. Vaccination was assumed to be applied just prior to </w:t>
      </w:r>
      <w:r w:rsidR="008D1236">
        <w:t xml:space="preserve">the </w:t>
      </w:r>
      <w:r>
        <w:t>arrival of HPAI.</w:t>
      </w:r>
      <w:bookmarkEnd w:id="153"/>
      <w:r w:rsidR="00995A3D">
        <w:t xml:space="preserve"> </w:t>
      </w:r>
    </w:p>
    <w:p w14:paraId="178CD7B9" w14:textId="77777777" w:rsidR="007B10A0" w:rsidRDefault="007B10A0" w:rsidP="00251A6E"/>
    <w:p w14:paraId="09E62BDD" w14:textId="3A785645" w:rsidR="007B10A0" w:rsidRDefault="00794522" w:rsidP="007B10A0">
      <w:pPr>
        <w:jc w:val="center"/>
        <w:rPr>
          <w:rFonts w:eastAsiaTheme="minorEastAsia"/>
        </w:rPr>
      </w:pPr>
      <w:r>
        <w:rPr>
          <w:rFonts w:eastAsiaTheme="minorEastAsia"/>
          <w:noProof/>
        </w:rPr>
        <w:drawing>
          <wp:inline distT="0" distB="0" distL="0" distR="0" wp14:anchorId="35927068" wp14:editId="75D694EF">
            <wp:extent cx="5482800" cy="4377600"/>
            <wp:effectExtent l="0" t="0" r="3810" b="4445"/>
            <wp:docPr id="1187781090" name="Picture 8" descr="A diagram of vaccination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81090" name="Picture 8" descr="A diagram of vaccination rate&#10;&#10;AI-generated content may be incorrect."/>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5482800" cy="4377600"/>
                    </a:xfrm>
                    <a:prstGeom prst="rect">
                      <a:avLst/>
                    </a:prstGeom>
                  </pic:spPr>
                </pic:pic>
              </a:graphicData>
            </a:graphic>
          </wp:inline>
        </w:drawing>
      </w:r>
    </w:p>
    <w:p w14:paraId="362F02CD" w14:textId="1E6B7193" w:rsidR="007B10A0" w:rsidRDefault="007B10A0" w:rsidP="007B10A0">
      <w:pPr>
        <w:pStyle w:val="Caption-Figure"/>
      </w:pPr>
      <w:bookmarkStart w:id="154" w:name="_Toc198634186"/>
      <w:r>
        <w:t>Figure A6. Trajectories for total population (N) and mortality rate (D) under vaccination programs achieving varying levels of population coverage. Vaccination was assumed to be initiated 5 days following the arrival of HPAI, taking 30 days to achieve the desired level of population coverage.</w:t>
      </w:r>
      <w:bookmarkEnd w:id="154"/>
    </w:p>
    <w:p w14:paraId="648D5F10" w14:textId="4AFB7A98" w:rsidR="00BB0E53" w:rsidRDefault="00E07B96" w:rsidP="008A69D5">
      <w:pPr>
        <w:pStyle w:val="Heading2-Numbered"/>
      </w:pPr>
      <w:bookmarkStart w:id="155" w:name="_Toc196318872"/>
      <w:bookmarkStart w:id="156" w:name="_Toc196417942"/>
      <w:bookmarkStart w:id="157" w:name="_Toc196419819"/>
      <w:bookmarkStart w:id="158" w:name="_Toc196492754"/>
      <w:bookmarkStart w:id="159" w:name="_Toc198634131"/>
      <w:bookmarkEnd w:id="155"/>
      <w:bookmarkEnd w:id="156"/>
      <w:bookmarkEnd w:id="157"/>
      <w:bookmarkEnd w:id="158"/>
      <w:r>
        <w:t>White Nose Syndrome</w:t>
      </w:r>
      <w:r w:rsidR="00BB0E53">
        <w:t xml:space="preserve"> in </w:t>
      </w:r>
      <w:r w:rsidR="00A67F12">
        <w:t>Southern Bent-wing Bats</w:t>
      </w:r>
      <w:bookmarkEnd w:id="159"/>
    </w:p>
    <w:p w14:paraId="48CB9126" w14:textId="11DD984B" w:rsidR="00BB0E53" w:rsidRPr="00097629" w:rsidRDefault="00C56F9B" w:rsidP="00BB0E53">
      <w:r>
        <w:rPr>
          <w:rFonts w:eastAsiaTheme="minorEastAsia"/>
        </w:rPr>
        <w:t>Th</w:t>
      </w:r>
      <w:r w:rsidR="00BB0E53" w:rsidRPr="00097629">
        <w:rPr>
          <w:rFonts w:eastAsiaTheme="minorEastAsia"/>
        </w:rPr>
        <w:t>e dynamics of SBWB</w:t>
      </w:r>
      <w:r w:rsidR="008D1236">
        <w:rPr>
          <w:rFonts w:eastAsiaTheme="minorEastAsia"/>
        </w:rPr>
        <w:t>s</w:t>
      </w:r>
      <w:r w:rsidR="00BB0E53" w:rsidRPr="00097629">
        <w:rPr>
          <w:rFonts w:eastAsiaTheme="minorEastAsia"/>
        </w:rPr>
        <w:t xml:space="preserve"> and epidemiology of WNS </w:t>
      </w:r>
      <w:r w:rsidR="001E1166">
        <w:rPr>
          <w:rFonts w:eastAsiaTheme="minorEastAsia"/>
        </w:rPr>
        <w:t xml:space="preserve">during </w:t>
      </w:r>
      <w:r w:rsidR="00617800">
        <w:rPr>
          <w:rFonts w:eastAsiaTheme="minorEastAsia"/>
        </w:rPr>
        <w:t>a period when bats are in torpor</w:t>
      </w:r>
      <w:r w:rsidR="001E1166">
        <w:rPr>
          <w:rFonts w:eastAsiaTheme="minorEastAsia"/>
        </w:rPr>
        <w:t xml:space="preserve"> </w:t>
      </w:r>
      <w:r>
        <w:rPr>
          <w:rFonts w:eastAsiaTheme="minorEastAsia"/>
        </w:rPr>
        <w:t>was represented by</w:t>
      </w:r>
      <w:r w:rsidR="001E1166">
        <w:rPr>
          <w:rFonts w:eastAsiaTheme="minorEastAsia"/>
        </w:rPr>
        <w:t xml:space="preserve"> the following set of differential equations.</w:t>
      </w:r>
      <w:r w:rsidR="00BB0E53" w:rsidRPr="00097629">
        <w:rPr>
          <w:rFonts w:eastAsiaTheme="minorEastAsia"/>
        </w:rPr>
        <w:t xml:space="preserve"> </w:t>
      </w:r>
    </w:p>
    <w:p w14:paraId="448C3EA3" w14:textId="585B035D" w:rsidR="00BB0E53" w:rsidRPr="00A40F5F" w:rsidRDefault="00000000" w:rsidP="00BB0E53">
      <w:pPr>
        <w:spacing w:line="360" w:lineRule="auto"/>
        <w:rPr>
          <w:rFonts w:eastAsiaTheme="minorEastAsia"/>
        </w:rPr>
      </w:pPr>
      <m:oMathPara>
        <m:oMath>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m:t>
          </m:r>
          <m:d>
            <m:dPr>
              <m:ctrlPr>
                <w:rPr>
                  <w:rFonts w:ascii="Cambria Math" w:hAnsi="Cambria Math"/>
                  <w:i/>
                </w:rPr>
              </m:ctrlPr>
            </m:dPr>
            <m:e>
              <m:r>
                <w:rPr>
                  <w:rFonts w:ascii="Cambria Math" w:hAnsi="Cambria Math"/>
                </w:rPr>
                <m:t>βI+ ψP</m:t>
              </m:r>
            </m:e>
          </m:d>
          <m:r>
            <w:rPr>
              <w:rFonts w:ascii="Cambria Math" w:hAnsi="Cambria Math"/>
            </w:rPr>
            <m:t>S- dS</m:t>
          </m:r>
          <m:r>
            <m:rPr>
              <m:sty m:val="p"/>
            </m:rPr>
            <w:rPr>
              <w:rFonts w:ascii="Cambria Math" w:hAnsi="Cambria Math"/>
            </w:rPr>
            <w:br/>
          </m:r>
        </m:oMath>
        <m:oMath>
          <m:f>
            <m:fPr>
              <m:ctrlPr>
                <w:rPr>
                  <w:rFonts w:ascii="Cambria Math" w:eastAsiaTheme="minorEastAsia" w:hAnsi="Cambria Math"/>
                  <w:i/>
                </w:rPr>
              </m:ctrlPr>
            </m:fPr>
            <m:num>
              <m:r>
                <w:rPr>
                  <w:rFonts w:ascii="Cambria Math" w:eastAsiaTheme="minorEastAsia" w:hAnsi="Cambria Math"/>
                </w:rPr>
                <m:t>dE</m:t>
              </m:r>
            </m:num>
            <m:den>
              <m:r>
                <w:rPr>
                  <w:rFonts w:ascii="Cambria Math" w:eastAsiaTheme="minorEastAsia" w:hAnsi="Cambria Math"/>
                </w:rPr>
                <m:t>dt</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βI+ ψP</m:t>
              </m:r>
            </m:e>
          </m:d>
          <m:r>
            <w:rPr>
              <w:rFonts w:ascii="Cambria Math" w:eastAsiaTheme="minorEastAsia" w:hAnsi="Cambria Math"/>
            </w:rPr>
            <m:t xml:space="preserve">S- </m:t>
          </m:r>
          <m:d>
            <m:dPr>
              <m:ctrlPr>
                <w:rPr>
                  <w:rFonts w:ascii="Cambria Math" w:eastAsiaTheme="minorEastAsia" w:hAnsi="Cambria Math"/>
                  <w:i/>
                </w:rPr>
              </m:ctrlPr>
            </m:dPr>
            <m:e>
              <m:r>
                <w:rPr>
                  <w:rFonts w:ascii="Cambria Math" w:eastAsiaTheme="minorEastAsia" w:hAnsi="Cambria Math"/>
                </w:rPr>
                <m:t>τ+d</m:t>
              </m:r>
            </m:e>
          </m:d>
          <m:r>
            <w:rPr>
              <w:rFonts w:ascii="Cambria Math" w:eastAsiaTheme="minorEastAsia" w:hAnsi="Cambria Math"/>
            </w:rPr>
            <m:t>E</m:t>
          </m:r>
          <m:r>
            <m:rPr>
              <m:sty m:val="p"/>
            </m:rPr>
            <w:rPr>
              <w:rFonts w:ascii="Cambria Math" w:eastAsiaTheme="minorEastAsia" w:hAnsi="Cambria Math"/>
            </w:rPr>
            <w:br/>
          </m:r>
        </m:oMath>
        <m:oMath>
          <m:f>
            <m:fPr>
              <m:ctrlPr>
                <w:rPr>
                  <w:rFonts w:ascii="Cambria Math" w:eastAsiaTheme="minorEastAsia" w:hAnsi="Cambria Math"/>
                  <w:i/>
                </w:rPr>
              </m:ctrlPr>
            </m:fPr>
            <m:num>
              <m:r>
                <w:rPr>
                  <w:rFonts w:ascii="Cambria Math" w:eastAsiaTheme="minorEastAsia" w:hAnsi="Cambria Math"/>
                </w:rPr>
                <m:t>dI</m:t>
              </m:r>
            </m:num>
            <m:den>
              <m:r>
                <w:rPr>
                  <w:rFonts w:ascii="Cambria Math" w:eastAsiaTheme="minorEastAsia" w:hAnsi="Cambria Math"/>
                </w:rPr>
                <m:t>dt</m:t>
              </m:r>
            </m:den>
          </m:f>
          <m:r>
            <m:rPr>
              <m:aln/>
            </m:rPr>
            <w:rPr>
              <w:rFonts w:ascii="Cambria Math" w:eastAsiaTheme="minorEastAsia" w:hAnsi="Cambria Math"/>
            </w:rPr>
            <m:t xml:space="preserve">=τE- </m:t>
          </m:r>
          <m:d>
            <m:dPr>
              <m:ctrlPr>
                <w:rPr>
                  <w:rFonts w:ascii="Cambria Math" w:eastAsiaTheme="minorEastAsia" w:hAnsi="Cambria Math"/>
                  <w:i/>
                </w:rPr>
              </m:ctrlPr>
            </m:dPr>
            <m:e>
              <m:r>
                <w:rPr>
                  <w:rFonts w:ascii="Cambria Math" w:eastAsiaTheme="minorEastAsia" w:hAnsi="Cambria Math"/>
                </w:rPr>
                <m:t>d+α</m:t>
              </m:r>
            </m:e>
          </m:d>
          <m:r>
            <w:rPr>
              <w:rFonts w:ascii="Cambria Math" w:eastAsiaTheme="minorEastAsia" w:hAnsi="Cambria Math"/>
            </w:rPr>
            <m:t>I</m:t>
          </m:r>
          <m:r>
            <m:rPr>
              <m:sty m:val="p"/>
            </m:rPr>
            <w:rPr>
              <w:rFonts w:ascii="Cambria Math" w:eastAsiaTheme="minorEastAsia" w:hAnsi="Cambria Math"/>
            </w:rPr>
            <w:br/>
          </m:r>
        </m:oMath>
        <m:oMath>
          <m:f>
            <m:fPr>
              <m:ctrlPr>
                <w:rPr>
                  <w:rFonts w:ascii="Cambria Math" w:eastAsiaTheme="minorEastAsia" w:hAnsi="Cambria Math"/>
                  <w:i/>
                </w:rPr>
              </m:ctrlPr>
            </m:fPr>
            <m:num>
              <m:r>
                <w:rPr>
                  <w:rFonts w:ascii="Cambria Math" w:eastAsiaTheme="minorEastAsia" w:hAnsi="Cambria Math"/>
                </w:rPr>
                <m:t>dP</m:t>
              </m:r>
            </m:num>
            <m:den>
              <m:r>
                <w:rPr>
                  <w:rFonts w:ascii="Cambria Math" w:eastAsiaTheme="minorEastAsia" w:hAnsi="Cambria Math"/>
                </w:rPr>
                <m:t>dt</m:t>
              </m:r>
            </m:den>
          </m:f>
          <m:r>
            <m:rPr>
              <m:sty m:val="p"/>
            </m:rPr>
            <w:rPr>
              <w:rFonts w:ascii="Cambria Math" w:eastAsiaTheme="minorEastAsia" w:hAnsi="Cambria Math"/>
            </w:rPr>
            <m:t>=</m:t>
          </m:r>
          <m:d>
            <m:dPr>
              <m:ctrlPr>
                <w:rPr>
                  <w:rFonts w:ascii="Cambria Math" w:eastAsiaTheme="minorEastAsia" w:hAnsi="Cambria Math"/>
                </w:rPr>
              </m:ctrlPr>
            </m:dPr>
            <m:e>
              <m:r>
                <w:rPr>
                  <w:rFonts w:ascii="Cambria Math" w:eastAsiaTheme="minorEastAsia" w:hAnsi="Cambria Math"/>
                </w:rPr>
                <m:t>ηP+ ωI</m:t>
              </m:r>
            </m:e>
          </m:d>
          <m:d>
            <m:dPr>
              <m:ctrlPr>
                <w:rPr>
                  <w:rFonts w:ascii="Cambria Math" w:eastAsiaTheme="minorEastAsia" w:hAnsi="Cambria Math"/>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P</m:t>
                  </m:r>
                </m:num>
                <m:den>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den>
              </m:f>
            </m:e>
          </m:d>
          <m:r>
            <m:rPr>
              <m:sty m:val="p"/>
            </m:rPr>
            <w:rPr>
              <w:rFonts w:ascii="Cambria Math" w:eastAsiaTheme="minorEastAsia" w:hAnsi="Cambria Math"/>
            </w:rPr>
            <w:br/>
          </m:r>
        </m:oMath>
        <m:oMath>
          <m:r>
            <w:rPr>
              <w:rFonts w:ascii="Cambria Math" w:eastAsiaTheme="minorEastAsia" w:hAnsi="Cambria Math"/>
            </w:rPr>
            <m:t>N</m:t>
          </m:r>
          <m:r>
            <m:rPr>
              <m:aln/>
            </m:rPr>
            <w:rPr>
              <w:rFonts w:ascii="Cambria Math" w:eastAsiaTheme="minorEastAsia" w:hAnsi="Cambria Math"/>
            </w:rPr>
            <m:t>=S+E+I</m:t>
          </m:r>
        </m:oMath>
      </m:oMathPara>
    </w:p>
    <w:p w14:paraId="68F7D431" w14:textId="4A6443DA" w:rsidR="00221035" w:rsidRDefault="00221035" w:rsidP="00221035">
      <w:pPr>
        <w:rPr>
          <w:rFonts w:eastAsiaTheme="minorEastAsia"/>
        </w:rPr>
      </w:pPr>
      <w:r w:rsidRPr="00C10921">
        <w:rPr>
          <w:rFonts w:eastAsiaTheme="minorEastAsia"/>
        </w:rPr>
        <w:t xml:space="preserve">Where </w:t>
      </w:r>
      <m:oMath>
        <m:r>
          <w:rPr>
            <w:rFonts w:ascii="Cambria Math" w:eastAsiaTheme="minorEastAsia" w:hAnsi="Cambria Math"/>
          </w:rPr>
          <m:t>S</m:t>
        </m:r>
      </m:oMath>
      <w:r w:rsidRPr="00C10921">
        <w:rPr>
          <w:rFonts w:eastAsiaTheme="minorEastAsia"/>
        </w:rPr>
        <w:t xml:space="preserve">, </w:t>
      </w:r>
      <m:oMath>
        <m:r>
          <w:rPr>
            <w:rFonts w:ascii="Cambria Math" w:eastAsiaTheme="minorEastAsia" w:hAnsi="Cambria Math"/>
          </w:rPr>
          <m:t>E</m:t>
        </m:r>
      </m:oMath>
      <w:r w:rsidRPr="00C10921">
        <w:rPr>
          <w:rFonts w:eastAsiaTheme="minorEastAsia"/>
        </w:rPr>
        <w:t xml:space="preserve">, </w:t>
      </w:r>
      <m:oMath>
        <m:r>
          <w:rPr>
            <w:rFonts w:ascii="Cambria Math" w:eastAsiaTheme="minorEastAsia" w:hAnsi="Cambria Math"/>
          </w:rPr>
          <m:t>I</m:t>
        </m:r>
      </m:oMath>
      <w:r w:rsidRPr="00C10921">
        <w:rPr>
          <w:rFonts w:eastAsiaTheme="minorEastAsia"/>
        </w:rPr>
        <w:t xml:space="preserve"> are abundance of susceptible, exposed and infected bats, respectively with the total population </w:t>
      </w:r>
      <m:oMath>
        <m:r>
          <w:rPr>
            <w:rFonts w:ascii="Cambria Math" w:eastAsiaTheme="minorEastAsia" w:hAnsi="Cambria Math"/>
          </w:rPr>
          <m:t>N=S+E+I</m:t>
        </m:r>
      </m:oMath>
      <w:r w:rsidRPr="00C10921">
        <w:rPr>
          <w:rFonts w:eastAsiaTheme="minorEastAsia"/>
        </w:rPr>
        <w:t>.</w:t>
      </w:r>
      <w:r w:rsidR="00BE3EC4">
        <w:rPr>
          <w:rFonts w:eastAsiaTheme="minorEastAsia"/>
        </w:rPr>
        <w:t xml:space="preserve"> </w:t>
      </w:r>
      <w:r w:rsidRPr="00C10921">
        <w:rPr>
          <w:rFonts w:eastAsiaTheme="minorEastAsia"/>
        </w:rPr>
        <w:t xml:space="preserve">The parameters </w:t>
      </w:r>
      <m:oMath>
        <m:r>
          <w:rPr>
            <w:rFonts w:ascii="Cambria Math" w:eastAsiaTheme="minorEastAsia" w:hAnsi="Cambria Math"/>
          </w:rPr>
          <m:t>β</m:t>
        </m:r>
      </m:oMath>
      <w:r w:rsidRPr="00C10921">
        <w:rPr>
          <w:rFonts w:eastAsiaTheme="minorEastAsia"/>
        </w:rPr>
        <w:t xml:space="preserve"> and </w:t>
      </w:r>
      <m:oMath>
        <m:r>
          <w:rPr>
            <w:rFonts w:ascii="Cambria Math" w:eastAsiaTheme="minorEastAsia" w:hAnsi="Cambria Math"/>
          </w:rPr>
          <m:t>ψ</m:t>
        </m:r>
      </m:oMath>
      <w:r w:rsidRPr="00C10921">
        <w:rPr>
          <w:rFonts w:eastAsiaTheme="minorEastAsia"/>
        </w:rPr>
        <w:t xml:space="preserve"> are the bat-to-bat and environment-to-bat transmission rates of WNS, respectively, where </w:t>
      </w:r>
      <m:oMath>
        <m:r>
          <w:rPr>
            <w:rFonts w:ascii="Cambria Math" w:eastAsiaTheme="minorEastAsia" w:hAnsi="Cambria Math"/>
          </w:rPr>
          <m:t>P</m:t>
        </m:r>
      </m:oMath>
      <w:r w:rsidRPr="00C10921">
        <w:rPr>
          <w:rFonts w:eastAsiaTheme="minorEastAsia"/>
        </w:rPr>
        <w:t xml:space="preserve"> represents the abundance of the pathogen in the cave environment </w:t>
      </w:r>
      <w:r w:rsidRPr="00C10921">
        <w:rPr>
          <w:rFonts w:eastAsiaTheme="minorEastAsia"/>
        </w:rPr>
        <w:fldChar w:fldCharType="begin"/>
      </w:r>
      <w:r w:rsidR="009F541F">
        <w:rPr>
          <w:rFonts w:eastAsiaTheme="minorEastAsia"/>
        </w:rPr>
        <w:instrText xml:space="preserve"> ADDIN ZOTERO_ITEM CSL_CITATION {"citationID":"W3qQZvnj","properties":{"formattedCitation":"(Meyer {\\i{}et al.} 2016)","plainCitation":"(Meyer et al. 2016)","noteIndex":0},"citationItems":[{"id":9493,"uris":["http://zotero.org/users/634364/items/H23I7GUY"],"itemData":{"id":9493,"type":"article-journal","abstract":"White-nose syndrome (WNS) is a lethal infection of bats caused by the psychrophilic fungus Pseudogymnoascus destructans (Pd). Since the ﬁrst cases of WNS were documented in 2006, it is estimated that as many as 5.5 million bats have succumbed in the United States—one of the fastest mammalian die-offs due to disease ever observed, and the ﬁrst known sustained epizootic of bats. WNS is contagious between bats, and mounting evidence suggests that a persistent environmental reservoir of Pd plays a signiﬁcant role in transmission as well. It is unclear, however, the relative contributions of bat-to-bat and environment-to-bat transmission to disease propagation within a colony. We analyze a mathematical model to investigate the consequences of both avenues of transmission on colony survival in addition to the efﬁcacy of disease control strategies. Our model shows that selection of the most effective control strategies is highly dependent on the primary route of WNS transmission. Under all scenarios, however, generalized culling is ineffective and while targeted culling of infected bats may be effective under idealized conditions, it primarily has negative consequences. Thus, understanding the signiﬁcance of environment-to-bat transmission is paramount to designing effective management plans.","container-title":"Journal of Theoretical Biology","DOI":"10.1016/j.jtbi.2016.08.033","ISSN":"00225193","journalAbbreviation":"Journal of Theoretical Biology","language":"en","page":"60-69","source":"DOI.org (Crossref)","title":"Predicting bat colony survival under controls targeting multiple transmission routes of white-nose syndrome","volume":"409","author":[{"family":"Meyer","given":"A.D."},{"family":"Stevens","given":"D.F."},{"family":"Blackwood","given":"J.C."}],"issued":{"date-parts":[["2016",11]]}}}],"schema":"https://github.com/citation-style-language/schema/raw/master/csl-citation.json"} </w:instrText>
      </w:r>
      <w:r w:rsidRPr="00C10921">
        <w:rPr>
          <w:rFonts w:eastAsiaTheme="minorEastAsia"/>
        </w:rPr>
        <w:fldChar w:fldCharType="separate"/>
      </w:r>
      <w:r w:rsidR="009F541F" w:rsidRPr="00215CCB">
        <w:t xml:space="preserve">(Meyer </w:t>
      </w:r>
      <w:r w:rsidR="009F541F" w:rsidRPr="00DA5824">
        <w:t>et al.</w:t>
      </w:r>
      <w:r w:rsidR="009F541F" w:rsidRPr="00215CCB">
        <w:t xml:space="preserve"> </w:t>
      </w:r>
      <w:r w:rsidR="009F541F" w:rsidRPr="009F541F">
        <w:t>2016)</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 xml:space="preserve">Bats exposed to the fungus become infected at a rate </w:t>
      </w:r>
      <m:oMath>
        <m:r>
          <w:rPr>
            <w:rFonts w:ascii="Cambria Math" w:eastAsiaTheme="minorEastAsia" w:hAnsi="Cambria Math"/>
          </w:rPr>
          <m:t>τ</m:t>
        </m:r>
      </m:oMath>
      <w:r w:rsidRPr="00C10921">
        <w:rPr>
          <w:rFonts w:eastAsiaTheme="minorEastAsia"/>
        </w:rPr>
        <w:t xml:space="preserve"> and </w:t>
      </w:r>
      <m:oMath>
        <m:r>
          <w:rPr>
            <w:rFonts w:ascii="Cambria Math" w:eastAsiaTheme="minorEastAsia" w:hAnsi="Cambria Math"/>
          </w:rPr>
          <m:t>ω</m:t>
        </m:r>
      </m:oMath>
      <w:r w:rsidRPr="00C10921">
        <w:rPr>
          <w:rFonts w:eastAsiaTheme="minorEastAsia"/>
        </w:rPr>
        <w:t xml:space="preserve"> is the rate of shedding of fungal spores from infected bats to the cave environment.</w:t>
      </w:r>
      <w:r w:rsidR="00BE3EC4">
        <w:rPr>
          <w:rFonts w:eastAsiaTheme="minorEastAsia"/>
        </w:rPr>
        <w:t xml:space="preserve"> </w:t>
      </w:r>
      <w:r w:rsidRPr="00C10921">
        <w:rPr>
          <w:rFonts w:eastAsiaTheme="minorEastAsia"/>
        </w:rPr>
        <w:t xml:space="preserve">Bats are also subject to natural mortality at a rate </w:t>
      </w:r>
      <m:oMath>
        <m:r>
          <w:rPr>
            <w:rFonts w:ascii="Cambria Math" w:eastAsiaTheme="minorEastAsia" w:hAnsi="Cambria Math"/>
          </w:rPr>
          <m:t>μ</m:t>
        </m:r>
      </m:oMath>
      <w:r w:rsidR="00215CCB">
        <w:rPr>
          <w:rFonts w:eastAsiaTheme="minorEastAsia"/>
        </w:rPr>
        <w:t xml:space="preserve">, </w:t>
      </w:r>
      <w:r w:rsidRPr="00C10921">
        <w:rPr>
          <w:rFonts w:eastAsiaTheme="minorEastAsia"/>
        </w:rPr>
        <w:t xml:space="preserve">with </w:t>
      </w:r>
      <m:oMath>
        <m:r>
          <w:rPr>
            <w:rFonts w:ascii="Cambria Math" w:eastAsiaTheme="minorEastAsia" w:hAnsi="Cambria Math"/>
          </w:rPr>
          <m:t>δ</m:t>
        </m:r>
      </m:oMath>
      <w:r w:rsidRPr="00C10921">
        <w:rPr>
          <w:rFonts w:eastAsiaTheme="minorEastAsia"/>
        </w:rPr>
        <w:t xml:space="preserve"> representing the extra mortality rate of bats infected with WNS during the period of torpor.</w:t>
      </w:r>
      <w:r w:rsidR="00BE3EC4">
        <w:rPr>
          <w:rFonts w:eastAsiaTheme="minorEastAsia"/>
        </w:rPr>
        <w:t xml:space="preserve"> </w:t>
      </w:r>
      <w:r w:rsidRPr="00C10921">
        <w:rPr>
          <w:rFonts w:eastAsiaTheme="minorEastAsia"/>
        </w:rPr>
        <w:t>In the cave environment</w:t>
      </w:r>
      <w:r w:rsidR="00215CCB">
        <w:rPr>
          <w:rFonts w:eastAsiaTheme="minorEastAsia"/>
        </w:rPr>
        <w:t>,</w:t>
      </w:r>
      <w:r w:rsidRPr="00C10921">
        <w:rPr>
          <w:rFonts w:eastAsiaTheme="minorEastAsia"/>
        </w:rPr>
        <w:t xml:space="preserve"> the pathogen</w:t>
      </w:r>
      <w:r w:rsidR="00215CCB">
        <w:rPr>
          <w:rFonts w:eastAsiaTheme="minorEastAsia"/>
        </w:rPr>
        <w:t>,</w:t>
      </w:r>
      <w:r w:rsidRPr="00C10921">
        <w:rPr>
          <w:rFonts w:eastAsiaTheme="minorEastAsia"/>
        </w:rPr>
        <w:t xml:space="preserve"> </w:t>
      </w:r>
      <m:oMath>
        <m:r>
          <w:rPr>
            <w:rFonts w:ascii="Cambria Math" w:eastAsiaTheme="minorEastAsia" w:hAnsi="Cambria Math"/>
          </w:rPr>
          <m:t>P</m:t>
        </m:r>
      </m:oMath>
      <w:r w:rsidR="00215CCB">
        <w:rPr>
          <w:rFonts w:eastAsiaTheme="minorEastAsia"/>
        </w:rPr>
        <w:t xml:space="preserve">, </w:t>
      </w:r>
      <w:r w:rsidRPr="00C10921">
        <w:rPr>
          <w:rFonts w:eastAsiaTheme="minorEastAsia"/>
        </w:rPr>
        <w:t>grows logistically at a rate</w:t>
      </w:r>
      <w:r w:rsidR="00215CCB">
        <w:rPr>
          <w:rFonts w:eastAsiaTheme="minorEastAsia"/>
        </w:rPr>
        <w:t>,</w:t>
      </w:r>
      <w:r w:rsidRPr="00C10921">
        <w:rPr>
          <w:rFonts w:eastAsiaTheme="minorEastAsia"/>
        </w:rPr>
        <w:t xml:space="preserve"> </w:t>
      </w:r>
      <m:oMath>
        <m:r>
          <w:rPr>
            <w:rFonts w:ascii="Cambria Math" w:eastAsiaTheme="minorEastAsia" w:hAnsi="Cambria Math"/>
          </w:rPr>
          <m:t>η</m:t>
        </m:r>
      </m:oMath>
      <w:r w:rsidR="00215CCB">
        <w:rPr>
          <w:rFonts w:eastAsiaTheme="minorEastAsia"/>
        </w:rPr>
        <w:t>,</w:t>
      </w:r>
      <w:r w:rsidRPr="00C10921">
        <w:rPr>
          <w:rFonts w:eastAsiaTheme="minorEastAsia"/>
        </w:rPr>
        <w:t xml:space="preserve"> eventually reaching the carrying capacity of the cave environment</w:t>
      </w:r>
      <w:r w:rsidR="00215CCB">
        <w:rPr>
          <w:rFonts w:eastAsiaTheme="minorEastAsia"/>
        </w:rPr>
        <w:t>,</w:t>
      </w:r>
      <w:r w:rsidRPr="00C10921">
        <w:rPr>
          <w:rFonts w:eastAsiaTheme="minorEastAsia"/>
        </w:rPr>
        <w:t xml:space="preserve"> </w:t>
      </w:r>
      <m:oMath>
        <m:sSub>
          <m:sSubPr>
            <m:ctrlPr>
              <w:rPr>
                <w:rFonts w:ascii="Cambria Math" w:hAnsi="Cambria Math"/>
              </w:rPr>
            </m:ctrlPr>
          </m:sSubPr>
          <m:e>
            <m:r>
              <w:rPr>
                <w:rFonts w:ascii="Cambria Math" w:eastAsiaTheme="minorEastAsia" w:hAnsi="Cambria Math"/>
              </w:rPr>
              <m:t>K</m:t>
            </m:r>
          </m:e>
          <m:sub>
            <m:r>
              <w:rPr>
                <w:rFonts w:ascii="Cambria Math" w:eastAsiaTheme="minorEastAsia" w:hAnsi="Cambria Math"/>
              </w:rPr>
              <m:t>p</m:t>
            </m:r>
          </m:sub>
        </m:sSub>
      </m:oMath>
      <w:r w:rsidRPr="00C10921">
        <w:rPr>
          <w:rFonts w:eastAsiaTheme="minorEastAsia"/>
        </w:rPr>
        <w:t>.</w:t>
      </w:r>
      <w:r w:rsidR="00BE3EC4">
        <w:rPr>
          <w:rFonts w:eastAsiaTheme="minorEastAsia"/>
        </w:rPr>
        <w:t xml:space="preserve"> </w:t>
      </w:r>
    </w:p>
    <w:p w14:paraId="5AF17757" w14:textId="769C48B1" w:rsidR="005F6F3D" w:rsidRPr="00C10921" w:rsidRDefault="005F6F3D" w:rsidP="005F6F3D">
      <w:r w:rsidRPr="00C10921">
        <w:rPr>
          <w:rFonts w:eastAsiaTheme="minorEastAsia"/>
        </w:rPr>
        <w:t>SBWB</w:t>
      </w:r>
      <w:r w:rsidR="00215CCB">
        <w:rPr>
          <w:rFonts w:eastAsiaTheme="minorEastAsia"/>
        </w:rPr>
        <w:t>s</w:t>
      </w:r>
      <w:r w:rsidRPr="00C10921">
        <w:rPr>
          <w:rFonts w:eastAsiaTheme="minorEastAsia"/>
        </w:rPr>
        <w:t xml:space="preserve"> congregate around three main maternity caves located at Naracoorte, South Australia, and Warrnambool and Portland in Victoria during the warmer months</w:t>
      </w:r>
      <w:r w:rsidR="00215CCB">
        <w:rPr>
          <w:rFonts w:eastAsiaTheme="minorEastAsia"/>
        </w:rPr>
        <w:t>,</w:t>
      </w:r>
      <w:r w:rsidRPr="00C10921">
        <w:rPr>
          <w:rFonts w:eastAsiaTheme="minorEastAsia"/>
        </w:rPr>
        <w:t xml:space="preserve"> starting from around early September and finishing around late May </w:t>
      </w:r>
      <w:r w:rsidRPr="00C10921">
        <w:rPr>
          <w:rFonts w:eastAsiaTheme="minorEastAsia"/>
        </w:rPr>
        <w:fldChar w:fldCharType="begin"/>
      </w:r>
      <w:r w:rsidR="00DE39F3">
        <w:rPr>
          <w:rFonts w:eastAsiaTheme="minorEastAsia"/>
        </w:rPr>
        <w:instrText xml:space="preserve"> ADDIN ZOTERO_ITEM CSL_CITATION {"citationID":"WGwMeGaO","properties":{"formattedCitation":"(van Harten 2020)","plainCitation":"(van Harten 2020)","noteIndex":0},"citationItems":[{"id":9567,"uris":["http://zotero.org/users/634364/items/Q3RLUQKR"],"itemData":{"id":9567,"type":"thesis","genre":"PhD Thesis","number-of-pages":"198","publisher":"La Trobe University","title":"Population dynamics of the critically endangered, southern bent-winged bat Miniopterus orianae bassanii","author":[{"family":"Harten","given":"Emmi","non-dropping-particle":"van"}],"issued":{"date-parts":[["2020"]]}}}],"schema":"https://github.com/citation-style-language/schema/raw/master/csl-citation.json"} </w:instrText>
      </w:r>
      <w:r w:rsidRPr="00C10921">
        <w:rPr>
          <w:rFonts w:eastAsiaTheme="minorEastAsia"/>
        </w:rPr>
        <w:fldChar w:fldCharType="separate"/>
      </w:r>
      <w:r w:rsidR="009F541F" w:rsidRPr="009F541F">
        <w:t>(van Harten 2020)</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 xml:space="preserve">Numbers peak in the maternity caves during early summer and during this time, females give birth to a single pup with juveniles emerging from the cave during January </w:t>
      </w:r>
      <w:r w:rsidRPr="00C10921">
        <w:rPr>
          <w:rFonts w:eastAsiaTheme="minorEastAsia"/>
        </w:rPr>
        <w:fldChar w:fldCharType="begin"/>
      </w:r>
      <w:r w:rsidR="00DE39F3">
        <w:rPr>
          <w:rFonts w:eastAsiaTheme="minorEastAsia"/>
        </w:rPr>
        <w:instrText xml:space="preserve"> ADDIN ZOTERO_ITEM CSL_CITATION {"citationID":"8SxemV4v","properties":{"formattedCitation":"(van Harten 2020)","plainCitation":"(van Harten 2020)","noteIndex":0},"citationItems":[{"id":9567,"uris":["http://zotero.org/users/634364/items/Q3RLUQKR"],"itemData":{"id":9567,"type":"thesis","genre":"PhD Thesis","number-of-pages":"198","publisher":"La Trobe University","title":"Population dynamics of the critically endangered, southern bent-winged bat Miniopterus orianae bassanii","author":[{"family":"Harten","given":"Emmi","non-dropping-particle":"van"}],"issued":{"date-parts":[["2020"]]}}}],"schema":"https://github.com/citation-style-language/schema/raw/master/csl-citation.json"} </w:instrText>
      </w:r>
      <w:r w:rsidRPr="00C10921">
        <w:rPr>
          <w:rFonts w:eastAsiaTheme="minorEastAsia"/>
        </w:rPr>
        <w:fldChar w:fldCharType="separate"/>
      </w:r>
      <w:r w:rsidR="009F541F" w:rsidRPr="009F541F">
        <w:t>(van Harten 2020)</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 xml:space="preserve">During the roosting phase, bats can reach high densities inside the maternity caves and </w:t>
      </w:r>
      <w:r w:rsidR="00A1454D">
        <w:rPr>
          <w:rFonts w:eastAsiaTheme="minorEastAsia"/>
        </w:rPr>
        <w:t>therefore</w:t>
      </w:r>
      <w:r w:rsidRPr="00C10921">
        <w:rPr>
          <w:rFonts w:eastAsiaTheme="minorEastAsia"/>
        </w:rPr>
        <w:t>, the risk of exposure to WNS from the cave environment is likely to be high.</w:t>
      </w:r>
      <w:r w:rsidR="00BE3EC4">
        <w:rPr>
          <w:rFonts w:eastAsiaTheme="minorEastAsia"/>
        </w:rPr>
        <w:t xml:space="preserve"> </w:t>
      </w:r>
      <w:r w:rsidRPr="00C10921">
        <w:rPr>
          <w:rFonts w:eastAsiaTheme="minorEastAsia"/>
        </w:rPr>
        <w:t xml:space="preserve">However, as bats are highly active and maintaining normal body temperatures during this time, it is unlikely that bats become infected with WNS. </w:t>
      </w:r>
      <w:r w:rsidR="00A1454D">
        <w:rPr>
          <w:rFonts w:eastAsiaTheme="minorEastAsia"/>
        </w:rPr>
        <w:t>As a result</w:t>
      </w:r>
      <w:r w:rsidRPr="00C10921">
        <w:rPr>
          <w:rFonts w:eastAsiaTheme="minorEastAsia"/>
        </w:rPr>
        <w:t xml:space="preserve">, it is assumed that bat-to-bat transmission and shedding of the pathogen to the cave environment is negligible </w:t>
      </w:r>
      <w:r w:rsidRPr="00C10921">
        <w:rPr>
          <w:rFonts w:eastAsiaTheme="minorEastAsia"/>
        </w:rPr>
        <w:fldChar w:fldCharType="begin"/>
      </w:r>
      <w:r w:rsidR="009F541F">
        <w:rPr>
          <w:rFonts w:eastAsiaTheme="minorEastAsia"/>
        </w:rPr>
        <w:instrText xml:space="preserve"> ADDIN ZOTERO_ITEM CSL_CITATION {"citationID":"UFkWnbLH","properties":{"formattedCitation":"(Cornwell {\\i{}et al.} 2019)","plainCitation":"(Cornwell et al. 2019)","noteIndex":0},"citationItems":[{"id":9475,"uris":["http://zotero.org/users/634364/items/FD2I6XAF"],"itemData":{"id":9475,"type":"article-journal","abstract":"Since 2006, the North American bat population has been in rapid decline due to white-nose syndrome (WNS), which is caused by an invasive fungus (Pseudogymnoascus destructans). The little brown bat (Myotis lucifugus) is the species most affected by this emerging disease. We consider how best to prevent local extinctions of this species using mathematical models. In 2017, development began on a new vaccine for WNS; we analyze the effects of implementing vaccination as a control measure. We create a Susceptible-Exposed-Infectious-Vaccinated hybrid ordinary differential equation and difference equation model informed by the phenology of little brown bats. We compare the effectiveness of annual, biennial, and one-time vaccination programs for multiple durations of immunity length. We also determine the optimal time to vaccinate, if vaccinating only once, as a function of average duration of immunity. Next, we perform a sensitivity analysis to determine the robustness of our results. Finally, we consider other possible control measures together with vaccination to determine the optimal control strategy. We find that if the vaccine offers lifelong immunity, then it will be the most effective control measure considered thus far.","container-title":"Ecological Modelling","DOI":"https://doi.org/10.1016/j.ecolmodel.2019.108724","ISSN":"0304-3800","page":"108724","title":"Modeling vaccination strategies to control white-nose syndrome in little brown bat colonies","volume":"407","author":[{"family":"Cornwell","given":"Eva"},{"family":"Elzinga","given":"David C."},{"family":"Stowe","given":"Shelby"},{"family":"Capaldi","given":"Alex"}],"issued":{"date-parts":[["2019"]]}}}],"schema":"https://github.com/citation-style-language/schema/raw/master/csl-citation.json"} </w:instrText>
      </w:r>
      <w:r w:rsidRPr="00C10921">
        <w:rPr>
          <w:rFonts w:eastAsiaTheme="minorEastAsia"/>
        </w:rPr>
        <w:fldChar w:fldCharType="separate"/>
      </w:r>
      <w:r w:rsidR="009F541F" w:rsidRPr="009F541F">
        <w:t xml:space="preserve">(Cornwell </w:t>
      </w:r>
      <w:r w:rsidR="009F541F" w:rsidRPr="00DA5824">
        <w:t>et al.</w:t>
      </w:r>
      <w:r w:rsidR="009F541F" w:rsidRPr="00A1454D">
        <w:t xml:space="preserve"> </w:t>
      </w:r>
      <w:r w:rsidR="009F541F" w:rsidRPr="009F541F">
        <w:t>2019)</w:t>
      </w:r>
      <w:r w:rsidRPr="00C10921">
        <w:rPr>
          <w:rFonts w:eastAsiaTheme="minorEastAsia"/>
        </w:rPr>
        <w:fldChar w:fldCharType="end"/>
      </w:r>
      <w:r w:rsidRPr="00C10921">
        <w:rPr>
          <w:rFonts w:eastAsiaTheme="minorEastAsia"/>
        </w:rPr>
        <w:t>.</w:t>
      </w:r>
      <w:r w:rsidR="00BE3EC4">
        <w:rPr>
          <w:rFonts w:eastAsiaTheme="minorEastAsia"/>
        </w:rPr>
        <w:t xml:space="preserve"> </w:t>
      </w:r>
      <w:r w:rsidRPr="00C10921">
        <w:rPr>
          <w:rFonts w:eastAsiaTheme="minorEastAsia"/>
        </w:rPr>
        <w:t xml:space="preserve">The dynamics of WNS </w:t>
      </w:r>
      <w:r w:rsidR="00A1454D" w:rsidRPr="00C10921">
        <w:rPr>
          <w:rFonts w:eastAsiaTheme="minorEastAsia"/>
        </w:rPr>
        <w:t>w</w:t>
      </w:r>
      <w:r w:rsidR="00A1454D">
        <w:rPr>
          <w:rFonts w:eastAsiaTheme="minorEastAsia"/>
        </w:rPr>
        <w:t>ere</w:t>
      </w:r>
      <w:r w:rsidR="00A1454D" w:rsidRPr="00C10921">
        <w:rPr>
          <w:rFonts w:eastAsiaTheme="minorEastAsia"/>
        </w:rPr>
        <w:t xml:space="preserve"> </w:t>
      </w:r>
      <w:r w:rsidRPr="00C10921">
        <w:rPr>
          <w:rFonts w:eastAsiaTheme="minorEastAsia"/>
        </w:rPr>
        <w:t>therefore represented as follows:</w:t>
      </w:r>
      <w:r w:rsidR="00BE3EC4">
        <w:rPr>
          <w:rFonts w:eastAsiaTheme="minorEastAsia"/>
        </w:rPr>
        <w:t xml:space="preserve"> </w:t>
      </w:r>
    </w:p>
    <w:p w14:paraId="7C7C34FF" w14:textId="59E4CA7C" w:rsidR="005F6F3D" w:rsidRPr="00C10921" w:rsidRDefault="00000000" w:rsidP="005F6F3D">
      <w:pPr>
        <w:spacing w:line="360" w:lineRule="auto"/>
        <w:rPr>
          <w:rFonts w:eastAsiaTheme="minorEastAsia"/>
        </w:rPr>
      </w:pPr>
      <m:oMathPara>
        <m:oMath>
          <m:f>
            <m:fPr>
              <m:ctrlPr>
                <w:rPr>
                  <w:rFonts w:ascii="Cambria Math" w:hAnsi="Cambria Math"/>
                </w:rPr>
              </m:ctrlPr>
            </m:fPr>
            <m:num>
              <m:r>
                <w:rPr>
                  <w:rFonts w:ascii="Cambria Math" w:hAnsi="Cambria Math"/>
                </w:rPr>
                <m:t>dS</m:t>
              </m:r>
            </m:num>
            <m:den>
              <m:r>
                <w:rPr>
                  <w:rFonts w:ascii="Cambria Math" w:hAnsi="Cambria Math"/>
                </w:rPr>
                <m:t>dt</m:t>
              </m:r>
            </m:den>
          </m:f>
          <m:r>
            <w:rPr>
              <w:rFonts w:ascii="Cambria Math" w:hAnsi="Cambria Math"/>
            </w:rPr>
            <m:t>=-ψPS- dS+εI+γE</m:t>
          </m:r>
          <m:r>
            <m:rPr>
              <m:sty m:val="p"/>
            </m:rPr>
            <w:rPr>
              <w:rFonts w:ascii="Cambria Math" w:hAnsi="Cambria Math"/>
            </w:rPr>
            <w:br/>
          </m:r>
        </m:oMath>
        <m:oMath>
          <m:f>
            <m:fPr>
              <m:ctrlPr>
                <w:rPr>
                  <w:rFonts w:ascii="Cambria Math" w:hAnsi="Cambria Math"/>
                </w:rPr>
              </m:ctrlPr>
            </m:fPr>
            <m:num>
              <m:r>
                <w:rPr>
                  <w:rFonts w:ascii="Cambria Math" w:eastAsiaTheme="minorEastAsia" w:hAnsi="Cambria Math"/>
                </w:rPr>
                <m:t>dE</m:t>
              </m:r>
            </m:num>
            <m:den>
              <m:r>
                <w:rPr>
                  <w:rFonts w:ascii="Cambria Math" w:eastAsiaTheme="minorEastAsia" w:hAnsi="Cambria Math"/>
                </w:rPr>
                <m:t>dt</m:t>
              </m:r>
            </m:den>
          </m:f>
          <m:r>
            <w:rPr>
              <w:rFonts w:ascii="Cambria Math" w:eastAsiaTheme="minorEastAsia" w:hAnsi="Cambria Math"/>
            </w:rPr>
            <m:t>=ψPS-</m:t>
          </m:r>
          <m:d>
            <m:dPr>
              <m:ctrlPr>
                <w:rPr>
                  <w:rFonts w:ascii="Cambria Math" w:hAnsi="Cambria Math"/>
                </w:rPr>
              </m:ctrlPr>
            </m:dPr>
            <m:e>
              <m:r>
                <w:rPr>
                  <w:rFonts w:ascii="Cambria Math" w:eastAsiaTheme="minorEastAsia" w:hAnsi="Cambria Math"/>
                </w:rPr>
                <m:t>d+γ</m:t>
              </m:r>
            </m:e>
          </m:d>
          <m:r>
            <w:rPr>
              <w:rFonts w:ascii="Cambria Math" w:eastAsiaTheme="minorEastAsia" w:hAnsi="Cambria Math"/>
            </w:rPr>
            <m:t>E</m:t>
          </m:r>
          <m:r>
            <m:rPr>
              <m:sty m:val="p"/>
            </m:rPr>
            <w:rPr>
              <w:rFonts w:ascii="Cambria Math" w:eastAsiaTheme="minorEastAsia" w:hAnsi="Cambria Math"/>
            </w:rPr>
            <w:br/>
          </m:r>
        </m:oMath>
        <m:oMath>
          <m:f>
            <m:fPr>
              <m:ctrlPr>
                <w:rPr>
                  <w:rFonts w:ascii="Cambria Math" w:hAnsi="Cambria Math"/>
                </w:rPr>
              </m:ctrlPr>
            </m:fPr>
            <m:num>
              <m:r>
                <w:rPr>
                  <w:rFonts w:ascii="Cambria Math" w:eastAsiaTheme="minorEastAsia" w:hAnsi="Cambria Math"/>
                </w:rPr>
                <m:t>dI</m:t>
              </m:r>
            </m:num>
            <m:den>
              <m:r>
                <w:rPr>
                  <w:rFonts w:ascii="Cambria Math" w:eastAsiaTheme="minorEastAsia" w:hAnsi="Cambria Math"/>
                </w:rPr>
                <m:t>dt</m:t>
              </m:r>
            </m:den>
          </m:f>
          <m:r>
            <m:rPr>
              <m:aln/>
            </m:rPr>
            <w:rPr>
              <w:rFonts w:ascii="Cambria Math" w:eastAsiaTheme="minorEastAsia" w:hAnsi="Cambria Math"/>
            </w:rPr>
            <m:t>=-</m:t>
          </m:r>
          <m:d>
            <m:dPr>
              <m:ctrlPr>
                <w:rPr>
                  <w:rFonts w:ascii="Cambria Math" w:hAnsi="Cambria Math"/>
                </w:rPr>
              </m:ctrlPr>
            </m:dPr>
            <m:e>
              <m:r>
                <w:rPr>
                  <w:rFonts w:ascii="Cambria Math" w:eastAsiaTheme="minorEastAsia" w:hAnsi="Cambria Math"/>
                </w:rPr>
                <m:t>ε+d</m:t>
              </m:r>
            </m:e>
          </m:d>
          <m:r>
            <w:rPr>
              <w:rFonts w:ascii="Cambria Math" w:eastAsiaTheme="minorEastAsia" w:hAnsi="Cambria Math"/>
            </w:rPr>
            <m:t>I</m:t>
          </m:r>
          <m:r>
            <m:rPr>
              <m:sty m:val="p"/>
            </m:rPr>
            <w:rPr>
              <w:rFonts w:ascii="Cambria Math" w:eastAsiaTheme="minorEastAsia" w:hAnsi="Cambria Math"/>
            </w:rPr>
            <w:br/>
          </m:r>
        </m:oMath>
        <m:oMath>
          <m:f>
            <m:fPr>
              <m:ctrlPr>
                <w:rPr>
                  <w:rFonts w:ascii="Cambria Math" w:hAnsi="Cambria Math"/>
                </w:rPr>
              </m:ctrlPr>
            </m:fPr>
            <m:num>
              <m:r>
                <w:rPr>
                  <w:rFonts w:ascii="Cambria Math" w:eastAsiaTheme="minorEastAsia" w:hAnsi="Cambria Math"/>
                </w:rPr>
                <m:t>dP</m:t>
              </m:r>
            </m:num>
            <m:den>
              <m:r>
                <w:rPr>
                  <w:rFonts w:ascii="Cambria Math" w:eastAsiaTheme="minorEastAsia" w:hAnsi="Cambria Math"/>
                </w:rPr>
                <m:t>dt</m:t>
              </m:r>
            </m:den>
          </m:f>
          <m:r>
            <m:rPr>
              <m:sty m:val="p"/>
            </m:rPr>
            <w:rPr>
              <w:rFonts w:ascii="Cambria Math" w:eastAsiaTheme="minorEastAsia" w:hAnsi="Cambria Math"/>
            </w:rPr>
            <m:t>=</m:t>
          </m:r>
          <m:r>
            <w:rPr>
              <w:rFonts w:ascii="Cambria Math" w:eastAsiaTheme="minorEastAsia" w:hAnsi="Cambria Math"/>
            </w:rPr>
            <m:t>ηP</m:t>
          </m:r>
          <m:d>
            <m:dPr>
              <m:ctrlPr>
                <w:rPr>
                  <w:rFonts w:ascii="Cambria Math" w:hAnsi="Cambria Math"/>
                </w:rPr>
              </m:ctrlPr>
            </m:dPr>
            <m:e>
              <m:r>
                <w:rPr>
                  <w:rFonts w:ascii="Cambria Math" w:eastAsiaTheme="minorEastAsia" w:hAnsi="Cambria Math"/>
                </w:rPr>
                <m:t>1-</m:t>
              </m:r>
              <m:f>
                <m:fPr>
                  <m:ctrlPr>
                    <w:rPr>
                      <w:rFonts w:ascii="Cambria Math" w:hAnsi="Cambria Math"/>
                    </w:rPr>
                  </m:ctrlPr>
                </m:fPr>
                <m:num>
                  <m:r>
                    <w:rPr>
                      <w:rFonts w:ascii="Cambria Math" w:eastAsiaTheme="minorEastAsia" w:hAnsi="Cambria Math"/>
                    </w:rPr>
                    <m:t>P</m:t>
                  </m:r>
                </m:num>
                <m:den>
                  <m:sSub>
                    <m:sSubPr>
                      <m:ctrlPr>
                        <w:rPr>
                          <w:rFonts w:ascii="Cambria Math" w:hAnsi="Cambria Math"/>
                        </w:rPr>
                      </m:ctrlPr>
                    </m:sSubPr>
                    <m:e>
                      <m:r>
                        <w:rPr>
                          <w:rFonts w:ascii="Cambria Math" w:eastAsiaTheme="minorEastAsia" w:hAnsi="Cambria Math"/>
                        </w:rPr>
                        <m:t>K</m:t>
                      </m:r>
                    </m:e>
                    <m:sub>
                      <m:r>
                        <w:rPr>
                          <w:rFonts w:ascii="Cambria Math" w:eastAsiaTheme="minorEastAsia" w:hAnsi="Cambria Math"/>
                        </w:rPr>
                        <m:t>p</m:t>
                      </m:r>
                    </m:sub>
                  </m:sSub>
                </m:den>
              </m:f>
            </m:e>
          </m:d>
          <m:r>
            <m:rPr>
              <m:sty m:val="p"/>
            </m:rPr>
            <w:rPr>
              <w:rFonts w:ascii="Cambria Math" w:eastAsiaTheme="minorEastAsia" w:hAnsi="Cambria Math"/>
            </w:rPr>
            <w:br/>
          </m:r>
        </m:oMath>
      </m:oMathPara>
    </w:p>
    <w:p w14:paraId="440A0629" w14:textId="3D61E3CD" w:rsidR="005F6F3D" w:rsidRPr="00C10921" w:rsidRDefault="005F6F3D" w:rsidP="005F6F3D">
      <w:pPr>
        <w:rPr>
          <w:rFonts w:eastAsiaTheme="minorEastAsia"/>
        </w:rPr>
      </w:pPr>
      <w:r w:rsidRPr="00C10921">
        <w:rPr>
          <w:rFonts w:eastAsiaTheme="minorEastAsia"/>
        </w:rPr>
        <w:t>In addition, bats previously exposed or infected during the torpor phase</w:t>
      </w:r>
      <w:r w:rsidR="007F1C87">
        <w:rPr>
          <w:rFonts w:eastAsiaTheme="minorEastAsia"/>
        </w:rPr>
        <w:t>,</w:t>
      </w:r>
      <w:r w:rsidRPr="00C10921">
        <w:rPr>
          <w:rFonts w:eastAsiaTheme="minorEastAsia"/>
        </w:rPr>
        <w:t xml:space="preserve"> that survive and enter the roosting phase</w:t>
      </w:r>
      <w:r w:rsidR="007F1C87">
        <w:rPr>
          <w:rFonts w:eastAsiaTheme="minorEastAsia"/>
        </w:rPr>
        <w:t>,</w:t>
      </w:r>
      <w:r w:rsidRPr="00C10921">
        <w:rPr>
          <w:rFonts w:eastAsiaTheme="minorEastAsia"/>
        </w:rPr>
        <w:t xml:space="preserve"> </w:t>
      </w:r>
      <w:proofErr w:type="gramStart"/>
      <w:r w:rsidRPr="00C10921">
        <w:rPr>
          <w:rFonts w:eastAsiaTheme="minorEastAsia"/>
        </w:rPr>
        <w:t>have the opportunity to</w:t>
      </w:r>
      <w:proofErr w:type="gramEnd"/>
      <w:r w:rsidRPr="00C10921">
        <w:rPr>
          <w:rFonts w:eastAsiaTheme="minorEastAsia"/>
        </w:rPr>
        <w:t xml:space="preserve"> clear their infection and recover at a rate</w:t>
      </w:r>
      <w:r w:rsidR="007F1C87">
        <w:rPr>
          <w:rFonts w:eastAsiaTheme="minorEastAsia"/>
        </w:rPr>
        <w:t>,</w:t>
      </w:r>
      <m:oMath>
        <m:r>
          <w:rPr>
            <w:rFonts w:ascii="Cambria Math" w:eastAsiaTheme="minorEastAsia" w:hAnsi="Cambria Math"/>
          </w:rPr>
          <m:t xml:space="preserve"> γ</m:t>
        </m:r>
      </m:oMath>
      <w:r w:rsidR="007F1C87">
        <w:rPr>
          <w:rFonts w:eastAsiaTheme="minorEastAsia"/>
        </w:rPr>
        <w:t>,</w:t>
      </w:r>
      <w:r w:rsidRPr="00C10921">
        <w:rPr>
          <w:rFonts w:eastAsiaTheme="minorEastAsia"/>
        </w:rPr>
        <w:t xml:space="preserve"> </w:t>
      </w:r>
      <w:proofErr w:type="gramStart"/>
      <w:r w:rsidRPr="00C10921">
        <w:rPr>
          <w:rFonts w:eastAsiaTheme="minorEastAsia"/>
        </w:rPr>
        <w:t>and</w:t>
      </w:r>
      <w:r w:rsidR="007F1C87">
        <w:rPr>
          <w:rFonts w:eastAsiaTheme="minorEastAsia"/>
        </w:rPr>
        <w:t>,</w:t>
      </w:r>
      <w:proofErr w:type="gramEnd"/>
      <w:r w:rsidRPr="00C10921">
        <w:rPr>
          <w:rFonts w:eastAsiaTheme="minorEastAsia"/>
        </w:rPr>
        <w:t xml:space="preserve"> </w:t>
      </w:r>
      <w:proofErr w:type="gramStart"/>
      <w:r w:rsidRPr="00C10921">
        <w:rPr>
          <w:rFonts w:eastAsiaTheme="minorEastAsia"/>
        </w:rPr>
        <w:t>ε,</w:t>
      </w:r>
      <w:r w:rsidR="007F1C87">
        <w:rPr>
          <w:rFonts w:eastAsiaTheme="minorEastAsia"/>
        </w:rPr>
        <w:t>,</w:t>
      </w:r>
      <w:proofErr w:type="gramEnd"/>
      <w:r w:rsidRPr="00C10921">
        <w:rPr>
          <w:rFonts w:eastAsiaTheme="minorEastAsia"/>
        </w:rPr>
        <w:t xml:space="preserve"> respectively, whereupon they re-enter the susceptible class. During the summer breeding period, juveniles are recruited to the volant population at a rate</w:t>
      </w:r>
      <w:r w:rsidR="007F1C87">
        <w:rPr>
          <w:rFonts w:eastAsiaTheme="minorEastAsia"/>
        </w:rPr>
        <w:t>,</w:t>
      </w:r>
      <w:r w:rsidRPr="00C10921">
        <w:rPr>
          <w:rFonts w:eastAsiaTheme="minorEastAsia"/>
        </w:rPr>
        <w:t xml:space="preserve"> </w:t>
      </w:r>
      <m:oMath>
        <m:r>
          <w:rPr>
            <w:rFonts w:ascii="Cambria Math" w:eastAsiaTheme="minorEastAsia" w:hAnsi="Cambria Math"/>
          </w:rPr>
          <m:t>b</m:t>
        </m:r>
      </m:oMath>
      <w:r w:rsidRPr="00C10921">
        <w:rPr>
          <w:rFonts w:eastAsiaTheme="minorEastAsia"/>
        </w:rPr>
        <w:t>, which is also subject to density-dependence.</w:t>
      </w:r>
      <w:r w:rsidR="00BE3EC4">
        <w:rPr>
          <w:rFonts w:eastAsiaTheme="minorEastAsia"/>
        </w:rPr>
        <w:t xml:space="preserve"> </w:t>
      </w:r>
      <w:r w:rsidRPr="00C10921">
        <w:rPr>
          <w:rFonts w:eastAsiaTheme="minorEastAsia"/>
        </w:rPr>
        <w:t>Since bat-to-bat transmission during this period is assumed to be negligible, recruits initially enter the susceptible population.</w:t>
      </w:r>
      <w:r w:rsidR="00BE3EC4">
        <w:rPr>
          <w:rFonts w:eastAsiaTheme="minorEastAsia"/>
        </w:rPr>
        <w:t xml:space="preserve"> </w:t>
      </w:r>
      <w:r w:rsidRPr="00C10921">
        <w:rPr>
          <w:rFonts w:eastAsiaTheme="minorEastAsia"/>
        </w:rPr>
        <w:t>The equation for the susceptible class was therefore modified to include the recruitment pulse as follows:</w:t>
      </w:r>
    </w:p>
    <w:p w14:paraId="4F9B1F8C" w14:textId="3938DCBA" w:rsidR="005F6F3D" w:rsidRPr="00C10921" w:rsidRDefault="00000000" w:rsidP="005F6F3D">
      <w:pPr>
        <w:rPr>
          <w:rFonts w:eastAsiaTheme="minorEastAsia"/>
        </w:rPr>
      </w:pPr>
      <m:oMathPara>
        <m:oMath>
          <m:f>
            <m:fPr>
              <m:ctrlPr>
                <w:rPr>
                  <w:rFonts w:ascii="Cambria Math" w:hAnsi="Cambria Math"/>
                </w:rPr>
              </m:ctrlPr>
            </m:fPr>
            <m:num>
              <m:r>
                <w:rPr>
                  <w:rFonts w:ascii="Cambria Math" w:hAnsi="Cambria Math"/>
                </w:rPr>
                <m:t>dS</m:t>
              </m:r>
            </m:num>
            <m:den>
              <m:r>
                <w:rPr>
                  <w:rFonts w:ascii="Cambria Math" w:hAnsi="Cambria Math"/>
                </w:rPr>
                <m:t>dt</m:t>
              </m:r>
            </m:den>
          </m:f>
          <m:r>
            <w:rPr>
              <w:rFonts w:ascii="Cambria Math" w:hAnsi="Cambria Math"/>
            </w:rPr>
            <m:t>=</m:t>
          </m:r>
          <m:d>
            <m:dPr>
              <m:ctrlPr>
                <w:rPr>
                  <w:rFonts w:ascii="Cambria Math" w:hAnsi="Cambria Math"/>
                </w:rPr>
              </m:ctrlPr>
            </m:dPr>
            <m:e>
              <m:r>
                <w:rPr>
                  <w:rFonts w:ascii="Cambria Math" w:hAnsi="Cambria Math"/>
                </w:rPr>
                <m:t>b-gN</m:t>
              </m:r>
            </m:e>
          </m:d>
          <m:r>
            <w:rPr>
              <w:rFonts w:ascii="Cambria Math" w:hAnsi="Cambria Math"/>
            </w:rPr>
            <m:t>N-ψPS- dS+εI+γE</m:t>
          </m:r>
          <m:r>
            <m:rPr>
              <m:sty m:val="p"/>
            </m:rPr>
            <w:rPr>
              <w:rFonts w:ascii="Cambria Math" w:hAnsi="Cambria Math"/>
            </w:rPr>
            <w:br/>
          </m:r>
        </m:oMath>
      </m:oMathPara>
    </w:p>
    <w:p w14:paraId="500EFC28" w14:textId="649DA67C" w:rsidR="00D44E74" w:rsidRPr="00C10921" w:rsidRDefault="005F6F3D" w:rsidP="00D44E74">
      <w:pPr>
        <w:rPr>
          <w:rFonts w:eastAsiaTheme="minorEastAsia"/>
        </w:rPr>
      </w:pPr>
      <w:r w:rsidRPr="00C10921">
        <w:rPr>
          <w:rFonts w:eastAsiaTheme="minorEastAsia"/>
        </w:rPr>
        <w:t xml:space="preserve">Where </w:t>
      </w:r>
      <m:oMath>
        <m:r>
          <w:rPr>
            <w:rFonts w:ascii="Cambria Math" w:eastAsiaTheme="minorEastAsia" w:hAnsi="Cambria Math"/>
          </w:rPr>
          <m:t>b</m:t>
        </m:r>
      </m:oMath>
      <w:r w:rsidRPr="00C10921">
        <w:rPr>
          <w:rFonts w:eastAsiaTheme="minorEastAsia"/>
        </w:rPr>
        <w:t xml:space="preserve"> is the per-capita recruitment of juveniles to the volant population and </w:t>
      </w:r>
      <m:oMath>
        <m:r>
          <w:rPr>
            <w:rFonts w:ascii="Cambria Math" w:eastAsiaTheme="minorEastAsia" w:hAnsi="Cambria Math"/>
          </w:rPr>
          <m:t>g</m:t>
        </m:r>
      </m:oMath>
      <w:r w:rsidRPr="00C10921">
        <w:rPr>
          <w:rFonts w:eastAsiaTheme="minorEastAsia"/>
        </w:rPr>
        <w:t xml:space="preserve"> represents the strength of density-dependence.</w:t>
      </w:r>
      <w:r w:rsidR="00BE3EC4">
        <w:rPr>
          <w:rFonts w:eastAsiaTheme="minorEastAsia"/>
        </w:rPr>
        <w:t xml:space="preserve"> </w:t>
      </w:r>
      <w:r w:rsidR="006B043C">
        <w:rPr>
          <w:rFonts w:eastAsiaTheme="minorEastAsia"/>
        </w:rPr>
        <w:t xml:space="preserve">Recruitment rate was estimated as the difference between the pre-volant and volant counts of bats emerging from caves near </w:t>
      </w:r>
      <w:r w:rsidR="006B043C" w:rsidRPr="00300E5F">
        <w:t>Warrnambool</w:t>
      </w:r>
      <w:r w:rsidR="006B043C">
        <w:t xml:space="preserve"> (Figure A7). </w:t>
      </w:r>
      <w:r w:rsidR="00D44E74" w:rsidRPr="00C10921">
        <w:rPr>
          <w:rFonts w:eastAsiaTheme="minorEastAsia"/>
        </w:rPr>
        <w:t xml:space="preserve">The study of Meyer </w:t>
      </w:r>
      <w:r w:rsidR="00D44E74" w:rsidRPr="00DA5824">
        <w:rPr>
          <w:rFonts w:eastAsiaTheme="minorEastAsia"/>
        </w:rPr>
        <w:t>et al</w:t>
      </w:r>
      <w:r w:rsidR="00D44E74" w:rsidRPr="007F1C87">
        <w:rPr>
          <w:rFonts w:eastAsiaTheme="minorEastAsia"/>
        </w:rPr>
        <w:t>.</w:t>
      </w:r>
      <w:r w:rsidR="00D44E74" w:rsidRPr="00C10921">
        <w:rPr>
          <w:rFonts w:eastAsiaTheme="minorEastAsia"/>
        </w:rPr>
        <w:t xml:space="preserve"> (2016) estimated the basic disease reproductive rate</w:t>
      </w:r>
      <w:r w:rsidR="007F1C87">
        <w:rPr>
          <w:rFonts w:eastAsiaTheme="minorEastAsia"/>
        </w:rPr>
        <w:t>,</w:t>
      </w:r>
      <w:r w:rsidR="00D44E74" w:rsidRPr="00C10921">
        <w:rPr>
          <w:rFonts w:eastAsiaTheme="minorEastAsia"/>
        </w:rPr>
        <w:t xml:space="preserve"> </w:t>
      </w:r>
      <m:oMath>
        <m:sSub>
          <m:sSubPr>
            <m:ctrlPr>
              <w:rPr>
                <w:rFonts w:ascii="Cambria Math" w:hAnsi="Cambria Math"/>
              </w:rPr>
            </m:ctrlPr>
          </m:sSubPr>
          <m:e>
            <m:r>
              <w:rPr>
                <w:rFonts w:ascii="Cambria Math" w:eastAsiaTheme="minorEastAsia" w:hAnsi="Cambria Math"/>
              </w:rPr>
              <m:t>R</m:t>
            </m:r>
          </m:e>
          <m:sub>
            <m:r>
              <w:rPr>
                <w:rFonts w:ascii="Cambria Math" w:eastAsiaTheme="minorEastAsia" w:hAnsi="Cambria Math"/>
              </w:rPr>
              <m:t>o</m:t>
            </m:r>
          </m:sub>
        </m:sSub>
      </m:oMath>
      <w:r w:rsidR="007F1C87">
        <w:rPr>
          <w:rFonts w:eastAsiaTheme="minorEastAsia"/>
        </w:rPr>
        <w:t>,</w:t>
      </w:r>
      <w:r w:rsidR="00D44E74" w:rsidRPr="00C10921">
        <w:rPr>
          <w:rFonts w:eastAsiaTheme="minorEastAsia"/>
        </w:rPr>
        <w:t xml:space="preserve"> during the hibernation phase as</w:t>
      </w:r>
      <w:r w:rsidR="007F1C87">
        <w:rPr>
          <w:rFonts w:eastAsiaTheme="minorEastAsia"/>
        </w:rPr>
        <w:t>:</w:t>
      </w:r>
    </w:p>
    <w:p w14:paraId="69EC5FCC" w14:textId="0D7A80D5" w:rsidR="00D44E74" w:rsidRPr="00C10921" w:rsidRDefault="00000000" w:rsidP="00D44E74">
      <w:pPr>
        <w:jc w:val="center"/>
        <w:rPr>
          <w:rFonts w:eastAsiaTheme="minorEastAsia"/>
        </w:rPr>
      </w:pPr>
      <m:oMathPara>
        <m:oMath>
          <m:sSub>
            <m:sSubPr>
              <m:ctrlPr>
                <w:rPr>
                  <w:rFonts w:ascii="Cambria Math" w:hAnsi="Cambria Math"/>
                </w:rPr>
              </m:ctrlPr>
            </m:sSubPr>
            <m:e>
              <m:r>
                <w:rPr>
                  <w:rFonts w:ascii="Cambria Math" w:eastAsiaTheme="minorEastAsia" w:hAnsi="Cambria Math"/>
                </w:rPr>
                <m:t>R</m:t>
              </m:r>
            </m:e>
            <m:sub>
              <m:r>
                <w:rPr>
                  <w:rFonts w:ascii="Cambria Math" w:eastAsiaTheme="minorEastAsia" w:hAnsi="Cambria Math"/>
                </w:rPr>
                <m:t>o</m:t>
              </m:r>
            </m:sub>
          </m:sSub>
          <m:r>
            <w:rPr>
              <w:rFonts w:ascii="Cambria Math" w:eastAsiaTheme="minorEastAsia" w:hAnsi="Cambria Math"/>
            </w:rPr>
            <m:t>=</m:t>
          </m:r>
          <m:f>
            <m:fPr>
              <m:ctrlPr>
                <w:rPr>
                  <w:rFonts w:ascii="Cambria Math" w:hAnsi="Cambria Math"/>
                </w:rPr>
              </m:ctrlPr>
            </m:fPr>
            <m:num>
              <m:r>
                <w:rPr>
                  <w:rFonts w:ascii="Cambria Math" w:eastAsiaTheme="minorEastAsia" w:hAnsi="Cambria Math"/>
                </w:rPr>
                <m:t>βNτ</m:t>
              </m:r>
            </m:num>
            <m:den>
              <m:d>
                <m:dPr>
                  <m:ctrlPr>
                    <w:rPr>
                      <w:rFonts w:ascii="Cambria Math" w:hAnsi="Cambria Math"/>
                    </w:rPr>
                  </m:ctrlPr>
                </m:dPr>
                <m:e>
                  <m:r>
                    <w:rPr>
                      <w:rFonts w:ascii="Cambria Math" w:eastAsiaTheme="minorEastAsia" w:hAnsi="Cambria Math"/>
                    </w:rPr>
                    <m:t>α+d</m:t>
                  </m:r>
                </m:e>
              </m:d>
              <m:d>
                <m:dPr>
                  <m:ctrlPr>
                    <w:rPr>
                      <w:rFonts w:ascii="Cambria Math" w:hAnsi="Cambria Math"/>
                    </w:rPr>
                  </m:ctrlPr>
                </m:dPr>
                <m:e>
                  <m:r>
                    <w:rPr>
                      <w:rFonts w:ascii="Cambria Math" w:eastAsiaTheme="minorEastAsia" w:hAnsi="Cambria Math"/>
                    </w:rPr>
                    <m:t>τ+μ</m:t>
                  </m:r>
                </m:e>
              </m:d>
            </m:den>
          </m:f>
        </m:oMath>
      </m:oMathPara>
    </w:p>
    <w:p w14:paraId="75D20389" w14:textId="0F08CA60" w:rsidR="00A33B57" w:rsidRDefault="00D44E74" w:rsidP="00A33B57">
      <w:pPr>
        <w:rPr>
          <w:rFonts w:eastAsiaTheme="minorEastAsia"/>
        </w:rPr>
      </w:pPr>
      <w:r w:rsidRPr="00C10921">
        <w:rPr>
          <w:rFonts w:eastAsiaTheme="minorEastAsia"/>
        </w:rPr>
        <w:t>Which was estimated as 4.15.</w:t>
      </w:r>
      <w:r w:rsidR="00BE3EC4">
        <w:rPr>
          <w:rFonts w:eastAsiaTheme="minorEastAsia"/>
        </w:rPr>
        <w:t xml:space="preserve"> </w:t>
      </w:r>
      <w:r w:rsidR="005F76FD">
        <w:rPr>
          <w:rFonts w:eastAsiaTheme="minorEastAsia"/>
        </w:rPr>
        <w:t>This value was used to derive a transmission rate for SBWB</w:t>
      </w:r>
      <w:r w:rsidR="007F1C87">
        <w:rPr>
          <w:rFonts w:eastAsiaTheme="minorEastAsia"/>
        </w:rPr>
        <w:t>s</w:t>
      </w:r>
      <w:r w:rsidR="005F76FD">
        <w:rPr>
          <w:rFonts w:eastAsiaTheme="minorEastAsia"/>
        </w:rPr>
        <w:t xml:space="preserve"> to give the equivalent value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o</m:t>
            </m:r>
          </m:sub>
        </m:sSub>
      </m:oMath>
      <w:r w:rsidR="005F76FD">
        <w:rPr>
          <w:rFonts w:eastAsiaTheme="minorEastAsia"/>
        </w:rPr>
        <w:t xml:space="preserve">. </w:t>
      </w:r>
    </w:p>
    <w:p w14:paraId="14DE97DB" w14:textId="34943560" w:rsidR="00A33B57" w:rsidRDefault="00A33B57" w:rsidP="00CA6E95">
      <w:pPr>
        <w:pStyle w:val="Caption-Table"/>
        <w:rPr>
          <w:rFonts w:eastAsiaTheme="minorEastAsia"/>
        </w:rPr>
      </w:pPr>
      <w:bookmarkStart w:id="160" w:name="_Toc198634149"/>
      <w:r w:rsidRPr="00FC1044">
        <w:rPr>
          <w:rFonts w:eastAsiaTheme="minorEastAsia"/>
        </w:rPr>
        <w:t xml:space="preserve">Table </w:t>
      </w:r>
      <w:r w:rsidR="00732F6F">
        <w:rPr>
          <w:rFonts w:eastAsiaTheme="minorEastAsia"/>
        </w:rPr>
        <w:t>A3</w:t>
      </w:r>
      <w:r>
        <w:rPr>
          <w:rFonts w:eastAsiaTheme="minorEastAsia"/>
        </w:rPr>
        <w:t>.</w:t>
      </w:r>
      <w:r w:rsidR="00BE3EC4">
        <w:rPr>
          <w:rFonts w:eastAsiaTheme="minorEastAsia"/>
        </w:rPr>
        <w:t xml:space="preserve"> </w:t>
      </w:r>
      <w:r>
        <w:rPr>
          <w:rFonts w:eastAsiaTheme="minorEastAsia"/>
        </w:rPr>
        <w:t>Parameter values used to model an outbreak of WNS in SBWB</w:t>
      </w:r>
      <w:r w:rsidR="000B04EF">
        <w:rPr>
          <w:rFonts w:eastAsiaTheme="minorEastAsia"/>
        </w:rPr>
        <w:t>s</w:t>
      </w:r>
      <w:r>
        <w:rPr>
          <w:rFonts w:eastAsiaTheme="minorEastAsia"/>
        </w:rPr>
        <w:t>.</w:t>
      </w:r>
      <w:r w:rsidR="00BE3EC4">
        <w:rPr>
          <w:rFonts w:eastAsiaTheme="minorEastAsia"/>
        </w:rPr>
        <w:t xml:space="preserve"> </w:t>
      </w:r>
      <w:r>
        <w:rPr>
          <w:rFonts w:eastAsiaTheme="minorEastAsia"/>
        </w:rPr>
        <w:t>Parameter values are per day.</w:t>
      </w:r>
      <w:bookmarkEnd w:id="160"/>
    </w:p>
    <w:tbl>
      <w:tblPr>
        <w:tblStyle w:val="TableGrid10"/>
        <w:tblW w:w="5000" w:type="pct"/>
        <w:tblLook w:val="04A0" w:firstRow="1" w:lastRow="0" w:firstColumn="1" w:lastColumn="0" w:noHBand="0" w:noVBand="1"/>
      </w:tblPr>
      <w:tblGrid>
        <w:gridCol w:w="1969"/>
        <w:gridCol w:w="5600"/>
        <w:gridCol w:w="2070"/>
      </w:tblGrid>
      <w:tr w:rsidR="00A33B57" w14:paraId="79FA5AED" w14:textId="77777777" w:rsidTr="00270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3A74746A" w14:textId="77777777" w:rsidR="00A33B57" w:rsidRDefault="00A33B57" w:rsidP="00DA5824">
            <w:pPr>
              <w:pStyle w:val="Tableheadingtext"/>
              <w:jc w:val="center"/>
              <w:rPr>
                <w:rFonts w:eastAsiaTheme="minorEastAsia"/>
              </w:rPr>
            </w:pPr>
            <w:r>
              <w:rPr>
                <w:rFonts w:eastAsiaTheme="minorEastAsia"/>
              </w:rPr>
              <w:t>Parameter</w:t>
            </w:r>
          </w:p>
        </w:tc>
        <w:tc>
          <w:tcPr>
            <w:tcW w:w="0" w:type="pct"/>
          </w:tcPr>
          <w:p w14:paraId="20A2E7C4" w14:textId="77777777" w:rsidR="00A33B57" w:rsidRDefault="00A33B57" w:rsidP="00DA5824">
            <w:pPr>
              <w:pStyle w:val="Tableheadingtext"/>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Description </w:t>
            </w:r>
          </w:p>
        </w:tc>
        <w:tc>
          <w:tcPr>
            <w:tcW w:w="0" w:type="pct"/>
          </w:tcPr>
          <w:p w14:paraId="24A21B34" w14:textId="77777777" w:rsidR="00A33B57" w:rsidRDefault="00A33B57" w:rsidP="00DA5824">
            <w:pPr>
              <w:pStyle w:val="Tableheadingtext"/>
              <w:jc w:val="center"/>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Values</w:t>
            </w:r>
          </w:p>
        </w:tc>
      </w:tr>
      <w:tr w:rsidR="00A33B57" w14:paraId="338CFA45"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147F296A" w14:textId="5AAE1B21" w:rsidR="00A33B57" w:rsidRPr="00CA6E95" w:rsidRDefault="00F361D7">
            <w:pPr>
              <w:spacing w:after="0"/>
              <w:jc w:val="center"/>
              <w:rPr>
                <w:rFonts w:ascii="Aptos" w:eastAsia="Aptos" w:hAnsi="Aptos" w:cs="Times New Roman"/>
                <w:bCs/>
              </w:rPr>
            </w:pPr>
            <m:oMathPara>
              <m:oMath>
                <m:r>
                  <w:rPr>
                    <w:rFonts w:ascii="Cambria Math" w:eastAsia="Aptos" w:hAnsi="Cambria Math" w:cs="Times New Roman"/>
                  </w:rPr>
                  <m:t>K</m:t>
                </m:r>
              </m:oMath>
            </m:oMathPara>
          </w:p>
        </w:tc>
        <w:tc>
          <w:tcPr>
            <w:tcW w:w="0" w:type="pct"/>
          </w:tcPr>
          <w:p w14:paraId="6D648FF6"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Bat carrying capacity</w:t>
            </w:r>
          </w:p>
        </w:tc>
        <w:tc>
          <w:tcPr>
            <w:tcW w:w="0" w:type="pct"/>
          </w:tcPr>
          <w:p w14:paraId="45F3C302"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18,000</w:t>
            </w:r>
          </w:p>
        </w:tc>
      </w:tr>
      <w:tr w:rsidR="00A33B57" w14:paraId="5F6FA4D7"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4269FB0A" w14:textId="779DFAB8" w:rsidR="00A33B57" w:rsidRPr="00CA6E95" w:rsidRDefault="00F361D7">
            <w:pPr>
              <w:spacing w:after="0"/>
              <w:jc w:val="center"/>
              <w:rPr>
                <w:rFonts w:ascii="Aptos" w:eastAsia="Aptos" w:hAnsi="Aptos" w:cs="Times New Roman"/>
                <w:bCs/>
              </w:rPr>
            </w:pPr>
            <m:oMathPara>
              <m:oMath>
                <m:r>
                  <w:rPr>
                    <w:rFonts w:ascii="Cambria Math" w:eastAsia="Aptos" w:hAnsi="Cambria Math" w:cs="Times New Roman"/>
                  </w:rPr>
                  <m:t>b</m:t>
                </m:r>
              </m:oMath>
            </m:oMathPara>
          </w:p>
        </w:tc>
        <w:tc>
          <w:tcPr>
            <w:tcW w:w="0" w:type="pct"/>
          </w:tcPr>
          <w:p w14:paraId="76D07D87"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Recruitment rate during breeding period</w:t>
            </w:r>
          </w:p>
        </w:tc>
        <w:tc>
          <w:tcPr>
            <w:tcW w:w="0" w:type="pct"/>
          </w:tcPr>
          <w:p w14:paraId="376CAE83"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A17DF0">
              <w:rPr>
                <w:rFonts w:eastAsiaTheme="minorEastAsia"/>
              </w:rPr>
              <w:t>0.0082</w:t>
            </w:r>
            <w:r>
              <w:rPr>
                <w:rFonts w:eastAsiaTheme="minorEastAsia"/>
              </w:rPr>
              <w:t>3</w:t>
            </w:r>
          </w:p>
        </w:tc>
      </w:tr>
      <w:tr w:rsidR="00A33B57" w14:paraId="561A1583"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5913B05C" w14:textId="2FAD2812" w:rsidR="00A33B57" w:rsidRPr="00CA6E95" w:rsidRDefault="008260DF">
            <w:pPr>
              <w:spacing w:after="0"/>
              <w:jc w:val="center"/>
              <w:rPr>
                <w:rFonts w:ascii="Aptos" w:eastAsia="Aptos" w:hAnsi="Aptos" w:cs="Times New Roman"/>
                <w:bCs/>
              </w:rPr>
            </w:pPr>
            <m:oMathPara>
              <m:oMath>
                <m:r>
                  <w:rPr>
                    <w:rFonts w:ascii="Cambria Math" w:eastAsia="Aptos" w:hAnsi="Cambria Math" w:cs="Times New Roman"/>
                  </w:rPr>
                  <m:t>d</m:t>
                </m:r>
              </m:oMath>
            </m:oMathPara>
          </w:p>
        </w:tc>
        <w:tc>
          <w:tcPr>
            <w:tcW w:w="0" w:type="pct"/>
          </w:tcPr>
          <w:p w14:paraId="6361949C"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Natural mortality rate</w:t>
            </w:r>
          </w:p>
        </w:tc>
        <w:tc>
          <w:tcPr>
            <w:tcW w:w="0" w:type="pct"/>
          </w:tcPr>
          <w:p w14:paraId="318F00AF"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BB720F">
              <w:rPr>
                <w:rFonts w:eastAsiaTheme="minorEastAsia"/>
              </w:rPr>
              <w:t>0.00061</w:t>
            </w:r>
          </w:p>
        </w:tc>
      </w:tr>
      <w:tr w:rsidR="00A33B57" w14:paraId="35455C92"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41B8178F" w14:textId="2DF8B610" w:rsidR="00A33B57" w:rsidRPr="00CA6E95" w:rsidRDefault="00F361D7">
            <w:pPr>
              <w:spacing w:after="0"/>
              <w:jc w:val="center"/>
              <w:rPr>
                <w:rFonts w:ascii="Aptos" w:eastAsia="Aptos" w:hAnsi="Aptos" w:cs="Times New Roman"/>
                <w:bCs/>
              </w:rPr>
            </w:pPr>
            <m:oMathPara>
              <m:oMath>
                <m:r>
                  <w:rPr>
                    <w:rFonts w:ascii="Cambria Math" w:eastAsia="Aptos" w:hAnsi="Cambria Math" w:cs="Times New Roman"/>
                  </w:rPr>
                  <m:t>g</m:t>
                </m:r>
              </m:oMath>
            </m:oMathPara>
          </w:p>
        </w:tc>
        <w:tc>
          <w:tcPr>
            <w:tcW w:w="0" w:type="pct"/>
          </w:tcPr>
          <w:p w14:paraId="4E6CA20A"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Density-dependent factor</w:t>
            </w:r>
          </w:p>
        </w:tc>
        <w:tc>
          <w:tcPr>
            <w:tcW w:w="0" w:type="pct"/>
          </w:tcPr>
          <w:p w14:paraId="38913259" w14:textId="77777777" w:rsidR="00A33B57" w:rsidRPr="00BB720F"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A17DF0">
              <w:rPr>
                <w:rFonts w:eastAsiaTheme="minorEastAsia"/>
              </w:rPr>
              <w:t>0.00076</w:t>
            </w:r>
          </w:p>
        </w:tc>
      </w:tr>
      <w:tr w:rsidR="00A33B57" w14:paraId="54D58C6D"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40FD1785" w14:textId="2F42144C" w:rsidR="00A33B57" w:rsidRPr="00CA6E95" w:rsidRDefault="00F361D7">
            <w:pPr>
              <w:spacing w:after="0"/>
              <w:jc w:val="center"/>
              <w:rPr>
                <w:rFonts w:eastAsiaTheme="minorEastAsia"/>
                <w:bCs/>
                <w:iCs/>
              </w:rPr>
            </w:pPr>
            <m:oMathPara>
              <m:oMath>
                <m:r>
                  <m:rPr>
                    <m:sty m:val="p"/>
                  </m:rPr>
                  <w:rPr>
                    <w:rFonts w:ascii="Cambria Math" w:eastAsiaTheme="minorEastAsia" w:hAnsi="Cambria Math"/>
                  </w:rPr>
                  <m:t>β</m:t>
                </m:r>
              </m:oMath>
            </m:oMathPara>
          </w:p>
        </w:tc>
        <w:tc>
          <w:tcPr>
            <w:tcW w:w="0" w:type="pct"/>
          </w:tcPr>
          <w:p w14:paraId="487C11EC"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Bat-to-bat transmission rate </w:t>
            </w:r>
          </w:p>
        </w:tc>
        <w:tc>
          <w:tcPr>
            <w:tcW w:w="0" w:type="pct"/>
          </w:tcPr>
          <w:p w14:paraId="5AC864F2"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BB720F">
              <w:rPr>
                <w:rFonts w:eastAsiaTheme="minorEastAsia"/>
              </w:rPr>
              <w:t>4.1</w:t>
            </w:r>
            <w:r>
              <w:rPr>
                <w:rFonts w:eastAsiaTheme="minorEastAsia"/>
              </w:rPr>
              <w:t>9e</w:t>
            </w:r>
            <w:r w:rsidRPr="00BB720F">
              <w:rPr>
                <w:rFonts w:eastAsiaTheme="minorEastAsia"/>
              </w:rPr>
              <w:t>-06</w:t>
            </w:r>
          </w:p>
        </w:tc>
      </w:tr>
      <w:tr w:rsidR="00A33B57" w14:paraId="2BA653A1"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1F791CBF" w14:textId="57AC17F9" w:rsidR="00A33B57" w:rsidRPr="00CA6E95" w:rsidRDefault="00F361D7">
            <w:pPr>
              <w:spacing w:after="0"/>
              <w:jc w:val="center"/>
              <w:rPr>
                <w:rFonts w:ascii="Aptos" w:eastAsia="Aptos" w:hAnsi="Aptos" w:cs="Times New Roman"/>
                <w:bCs/>
              </w:rPr>
            </w:pPr>
            <m:oMathPara>
              <m:oMath>
                <m:r>
                  <w:rPr>
                    <w:rFonts w:ascii="Cambria Math" w:eastAsia="Aptos" w:hAnsi="Cambria Math" w:cs="Times New Roman"/>
                  </w:rPr>
                  <m:t>ψ</m:t>
                </m:r>
              </m:oMath>
            </m:oMathPara>
          </w:p>
        </w:tc>
        <w:tc>
          <w:tcPr>
            <w:tcW w:w="0" w:type="pct"/>
          </w:tcPr>
          <w:p w14:paraId="04509B7D"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Cave-to-bat transmission rate</w:t>
            </w:r>
          </w:p>
        </w:tc>
        <w:tc>
          <w:tcPr>
            <w:tcW w:w="0" w:type="pct"/>
          </w:tcPr>
          <w:p w14:paraId="2369C48E"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BB720F">
              <w:rPr>
                <w:rFonts w:eastAsiaTheme="minorEastAsia"/>
              </w:rPr>
              <w:t>1.73e-13</w:t>
            </w:r>
          </w:p>
        </w:tc>
      </w:tr>
      <w:tr w:rsidR="00A33B57" w14:paraId="2C8AB6D5"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26E30B60" w14:textId="79815378" w:rsidR="00A33B57" w:rsidRPr="00CA6E95" w:rsidRDefault="00F361D7">
            <w:pPr>
              <w:spacing w:after="0"/>
              <w:jc w:val="center"/>
              <w:rPr>
                <w:rFonts w:eastAsiaTheme="minorEastAsia"/>
                <w:bCs/>
                <w:iCs/>
              </w:rPr>
            </w:pPr>
            <m:oMathPara>
              <m:oMath>
                <m:r>
                  <m:rPr>
                    <m:sty m:val="p"/>
                  </m:rPr>
                  <w:rPr>
                    <w:rFonts w:ascii="Cambria Math" w:eastAsiaTheme="minorEastAsia" w:hAnsi="Cambria Math"/>
                  </w:rPr>
                  <m:t>τ</m:t>
                </m:r>
              </m:oMath>
            </m:oMathPara>
          </w:p>
        </w:tc>
        <w:tc>
          <w:tcPr>
            <w:tcW w:w="0" w:type="pct"/>
          </w:tcPr>
          <w:p w14:paraId="6F382B14"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Latent period</w:t>
            </w:r>
          </w:p>
        </w:tc>
        <w:tc>
          <w:tcPr>
            <w:tcW w:w="0" w:type="pct"/>
          </w:tcPr>
          <w:p w14:paraId="58D989DD"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1/83</w:t>
            </w:r>
          </w:p>
        </w:tc>
      </w:tr>
      <w:tr w:rsidR="00A33B57" w14:paraId="56E9EAD3"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6094D129" w14:textId="5C2F4FDD" w:rsidR="00A33B57" w:rsidRPr="00CA6E95" w:rsidRDefault="00F361D7">
            <w:pPr>
              <w:spacing w:after="0"/>
              <w:jc w:val="center"/>
              <w:rPr>
                <w:rFonts w:eastAsiaTheme="minorEastAsia"/>
                <w:bCs/>
                <w:iCs/>
              </w:rPr>
            </w:pPr>
            <m:oMathPara>
              <m:oMath>
                <m:r>
                  <m:rPr>
                    <m:sty m:val="p"/>
                  </m:rPr>
                  <w:rPr>
                    <w:rFonts w:ascii="Cambria Math" w:eastAsiaTheme="minorEastAsia" w:hAnsi="Cambria Math"/>
                  </w:rPr>
                  <m:t>α</m:t>
                </m:r>
              </m:oMath>
            </m:oMathPara>
          </w:p>
        </w:tc>
        <w:tc>
          <w:tcPr>
            <w:tcW w:w="0" w:type="pct"/>
          </w:tcPr>
          <w:p w14:paraId="4828EC2F"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Disease-induced mortality rate</w:t>
            </w:r>
          </w:p>
        </w:tc>
        <w:tc>
          <w:tcPr>
            <w:tcW w:w="0" w:type="pct"/>
          </w:tcPr>
          <w:p w14:paraId="64F99C31"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1/60</w:t>
            </w:r>
          </w:p>
        </w:tc>
      </w:tr>
      <w:tr w:rsidR="00A33B57" w14:paraId="22834E89"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66E2977D" w14:textId="0D5D38AE" w:rsidR="00A33B57" w:rsidRPr="00CA6E95" w:rsidRDefault="00F361D7">
            <w:pPr>
              <w:spacing w:after="0"/>
              <w:jc w:val="center"/>
              <w:rPr>
                <w:rFonts w:ascii="Aptos" w:eastAsia="Aptos" w:hAnsi="Aptos" w:cs="Times New Roman"/>
                <w:bCs/>
                <w:iCs/>
              </w:rPr>
            </w:pPr>
            <m:oMathPara>
              <m:oMath>
                <m:r>
                  <m:rPr>
                    <m:sty m:val="p"/>
                  </m:rPr>
                  <w:rPr>
                    <w:rFonts w:ascii="Cambria Math" w:eastAsia="Aptos" w:hAnsi="Cambria Math" w:cs="Times New Roman"/>
                  </w:rPr>
                  <m:t>γ</m:t>
                </m:r>
              </m:oMath>
            </m:oMathPara>
          </w:p>
        </w:tc>
        <w:tc>
          <w:tcPr>
            <w:tcW w:w="0" w:type="pct"/>
          </w:tcPr>
          <w:p w14:paraId="1DDA7366" w14:textId="50C2202E"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Recovery rate of exposed bats during </w:t>
            </w:r>
            <w:r w:rsidR="005C1140">
              <w:rPr>
                <w:rFonts w:eastAsiaTheme="minorEastAsia"/>
              </w:rPr>
              <w:t>active phase</w:t>
            </w:r>
          </w:p>
        </w:tc>
        <w:tc>
          <w:tcPr>
            <w:tcW w:w="0" w:type="pct"/>
          </w:tcPr>
          <w:p w14:paraId="6089D37D"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EC0828">
              <w:rPr>
                <w:rFonts w:eastAsiaTheme="minorEastAsia"/>
              </w:rPr>
              <w:t>0.00396</w:t>
            </w:r>
          </w:p>
        </w:tc>
      </w:tr>
      <w:tr w:rsidR="00A33B57" w14:paraId="140384FC"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2268955E" w14:textId="520D58E7" w:rsidR="00A33B57" w:rsidRPr="00CA6E95" w:rsidRDefault="00F361D7">
            <w:pPr>
              <w:spacing w:after="0"/>
              <w:jc w:val="center"/>
              <w:rPr>
                <w:rFonts w:ascii="Aptos" w:eastAsia="Aptos" w:hAnsi="Aptos" w:cs="Times New Roman"/>
                <w:bCs/>
              </w:rPr>
            </w:pPr>
            <m:oMathPara>
              <m:oMath>
                <m:r>
                  <w:rPr>
                    <w:rFonts w:ascii="Cambria Math" w:eastAsia="Aptos" w:hAnsi="Cambria Math" w:cs="Times New Roman"/>
                  </w:rPr>
                  <m:t>ε</m:t>
                </m:r>
              </m:oMath>
            </m:oMathPara>
          </w:p>
        </w:tc>
        <w:tc>
          <w:tcPr>
            <w:tcW w:w="0" w:type="pct"/>
          </w:tcPr>
          <w:p w14:paraId="21370873" w14:textId="41DB2108"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Recovery rate of infected bats during </w:t>
            </w:r>
            <w:r w:rsidR="005C1140">
              <w:rPr>
                <w:rFonts w:eastAsiaTheme="minorEastAsia"/>
              </w:rPr>
              <w:t>active phase</w:t>
            </w:r>
          </w:p>
        </w:tc>
        <w:tc>
          <w:tcPr>
            <w:tcW w:w="0" w:type="pct"/>
          </w:tcPr>
          <w:p w14:paraId="574BDA53"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EC0828">
              <w:rPr>
                <w:rFonts w:eastAsiaTheme="minorEastAsia"/>
              </w:rPr>
              <w:t>0.00396</w:t>
            </w:r>
          </w:p>
        </w:tc>
      </w:tr>
      <w:tr w:rsidR="00A33B57" w14:paraId="4834AF58" w14:textId="77777777">
        <w:tc>
          <w:tcPr>
            <w:cnfStyle w:val="001000000000" w:firstRow="0" w:lastRow="0" w:firstColumn="1" w:lastColumn="0" w:oddVBand="0" w:evenVBand="0" w:oddHBand="0" w:evenHBand="0" w:firstRowFirstColumn="0" w:firstRowLastColumn="0" w:lastRowFirstColumn="0" w:lastRowLastColumn="0"/>
            <w:tcW w:w="1021" w:type="pct"/>
          </w:tcPr>
          <w:p w14:paraId="6611816D" w14:textId="056700F5" w:rsidR="00A33B57" w:rsidRPr="00CA6E95" w:rsidRDefault="00000000">
            <w:pPr>
              <w:spacing w:after="0"/>
              <w:jc w:val="center"/>
              <w:rPr>
                <w:rFonts w:ascii="Aptos" w:eastAsia="Aptos" w:hAnsi="Aptos" w:cs="Times New Roman"/>
                <w:bCs/>
              </w:rPr>
            </w:pPr>
            <m:oMathPara>
              <m:oMath>
                <m:sSub>
                  <m:sSubPr>
                    <m:ctrlPr>
                      <w:rPr>
                        <w:rFonts w:ascii="Cambria Math" w:eastAsia="Aptos" w:hAnsi="Cambria Math" w:cs="Times New Roman"/>
                        <w:bCs/>
                        <w:i/>
                      </w:rPr>
                    </m:ctrlPr>
                  </m:sSubPr>
                  <m:e>
                    <m:r>
                      <w:rPr>
                        <w:rFonts w:ascii="Cambria Math" w:eastAsia="Aptos" w:hAnsi="Cambria Math" w:cs="Times New Roman"/>
                      </w:rPr>
                      <m:t>K</m:t>
                    </m:r>
                  </m:e>
                  <m:sub>
                    <m:r>
                      <w:rPr>
                        <w:rFonts w:ascii="Cambria Math" w:eastAsia="Aptos" w:hAnsi="Cambria Math" w:cs="Times New Roman"/>
                      </w:rPr>
                      <m:t>p</m:t>
                    </m:r>
                  </m:sub>
                </m:sSub>
              </m:oMath>
            </m:oMathPara>
          </w:p>
        </w:tc>
        <w:tc>
          <w:tcPr>
            <w:tcW w:w="2905" w:type="pct"/>
          </w:tcPr>
          <w:p w14:paraId="489F102F"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Cave carrying-capacity for </w:t>
            </w:r>
            <w:r w:rsidRPr="007702F7">
              <w:rPr>
                <w:rFonts w:eastAsiaTheme="minorEastAsia"/>
                <w:i/>
                <w:iCs/>
              </w:rPr>
              <w:t xml:space="preserve">P. </w:t>
            </w:r>
            <w:proofErr w:type="spellStart"/>
            <w:r w:rsidRPr="007702F7">
              <w:rPr>
                <w:rFonts w:eastAsiaTheme="minorEastAsia"/>
                <w:i/>
                <w:iCs/>
              </w:rPr>
              <w:t>destructans</w:t>
            </w:r>
            <w:proofErr w:type="spellEnd"/>
            <w:r>
              <w:rPr>
                <w:rFonts w:eastAsiaTheme="minorEastAsia"/>
              </w:rPr>
              <w:t xml:space="preserve"> </w:t>
            </w:r>
          </w:p>
        </w:tc>
        <w:tc>
          <w:tcPr>
            <w:tcW w:w="1074" w:type="pct"/>
          </w:tcPr>
          <w:p w14:paraId="193CAFE5"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1e10</w:t>
            </w:r>
          </w:p>
        </w:tc>
      </w:tr>
      <w:tr w:rsidR="00A33B57" w14:paraId="3DB3C6E8"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2837A3EE" w14:textId="249FB36F" w:rsidR="00A33B57" w:rsidRPr="00CA6E95" w:rsidRDefault="00F361D7">
            <w:pPr>
              <w:spacing w:after="0"/>
              <w:jc w:val="center"/>
              <w:rPr>
                <w:rFonts w:ascii="Aptos" w:eastAsia="Aptos" w:hAnsi="Aptos" w:cs="Times New Roman"/>
                <w:bCs/>
              </w:rPr>
            </w:pPr>
            <m:oMathPara>
              <m:oMath>
                <m:r>
                  <w:rPr>
                    <w:rFonts w:ascii="Cambria Math" w:eastAsia="Aptos" w:hAnsi="Cambria Math" w:cs="Times New Roman"/>
                  </w:rPr>
                  <m:t>η</m:t>
                </m:r>
              </m:oMath>
            </m:oMathPara>
          </w:p>
        </w:tc>
        <w:tc>
          <w:tcPr>
            <w:tcW w:w="0" w:type="pct"/>
          </w:tcPr>
          <w:p w14:paraId="79989695"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Growth rate of </w:t>
            </w:r>
            <w:r w:rsidRPr="00A17DF0">
              <w:rPr>
                <w:rFonts w:eastAsiaTheme="minorEastAsia"/>
                <w:i/>
                <w:iCs/>
              </w:rPr>
              <w:t xml:space="preserve">P. </w:t>
            </w:r>
            <w:proofErr w:type="spellStart"/>
            <w:r w:rsidRPr="00A17DF0">
              <w:rPr>
                <w:rFonts w:eastAsiaTheme="minorEastAsia"/>
                <w:i/>
                <w:iCs/>
              </w:rPr>
              <w:t>destructans</w:t>
            </w:r>
            <w:proofErr w:type="spellEnd"/>
            <w:r w:rsidRPr="007702F7">
              <w:rPr>
                <w:rFonts w:eastAsiaTheme="minorEastAsia"/>
              </w:rPr>
              <w:t xml:space="preserve"> in cave</w:t>
            </w:r>
            <w:r>
              <w:rPr>
                <w:rFonts w:eastAsiaTheme="minorEastAsia"/>
              </w:rPr>
              <w:t xml:space="preserve"> sediments</w:t>
            </w:r>
          </w:p>
        </w:tc>
        <w:tc>
          <w:tcPr>
            <w:tcW w:w="0" w:type="pct"/>
          </w:tcPr>
          <w:p w14:paraId="6DD5CA03"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0.5</w:t>
            </w:r>
          </w:p>
        </w:tc>
      </w:tr>
      <w:tr w:rsidR="00A33B57" w14:paraId="3C81675C" w14:textId="77777777" w:rsidTr="00270D41">
        <w:tc>
          <w:tcPr>
            <w:cnfStyle w:val="001000000000" w:firstRow="0" w:lastRow="0" w:firstColumn="1" w:lastColumn="0" w:oddVBand="0" w:evenVBand="0" w:oddHBand="0" w:evenHBand="0" w:firstRowFirstColumn="0" w:firstRowLastColumn="0" w:lastRowFirstColumn="0" w:lastRowLastColumn="0"/>
            <w:tcW w:w="0" w:type="pct"/>
          </w:tcPr>
          <w:p w14:paraId="34E288D3" w14:textId="07B396DA" w:rsidR="00A33B57" w:rsidRPr="00CA6E95" w:rsidRDefault="00F361D7">
            <w:pPr>
              <w:spacing w:after="0"/>
              <w:jc w:val="center"/>
              <w:rPr>
                <w:rFonts w:ascii="Aptos" w:eastAsia="Aptos" w:hAnsi="Aptos" w:cs="Times New Roman"/>
                <w:bCs/>
                <w:iCs/>
              </w:rPr>
            </w:pPr>
            <m:oMathPara>
              <m:oMath>
                <m:r>
                  <m:rPr>
                    <m:sty m:val="p"/>
                  </m:rPr>
                  <w:rPr>
                    <w:rFonts w:ascii="Cambria Math" w:eastAsia="Aptos" w:hAnsi="Cambria Math" w:cs="Times New Roman"/>
                  </w:rPr>
                  <m:t>ω</m:t>
                </m:r>
              </m:oMath>
            </m:oMathPara>
          </w:p>
        </w:tc>
        <w:tc>
          <w:tcPr>
            <w:tcW w:w="0" w:type="pct"/>
          </w:tcPr>
          <w:p w14:paraId="71A7D89F" w14:textId="77777777" w:rsidR="00A33B57" w:rsidRDefault="00A33B57">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Shedding rate from infected bats to cave sediments</w:t>
            </w:r>
          </w:p>
        </w:tc>
        <w:tc>
          <w:tcPr>
            <w:tcW w:w="0" w:type="pct"/>
          </w:tcPr>
          <w:p w14:paraId="4F2E4106" w14:textId="77777777" w:rsidR="00A33B57" w:rsidRDefault="00A33B5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50</w:t>
            </w:r>
          </w:p>
        </w:tc>
      </w:tr>
    </w:tbl>
    <w:p w14:paraId="4B6708A4" w14:textId="77777777" w:rsidR="00A33B57" w:rsidRDefault="00A33B57" w:rsidP="00A33B57">
      <w:pPr>
        <w:rPr>
          <w:rFonts w:eastAsiaTheme="minorEastAsia"/>
        </w:rPr>
      </w:pPr>
    </w:p>
    <w:p w14:paraId="4A95A405" w14:textId="77777777" w:rsidR="008271B0" w:rsidRPr="009F4D0A" w:rsidRDefault="008271B0" w:rsidP="00A33B57">
      <w:pPr>
        <w:rPr>
          <w:rFonts w:eastAsiaTheme="minorEastAsia"/>
        </w:rPr>
      </w:pPr>
    </w:p>
    <w:p w14:paraId="30662764" w14:textId="20E71953" w:rsidR="006B043C" w:rsidRDefault="008271B0" w:rsidP="006B043C">
      <w:pPr>
        <w:jc w:val="center"/>
        <w:rPr>
          <w:rFonts w:eastAsiaTheme="minorEastAsia"/>
          <w:b/>
          <w:bCs/>
        </w:rPr>
      </w:pPr>
      <w:r>
        <w:rPr>
          <w:rFonts w:eastAsiaTheme="minorEastAsia"/>
          <w:b/>
          <w:bCs/>
          <w:noProof/>
        </w:rPr>
        <w:drawing>
          <wp:inline distT="0" distB="0" distL="0" distR="0" wp14:anchorId="52CA901F" wp14:editId="4D98B14C">
            <wp:extent cx="5040000" cy="3128400"/>
            <wp:effectExtent l="0" t="0" r="8255" b="0"/>
            <wp:docPr id="508010448" name="Picture 3" descr="A graph of a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10448" name="Picture 3" descr="A graph of a number of years&#10;&#10;AI-generated content may be incorrect."/>
                    <pic:cNvPicPr/>
                  </pic:nvPicPr>
                  <pic:blipFill>
                    <a:blip r:embed="rId79" cstate="screen">
                      <a:extLst>
                        <a:ext uri="{28A0092B-C50C-407E-A947-70E740481C1C}">
                          <a14:useLocalDpi xmlns:a14="http://schemas.microsoft.com/office/drawing/2010/main" val="0"/>
                        </a:ext>
                      </a:extLst>
                    </a:blip>
                    <a:stretch>
                      <a:fillRect/>
                    </a:stretch>
                  </pic:blipFill>
                  <pic:spPr>
                    <a:xfrm>
                      <a:off x="0" y="0"/>
                      <a:ext cx="5040000" cy="3128400"/>
                    </a:xfrm>
                    <a:prstGeom prst="rect">
                      <a:avLst/>
                    </a:prstGeom>
                  </pic:spPr>
                </pic:pic>
              </a:graphicData>
            </a:graphic>
          </wp:inline>
        </w:drawing>
      </w:r>
    </w:p>
    <w:p w14:paraId="5A01E73E" w14:textId="5994F644" w:rsidR="006B043C" w:rsidRDefault="006B043C" w:rsidP="006B043C">
      <w:pPr>
        <w:pStyle w:val="Caption-Figure"/>
      </w:pPr>
      <w:bookmarkStart w:id="161" w:name="_Toc198634187"/>
      <w:r>
        <w:t xml:space="preserve">Figure A7. </w:t>
      </w:r>
      <w:r w:rsidRPr="00300E5F">
        <w:t>Counts of SBWB</w:t>
      </w:r>
      <w:r w:rsidR="007F1C87">
        <w:t>s</w:t>
      </w:r>
      <w:r w:rsidRPr="00300E5F">
        <w:t xml:space="preserve"> </w:t>
      </w:r>
      <w:r w:rsidR="008E5084">
        <w:t xml:space="preserve">(N) </w:t>
      </w:r>
      <w:r w:rsidRPr="00300E5F">
        <w:t>emerging from the Warrnambool cave and surround</w:t>
      </w:r>
      <w:r>
        <w:t>ing non-breeding caves</w:t>
      </w:r>
      <w:r w:rsidRPr="00300E5F">
        <w:t xml:space="preserve"> during the breeding seasons 2018–2022</w:t>
      </w:r>
      <w:r>
        <w:t xml:space="preserve"> (Lumsden and Bush unpublished data)</w:t>
      </w:r>
      <w:r w:rsidRPr="00300E5F">
        <w:t>.</w:t>
      </w:r>
      <w:r>
        <w:t xml:space="preserve"> </w:t>
      </w:r>
      <w:r w:rsidRPr="00300E5F">
        <w:t xml:space="preserve">Counts were undertaken when pups were pre-volant </w:t>
      </w:r>
      <w:r>
        <w:t>(</w:t>
      </w:r>
      <w:r w:rsidRPr="00300E5F">
        <w:t>blue circles)</w:t>
      </w:r>
      <w:r w:rsidR="007F1C87">
        <w:t xml:space="preserve">, </w:t>
      </w:r>
      <w:r w:rsidRPr="00300E5F">
        <w:t>and then around two months later as pups became volant (red circles).</w:t>
      </w:r>
      <w:r>
        <w:t xml:space="preserve"> Error-bars denote the standard deviation of replicate counts.</w:t>
      </w:r>
      <w:bookmarkEnd w:id="161"/>
      <w:r>
        <w:t xml:space="preserve"> </w:t>
      </w:r>
    </w:p>
    <w:p w14:paraId="2F4E9C61" w14:textId="77777777" w:rsidR="00A33B57" w:rsidRDefault="00A33B57" w:rsidP="00591C51"/>
    <w:p w14:paraId="6461AA9F" w14:textId="06729817" w:rsidR="007C49A5" w:rsidRDefault="007C49A5" w:rsidP="00591C51">
      <w:r>
        <w:t>Qualitatively, our model of WNS impacts on SBWB</w:t>
      </w:r>
      <w:r w:rsidR="007F1C87">
        <w:t>s</w:t>
      </w:r>
      <w:r>
        <w:t xml:space="preserve"> was </w:t>
      </w:r>
      <w:proofErr w:type="gramStart"/>
      <w:r>
        <w:t>similar to</w:t>
      </w:r>
      <w:proofErr w:type="gramEnd"/>
      <w:r>
        <w:t xml:space="preserve"> that of Meyer </w:t>
      </w:r>
      <w:r w:rsidRPr="00DA5824">
        <w:t>et al</w:t>
      </w:r>
      <w:r w:rsidRPr="007F1C87">
        <w:t>.</w:t>
      </w:r>
      <w:r>
        <w:t xml:space="preserve"> (2016), which indicated a 75% decline in Little Brown Bats within two years</w:t>
      </w:r>
      <w:r w:rsidR="007F1C87">
        <w:t>,</w:t>
      </w:r>
      <w:r>
        <w:t xml:space="preserve"> assuming bats undergo a 7</w:t>
      </w:r>
      <w:r w:rsidR="000767EE">
        <w:t>-</w:t>
      </w:r>
      <w:r>
        <w:t>month torpor period with eventual extinction within 10 years</w:t>
      </w:r>
      <w:r w:rsidR="0028280C">
        <w:t xml:space="preserve"> (Figures 16</w:t>
      </w:r>
      <w:proofErr w:type="gramStart"/>
      <w:r w:rsidR="0028280C">
        <w:t>a,b</w:t>
      </w:r>
      <w:proofErr w:type="gramEnd"/>
      <w:r w:rsidR="0028280C">
        <w:t>)</w:t>
      </w:r>
      <w:r>
        <w:t>.</w:t>
      </w:r>
    </w:p>
    <w:p w14:paraId="6080D190" w14:textId="68631E6B" w:rsidR="007C49A5" w:rsidRPr="00C10921" w:rsidRDefault="007C49A5" w:rsidP="007C49A5">
      <w:pPr>
        <w:rPr>
          <w:rFonts w:eastAsiaTheme="minorEastAsia"/>
        </w:rPr>
      </w:pPr>
      <w:r w:rsidRPr="00C10921">
        <w:rPr>
          <w:rFonts w:eastAsiaTheme="minorEastAsia"/>
        </w:rPr>
        <w:t xml:space="preserve">As with the other case studies, we varied the values of the key parameters by </w:t>
      </w:r>
      <m:oMath>
        <m:r>
          <w:rPr>
            <w:rFonts w:ascii="Cambria Math" w:eastAsiaTheme="minorEastAsia" w:hAnsi="Cambria Math"/>
          </w:rPr>
          <m:t>±</m:t>
        </m:r>
      </m:oMath>
      <w:r w:rsidRPr="00C10921">
        <w:rPr>
          <w:rFonts w:eastAsiaTheme="minorEastAsia"/>
        </w:rPr>
        <w:t xml:space="preserve"> 30% and then drew 500</w:t>
      </w:r>
      <w:r w:rsidR="007F1C87">
        <w:rPr>
          <w:rFonts w:eastAsiaTheme="minorEastAsia"/>
        </w:rPr>
        <w:t> </w:t>
      </w:r>
      <w:r w:rsidRPr="00C10921">
        <w:rPr>
          <w:rFonts w:eastAsiaTheme="minorEastAsia"/>
        </w:rPr>
        <w:t xml:space="preserve">random parameter values using Latin Hypercube sampling to determine the sensitivity of our conclusions to the key epidemiological parameters. </w:t>
      </w:r>
      <w:r w:rsidR="00272341">
        <w:rPr>
          <w:rFonts w:eastAsiaTheme="minorEastAsia"/>
        </w:rPr>
        <w:t xml:space="preserve">Sensitivity analysis </w:t>
      </w:r>
      <w:r w:rsidRPr="00C10921">
        <w:rPr>
          <w:rFonts w:eastAsiaTheme="minorEastAsia"/>
        </w:rPr>
        <w:t>revealed t</w:t>
      </w:r>
      <w:r w:rsidR="00272341">
        <w:rPr>
          <w:rFonts w:eastAsiaTheme="minorEastAsia"/>
        </w:rPr>
        <w:t>hat t</w:t>
      </w:r>
      <w:r w:rsidRPr="00C10921">
        <w:rPr>
          <w:rFonts w:eastAsiaTheme="minorEastAsia"/>
        </w:rPr>
        <w:t>he proportional reduction in the population size after 10 years was most sensitive to the recovery rate of exposed bats</w:t>
      </w:r>
      <w:r w:rsidR="007F1C87">
        <w:rPr>
          <w:rFonts w:eastAsiaTheme="minorEastAsia"/>
        </w:rPr>
        <w:t>,</w:t>
      </w:r>
      <w:r w:rsidRPr="00C10921">
        <w:rPr>
          <w:rFonts w:eastAsiaTheme="minorEastAsia"/>
        </w:rPr>
        <w:t xml:space="preserve"> following emergence from winter torpor (</w:t>
      </w:r>
      <m:oMath>
        <m:r>
          <w:rPr>
            <w:rFonts w:ascii="Cambria Math" w:eastAsiaTheme="minorEastAsia" w:hAnsi="Cambria Math"/>
          </w:rPr>
          <m:t>γ</m:t>
        </m:r>
      </m:oMath>
      <w:r w:rsidRPr="00C10921">
        <w:rPr>
          <w:rFonts w:eastAsiaTheme="minorEastAsia"/>
        </w:rPr>
        <w:t>) as well as the bat-to-bat transmission rate (</w:t>
      </w:r>
      <m:oMath>
        <m:r>
          <w:rPr>
            <w:rFonts w:ascii="Cambria Math" w:eastAsiaTheme="minorEastAsia" w:hAnsi="Cambria Math"/>
          </w:rPr>
          <m:t>β</m:t>
        </m:r>
      </m:oMath>
      <w:r w:rsidRPr="00C10921">
        <w:rPr>
          <w:rFonts w:eastAsiaTheme="minorEastAsia"/>
        </w:rPr>
        <w:t>).</w:t>
      </w:r>
      <w:r>
        <w:rPr>
          <w:rFonts w:eastAsiaTheme="minorEastAsia"/>
        </w:rPr>
        <w:t xml:space="preserve"> </w:t>
      </w:r>
      <w:r w:rsidRPr="00C10921">
        <w:rPr>
          <w:rFonts w:eastAsiaTheme="minorEastAsia"/>
        </w:rPr>
        <w:t>Peak prevalence was most sensitive to both bat-to-bat and environment-to-bat transmission (</w:t>
      </w:r>
      <m:oMath>
        <m:r>
          <w:rPr>
            <w:rFonts w:ascii="Cambria Math" w:eastAsiaTheme="minorEastAsia" w:hAnsi="Cambria Math"/>
          </w:rPr>
          <m:t>ψ</m:t>
        </m:r>
      </m:oMath>
      <w:r w:rsidRPr="00C10921">
        <w:rPr>
          <w:rFonts w:eastAsiaTheme="minorEastAsia"/>
        </w:rPr>
        <w:t>)</w:t>
      </w:r>
      <w:r w:rsidR="007F1C87">
        <w:rPr>
          <w:rFonts w:eastAsiaTheme="minorEastAsia"/>
        </w:rPr>
        <w:t xml:space="preserve">, </w:t>
      </w:r>
      <w:r w:rsidRPr="00C10921">
        <w:rPr>
          <w:rFonts w:eastAsiaTheme="minorEastAsia"/>
        </w:rPr>
        <w:t>as well as the latent period for exposed bats (</w:t>
      </w:r>
      <m:oMath>
        <m:r>
          <w:rPr>
            <w:rFonts w:ascii="Cambria Math" w:eastAsiaTheme="minorEastAsia" w:hAnsi="Cambria Math"/>
          </w:rPr>
          <m:t>τ</m:t>
        </m:r>
      </m:oMath>
      <w:r w:rsidRPr="00C10921">
        <w:rPr>
          <w:rFonts w:eastAsiaTheme="minorEastAsia"/>
        </w:rPr>
        <w:t>)</w:t>
      </w:r>
      <w:r w:rsidR="00272341">
        <w:rPr>
          <w:rFonts w:eastAsiaTheme="minorEastAsia"/>
        </w:rPr>
        <w:t xml:space="preserve"> (Figure A8)</w:t>
      </w:r>
      <w:r w:rsidRPr="00C10921">
        <w:rPr>
          <w:rFonts w:eastAsiaTheme="minorEastAsia"/>
        </w:rPr>
        <w:t xml:space="preserve">. </w:t>
      </w:r>
    </w:p>
    <w:p w14:paraId="39C84DD8" w14:textId="77777777" w:rsidR="007C49A5" w:rsidRDefault="007C49A5" w:rsidP="00591C51"/>
    <w:p w14:paraId="7FE38DC4" w14:textId="42A0D840" w:rsidR="007C49A5" w:rsidRDefault="007C49A5" w:rsidP="004707E6">
      <w:r>
        <w:t xml:space="preserve"> </w:t>
      </w:r>
    </w:p>
    <w:p w14:paraId="024350F2" w14:textId="77777777" w:rsidR="007C49A5" w:rsidRDefault="007C49A5" w:rsidP="00591C51"/>
    <w:p w14:paraId="68EB7040" w14:textId="77777777" w:rsidR="00382668" w:rsidRDefault="00382668" w:rsidP="00382668">
      <w:r>
        <w:rPr>
          <w:noProof/>
        </w:rPr>
        <w:drawing>
          <wp:inline distT="0" distB="0" distL="0" distR="0" wp14:anchorId="0A34B945" wp14:editId="19758C6B">
            <wp:extent cx="5731510" cy="3530379"/>
            <wp:effectExtent l="0" t="0" r="0" b="0"/>
            <wp:docPr id="1381216302" name="Picture 2"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16302" name="Picture 2" descr="A graph of a function&#10;&#10;Description automatically generated with medium confidence"/>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5731510" cy="3530379"/>
                    </a:xfrm>
                    <a:prstGeom prst="rect">
                      <a:avLst/>
                    </a:prstGeom>
                    <a:ln>
                      <a:noFill/>
                    </a:ln>
                    <a:extLst>
                      <a:ext uri="{53640926-AAD7-44D8-BBD7-CCE9431645EC}">
                        <a14:shadowObscured xmlns:a14="http://schemas.microsoft.com/office/drawing/2010/main"/>
                      </a:ext>
                    </a:extLst>
                  </pic:spPr>
                </pic:pic>
              </a:graphicData>
            </a:graphic>
          </wp:inline>
        </w:drawing>
      </w:r>
    </w:p>
    <w:p w14:paraId="3A663937" w14:textId="40C4B853" w:rsidR="00382668" w:rsidRPr="00C10921" w:rsidRDefault="00382668" w:rsidP="00CA6E95">
      <w:pPr>
        <w:pStyle w:val="Caption-Figure"/>
      </w:pPr>
      <w:bookmarkStart w:id="162" w:name="_Toc198634188"/>
      <w:r>
        <w:t xml:space="preserve">Figure </w:t>
      </w:r>
      <w:r w:rsidR="00732F6F">
        <w:t>A</w:t>
      </w:r>
      <w:r w:rsidR="004707E6">
        <w:t>8</w:t>
      </w:r>
      <w:r>
        <w:t>. Sensitivity of the rate of population reduction</w:t>
      </w:r>
      <w:r w:rsidR="007F1C87">
        <w:t xml:space="preserve"> (left) </w:t>
      </w:r>
      <w:r>
        <w:t xml:space="preserve">and peak prevalence </w:t>
      </w:r>
      <w:r w:rsidR="007F1C87">
        <w:t>(right) of</w:t>
      </w:r>
      <w:r>
        <w:t xml:space="preserve"> WNS in SBWB</w:t>
      </w:r>
      <w:r w:rsidR="007F1C87">
        <w:t xml:space="preserve">s, with respect </w:t>
      </w:r>
      <w:r>
        <w:t>to variation in the key epidemiological parameters</w:t>
      </w:r>
      <w:r w:rsidR="008679FA">
        <w:t>.</w:t>
      </w:r>
      <w:bookmarkEnd w:id="162"/>
    </w:p>
    <w:p w14:paraId="7877A795" w14:textId="34BF4510" w:rsidR="00046BE6" w:rsidRDefault="00FA4FAD" w:rsidP="00C87E70">
      <w:pPr>
        <w:pStyle w:val="Heading2-Numbered"/>
      </w:pPr>
      <w:bookmarkStart w:id="163" w:name="_Toc196419821"/>
      <w:bookmarkStart w:id="164" w:name="_Toc196492756"/>
      <w:bookmarkStart w:id="165" w:name="_Toc198634132"/>
      <w:bookmarkEnd w:id="163"/>
      <w:bookmarkEnd w:id="164"/>
      <w:r>
        <w:t>Amphibian c</w:t>
      </w:r>
      <w:r w:rsidR="00046BE6">
        <w:t xml:space="preserve">hytrid </w:t>
      </w:r>
      <w:r>
        <w:t xml:space="preserve">fungus </w:t>
      </w:r>
      <w:r w:rsidR="00046BE6">
        <w:t xml:space="preserve">in </w:t>
      </w:r>
      <w:r w:rsidR="00B84722">
        <w:t>Bell Frogs</w:t>
      </w:r>
      <w:bookmarkEnd w:id="165"/>
    </w:p>
    <w:p w14:paraId="56D0FA4F" w14:textId="4B75EE7F" w:rsidR="00046BE6" w:rsidRPr="00EB16CF" w:rsidRDefault="00046BE6" w:rsidP="00046BE6">
      <w:r w:rsidRPr="00EB16CF">
        <w:rPr>
          <w:rFonts w:eastAsiaTheme="minorEastAsia"/>
        </w:rPr>
        <w:t xml:space="preserve">To investigate the effects of thermal refuges on the population dynamics of </w:t>
      </w:r>
      <w:r w:rsidR="00B84722">
        <w:rPr>
          <w:rFonts w:eastAsiaTheme="minorEastAsia"/>
        </w:rPr>
        <w:t>Bell Frogs</w:t>
      </w:r>
      <w:r>
        <w:rPr>
          <w:rFonts w:eastAsiaTheme="minorEastAsia"/>
        </w:rPr>
        <w:t xml:space="preserve"> </w:t>
      </w:r>
      <w:r w:rsidRPr="00EB16CF">
        <w:rPr>
          <w:rFonts w:eastAsiaTheme="minorEastAsia"/>
        </w:rPr>
        <w:t xml:space="preserve">and the epidemiology of </w:t>
      </w:r>
      <w:r w:rsidRPr="00326154">
        <w:rPr>
          <w:rFonts w:eastAsiaTheme="minorEastAsia"/>
          <w:i/>
          <w:iCs/>
        </w:rPr>
        <w:t>Bd</w:t>
      </w:r>
      <w:r w:rsidRPr="00EB16CF">
        <w:rPr>
          <w:rFonts w:eastAsiaTheme="minorEastAsia"/>
        </w:rPr>
        <w:t xml:space="preserve">, we constructed the following model: </w:t>
      </w:r>
    </w:p>
    <w:p w14:paraId="2A1F83F7" w14:textId="13A4E3FA" w:rsidR="00046BE6" w:rsidRPr="00A40F5F" w:rsidRDefault="00000000" w:rsidP="00046BE6">
      <w:pPr>
        <w:spacing w:line="360" w:lineRule="auto"/>
        <w:rPr>
          <w:rFonts w:eastAsiaTheme="minorEastAsia"/>
        </w:rPr>
      </w:pPr>
      <m:oMathPara>
        <m:oMath>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m:t>
          </m:r>
          <m:d>
            <m:dPr>
              <m:ctrlPr>
                <w:rPr>
                  <w:rFonts w:ascii="Cambria Math" w:hAnsi="Cambria Math"/>
                  <w:i/>
                </w:rPr>
              </m:ctrlPr>
            </m:dPr>
            <m:e>
              <m:r>
                <w:rPr>
                  <w:rFonts w:ascii="Cambria Math" w:hAnsi="Cambria Math"/>
                </w:rPr>
                <m:t>b-gN</m:t>
              </m:r>
            </m:e>
          </m:d>
          <m:r>
            <w:rPr>
              <w:rFonts w:ascii="Cambria Math" w:hAnsi="Cambria Math"/>
            </w:rPr>
            <m:t>N-ϕPS- dS</m:t>
          </m:r>
          <m:r>
            <m:rPr>
              <m:sty m:val="p"/>
            </m:rPr>
            <w:rPr>
              <w:rFonts w:ascii="Cambria Math" w:hAnsi="Cambria Math"/>
            </w:rPr>
            <w:br/>
          </m:r>
        </m:oMath>
        <m:oMath>
          <m:f>
            <m:fPr>
              <m:ctrlPr>
                <w:rPr>
                  <w:rFonts w:ascii="Cambria Math" w:eastAsiaTheme="minorEastAsia" w:hAnsi="Cambria Math"/>
                  <w:i/>
                </w:rPr>
              </m:ctrlPr>
            </m:fPr>
            <m:num>
              <m:r>
                <w:rPr>
                  <w:rFonts w:ascii="Cambria Math" w:eastAsiaTheme="minorEastAsia" w:hAnsi="Cambria Math"/>
                </w:rPr>
                <m:t>dI</m:t>
              </m:r>
            </m:num>
            <m:den>
              <m:r>
                <w:rPr>
                  <w:rFonts w:ascii="Cambria Math" w:eastAsiaTheme="minorEastAsia" w:hAnsi="Cambria Math"/>
                </w:rPr>
                <m:t>dt</m:t>
              </m:r>
            </m:den>
          </m:f>
          <m:r>
            <w:rPr>
              <w:rFonts w:ascii="Cambria Math" w:eastAsiaTheme="minorEastAsia" w:hAnsi="Cambria Math"/>
            </w:rPr>
            <m:t xml:space="preserve">=ϕPS- </m:t>
          </m:r>
          <m:d>
            <m:dPr>
              <m:ctrlPr>
                <w:rPr>
                  <w:rFonts w:ascii="Cambria Math" w:eastAsiaTheme="minorEastAsia" w:hAnsi="Cambria Math"/>
                  <w:i/>
                </w:rPr>
              </m:ctrlPr>
            </m:dPr>
            <m:e>
              <m:r>
                <w:rPr>
                  <w:rFonts w:ascii="Cambria Math" w:eastAsiaTheme="minorEastAsia" w:hAnsi="Cambria Math"/>
                </w:rPr>
                <m:t>d+α</m:t>
              </m:r>
              <m:d>
                <m:dPr>
                  <m:ctrlPr>
                    <w:rPr>
                      <w:rFonts w:ascii="Cambria Math" w:eastAsiaTheme="minorEastAsia" w:hAnsi="Cambria Math"/>
                      <w:i/>
                    </w:rPr>
                  </m:ctrlPr>
                </m:dPr>
                <m:e>
                  <m:r>
                    <w:rPr>
                      <w:rFonts w:ascii="Cambria Math" w:eastAsiaTheme="minorEastAsia" w:hAnsi="Cambria Math"/>
                    </w:rPr>
                    <m:t>Z</m:t>
                  </m:r>
                </m:e>
              </m:d>
              <m:r>
                <w:rPr>
                  <w:rFonts w:ascii="Cambria Math" w:eastAsiaTheme="minorEastAsia" w:hAnsi="Cambria Math"/>
                </w:rPr>
                <m:t>+γ</m:t>
              </m:r>
              <m:d>
                <m:dPr>
                  <m:ctrlPr>
                    <w:rPr>
                      <w:rFonts w:ascii="Cambria Math" w:eastAsiaTheme="minorEastAsia" w:hAnsi="Cambria Math"/>
                      <w:i/>
                    </w:rPr>
                  </m:ctrlPr>
                </m:dPr>
                <m:e>
                  <m:r>
                    <w:rPr>
                      <w:rFonts w:ascii="Cambria Math" w:eastAsiaTheme="minorEastAsia" w:hAnsi="Cambria Math"/>
                    </w:rPr>
                    <m:t>T</m:t>
                  </m:r>
                </m:e>
              </m:d>
            </m:e>
          </m:d>
          <m:r>
            <w:rPr>
              <w:rFonts w:ascii="Cambria Math" w:eastAsiaTheme="minorEastAsia" w:hAnsi="Cambria Math"/>
            </w:rPr>
            <m:t>I</m:t>
          </m:r>
          <m:r>
            <m:rPr>
              <m:sty m:val="p"/>
            </m:rPr>
            <w:rPr>
              <w:rFonts w:eastAsiaTheme="minorEastAsia"/>
            </w:rPr>
            <w:br/>
          </m:r>
        </m:oMath>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r</m:t>
                  </m:r>
                </m:sub>
              </m:sSub>
            </m:num>
            <m:den>
              <m:r>
                <w:rPr>
                  <w:rFonts w:ascii="Cambria Math" w:eastAsiaTheme="minorEastAsia" w:hAnsi="Cambria Math"/>
                </w:rPr>
                <m:t>dt</m:t>
              </m:r>
            </m:den>
          </m:f>
          <m:r>
            <m:rPr>
              <m:sty m:val="p"/>
            </m:rPr>
            <w:rPr>
              <w:rFonts w:ascii="Cambria Math" w:eastAsiaTheme="minorEastAsia" w:hAnsi="Cambria Math"/>
            </w:rPr>
            <m:t>= γ</m:t>
          </m:r>
          <m:d>
            <m:dPr>
              <m:ctrlPr>
                <w:rPr>
                  <w:rFonts w:ascii="Cambria Math" w:eastAsiaTheme="minorEastAsia" w:hAnsi="Cambria Math"/>
                </w:rPr>
              </m:ctrlPr>
            </m:dPr>
            <m:e>
              <m:r>
                <w:rPr>
                  <w:rFonts w:ascii="Cambria Math" w:eastAsiaTheme="minorEastAsia" w:hAnsi="Cambria Math"/>
                </w:rPr>
                <m:t>T</m:t>
              </m:r>
            </m:e>
          </m:d>
          <m:d>
            <m:dPr>
              <m:ctrlPr>
                <w:rPr>
                  <w:rFonts w:ascii="Cambria Math" w:eastAsiaTheme="minorEastAsia" w:hAnsi="Cambria Math"/>
                  <w:i/>
                </w:rPr>
              </m:ctrlPr>
            </m:dPr>
            <m:e>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r</m:t>
                  </m:r>
                </m:sub>
              </m:sSub>
            </m:e>
          </m:d>
          <m:r>
            <w:rPr>
              <w:rFonts w:ascii="Cambria Math" w:eastAsiaTheme="minorEastAsia" w:hAnsi="Cambria Math"/>
            </w:rPr>
            <m:t>- εϕP</m:t>
          </m:r>
          <m:sSub>
            <m:sSubPr>
              <m:ctrlPr>
                <w:rPr>
                  <w:rFonts w:ascii="Cambria Math" w:eastAsiaTheme="minorEastAsia" w:hAnsi="Cambria Math"/>
                  <w:i/>
                  <w:iCs/>
                </w:rPr>
              </m:ctrlPr>
            </m:sSubPr>
            <m:e>
              <m:r>
                <w:rPr>
                  <w:rFonts w:ascii="Cambria Math" w:eastAsiaTheme="minorEastAsia" w:hAnsi="Cambria Math"/>
                </w:rPr>
                <m:t>S</m:t>
              </m:r>
            </m:e>
            <m:sub>
              <m:r>
                <w:rPr>
                  <w:rFonts w:ascii="Cambria Math" w:eastAsiaTheme="minorEastAsia" w:hAnsi="Cambria Math"/>
                </w:rPr>
                <m:t>r</m:t>
              </m:r>
            </m:sub>
          </m:sSub>
          <m:r>
            <w:rPr>
              <w:rFonts w:ascii="Cambria Math" w:eastAsiaTheme="minorEastAsia" w:hAnsi="Cambria Math"/>
            </w:rPr>
            <m:t>- d</m:t>
          </m:r>
          <m:sSub>
            <m:sSubPr>
              <m:ctrlPr>
                <w:rPr>
                  <w:rFonts w:ascii="Cambria Math" w:eastAsiaTheme="minorEastAsia" w:hAnsi="Cambria Math"/>
                  <w:i/>
                  <w:iCs/>
                </w:rPr>
              </m:ctrlPr>
            </m:sSubPr>
            <m:e>
              <m:r>
                <w:rPr>
                  <w:rFonts w:ascii="Cambria Math" w:eastAsiaTheme="minorEastAsia" w:hAnsi="Cambria Math"/>
                </w:rPr>
                <m:t>S</m:t>
              </m:r>
            </m:e>
            <m:sub>
              <m:r>
                <w:rPr>
                  <w:rFonts w:ascii="Cambria Math" w:eastAsiaTheme="minorEastAsia" w:hAnsi="Cambria Math"/>
                </w:rPr>
                <m:t>r</m:t>
              </m:r>
            </m:sub>
          </m:sSub>
          <m:r>
            <m:rPr>
              <m:sty m:val="p"/>
            </m:rPr>
            <w:rPr>
              <w:rFonts w:eastAsiaTheme="minorEastAsia"/>
            </w:rPr>
            <w:br/>
          </m:r>
        </m:oMath>
        <m:oMath>
          <m:f>
            <m:fPr>
              <m:ctrlPr>
                <w:rPr>
                  <w:rFonts w:ascii="Cambria Math" w:eastAsiaTheme="minorEastAsia" w:hAnsi="Cambria Math"/>
                  <w:i/>
                  <w:iCs/>
                </w:rPr>
              </m:ctrlPr>
            </m:fPr>
            <m:num>
              <m:r>
                <w:rPr>
                  <w:rFonts w:ascii="Cambria Math" w:eastAsiaTheme="minorEastAsia" w:hAnsi="Cambria Math"/>
                </w:rPr>
                <m:t>d</m:t>
              </m:r>
              <m:sSub>
                <m:sSubPr>
                  <m:ctrlPr>
                    <w:rPr>
                      <w:rFonts w:ascii="Cambria Math" w:eastAsiaTheme="minorEastAsia" w:hAnsi="Cambria Math"/>
                      <w:i/>
                      <w:iCs/>
                    </w:rPr>
                  </m:ctrlPr>
                </m:sSubPr>
                <m:e>
                  <m:r>
                    <w:rPr>
                      <w:rFonts w:ascii="Cambria Math" w:eastAsiaTheme="minorEastAsia" w:hAnsi="Cambria Math"/>
                    </w:rPr>
                    <m:t>I</m:t>
                  </m:r>
                </m:e>
                <m:sub>
                  <m:r>
                    <w:rPr>
                      <w:rFonts w:ascii="Cambria Math" w:eastAsiaTheme="minorEastAsia" w:hAnsi="Cambria Math"/>
                    </w:rPr>
                    <m:t>r</m:t>
                  </m:r>
                </m:sub>
              </m:sSub>
            </m:num>
            <m:den>
              <m:r>
                <w:rPr>
                  <w:rFonts w:ascii="Cambria Math" w:eastAsiaTheme="minorEastAsia" w:hAnsi="Cambria Math"/>
                </w:rPr>
                <m:t>dt</m:t>
              </m:r>
            </m:den>
          </m:f>
          <m:r>
            <w:rPr>
              <w:rFonts w:ascii="Cambria Math" w:eastAsiaTheme="minorEastAsia" w:hAnsi="Cambria Math"/>
            </w:rPr>
            <m:t>= εϕP</m:t>
          </m:r>
          <m:sSub>
            <m:sSubPr>
              <m:ctrlPr>
                <w:rPr>
                  <w:rFonts w:ascii="Cambria Math" w:eastAsiaTheme="minorEastAsia" w:hAnsi="Cambria Math"/>
                  <w:i/>
                  <w:iCs/>
                </w:rPr>
              </m:ctrlPr>
            </m:sSubPr>
            <m:e>
              <m:r>
                <w:rPr>
                  <w:rFonts w:ascii="Cambria Math" w:eastAsiaTheme="minorEastAsia" w:hAnsi="Cambria Math"/>
                </w:rPr>
                <m:t>S</m:t>
              </m:r>
            </m:e>
            <m:sub>
              <m:r>
                <w:rPr>
                  <w:rFonts w:ascii="Cambria Math" w:eastAsiaTheme="minorEastAsia" w:hAnsi="Cambria Math"/>
                </w:rPr>
                <m:t>r</m:t>
              </m:r>
            </m:sub>
          </m:sSub>
          <m:r>
            <w:rPr>
              <w:rFonts w:ascii="Cambria Math" w:eastAsiaTheme="minorEastAsia" w:hAnsi="Cambria Math"/>
            </w:rPr>
            <m:t>-</m:t>
          </m:r>
          <m:d>
            <m:dPr>
              <m:ctrlPr>
                <w:rPr>
                  <w:rFonts w:ascii="Cambria Math" w:eastAsiaTheme="minorEastAsia" w:hAnsi="Cambria Math"/>
                  <w:i/>
                  <w:iCs/>
                </w:rPr>
              </m:ctrlPr>
            </m:dPr>
            <m:e>
              <m:r>
                <w:rPr>
                  <w:rFonts w:ascii="Cambria Math" w:eastAsiaTheme="minorEastAsia" w:hAnsi="Cambria Math"/>
                </w:rPr>
                <m:t>d+ α</m:t>
              </m:r>
              <m:d>
                <m:dPr>
                  <m:ctrlPr>
                    <w:rPr>
                      <w:rFonts w:ascii="Cambria Math" w:eastAsiaTheme="minorEastAsia" w:hAnsi="Cambria Math"/>
                      <w:i/>
                    </w:rPr>
                  </m:ctrlPr>
                </m:dPr>
                <m:e>
                  <m:r>
                    <w:rPr>
                      <w:rFonts w:ascii="Cambria Math" w:eastAsiaTheme="minorEastAsia" w:hAnsi="Cambria Math"/>
                    </w:rPr>
                    <m:t>Z</m:t>
                  </m:r>
                </m:e>
              </m:d>
              <m:r>
                <w:rPr>
                  <w:rFonts w:ascii="Cambria Math" w:eastAsiaTheme="minorEastAsia" w:hAnsi="Cambria Math"/>
                </w:rPr>
                <m:t>+γ</m:t>
              </m:r>
              <m:d>
                <m:dPr>
                  <m:ctrlPr>
                    <w:rPr>
                      <w:rFonts w:ascii="Cambria Math" w:eastAsiaTheme="minorEastAsia" w:hAnsi="Cambria Math"/>
                      <w:i/>
                    </w:rPr>
                  </m:ctrlPr>
                </m:dPr>
                <m:e>
                  <m:r>
                    <w:rPr>
                      <w:rFonts w:ascii="Cambria Math" w:eastAsiaTheme="minorEastAsia" w:hAnsi="Cambria Math"/>
                    </w:rPr>
                    <m:t>T</m:t>
                  </m:r>
                </m:e>
              </m:d>
            </m:e>
          </m:d>
          <m:sSub>
            <m:sSubPr>
              <m:ctrlPr>
                <w:rPr>
                  <w:rFonts w:ascii="Cambria Math" w:eastAsiaTheme="minorEastAsia" w:hAnsi="Cambria Math"/>
                  <w:i/>
                  <w:iCs/>
                </w:rPr>
              </m:ctrlPr>
            </m:sSubPr>
            <m:e>
              <m:r>
                <w:rPr>
                  <w:rFonts w:ascii="Cambria Math" w:eastAsiaTheme="minorEastAsia" w:hAnsi="Cambria Math"/>
                </w:rPr>
                <m:t>I</m:t>
              </m:r>
            </m:e>
            <m:sub>
              <m:r>
                <w:rPr>
                  <w:rFonts w:ascii="Cambria Math" w:eastAsiaTheme="minorEastAsia" w:hAnsi="Cambria Math"/>
                </w:rPr>
                <m:t>r</m:t>
              </m:r>
            </m:sub>
          </m:sSub>
          <m:r>
            <m:rPr>
              <m:sty m:val="p"/>
            </m:rPr>
            <w:rPr>
              <w:rFonts w:ascii="Cambria Math" w:eastAsiaTheme="minorEastAsia" w:hAnsi="Cambria Math"/>
            </w:rPr>
            <w:br/>
          </m:r>
        </m:oMath>
        <m:oMath>
          <m:f>
            <m:fPr>
              <m:ctrlPr>
                <w:rPr>
                  <w:rFonts w:ascii="Cambria Math" w:eastAsiaTheme="minorEastAsia" w:hAnsi="Cambria Math"/>
                  <w:i/>
                </w:rPr>
              </m:ctrlPr>
            </m:fPr>
            <m:num>
              <m:r>
                <w:rPr>
                  <w:rFonts w:ascii="Cambria Math" w:eastAsiaTheme="minorEastAsia" w:hAnsi="Cambria Math"/>
                </w:rPr>
                <m:t>dP</m:t>
              </m:r>
            </m:num>
            <m:den>
              <m:r>
                <w:rPr>
                  <w:rFonts w:ascii="Cambria Math" w:eastAsiaTheme="minorEastAsia" w:hAnsi="Cambria Math"/>
                </w:rPr>
                <m:t>dt</m:t>
              </m:r>
            </m:den>
          </m:f>
          <m:r>
            <m:rPr>
              <m:sty m:val="p"/>
            </m:rPr>
            <w:rPr>
              <w:rFonts w:ascii="Cambria Math" w:eastAsiaTheme="minorEastAsia" w:hAnsi="Cambria Math"/>
            </w:rPr>
            <m:t>=</m:t>
          </m:r>
          <m:r>
            <w:rPr>
              <w:rFonts w:ascii="Cambria Math" w:eastAsiaTheme="minorEastAsia" w:hAnsi="Cambria Math"/>
            </w:rPr>
            <m:t>θP</m:t>
          </m:r>
          <m:d>
            <m:dPr>
              <m:ctrlPr>
                <w:rPr>
                  <w:rFonts w:ascii="Cambria Math" w:eastAsiaTheme="minorEastAsia" w:hAnsi="Cambria Math"/>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P</m:t>
                  </m:r>
                </m:num>
                <m:den>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den>
              </m:f>
            </m:e>
          </m:d>
          <m:r>
            <m:rPr>
              <m:sty m:val="p"/>
            </m:rPr>
            <w:rPr>
              <w:rFonts w:ascii="Cambria Math" w:eastAsiaTheme="minorEastAsia" w:hAnsi="Cambria Math"/>
            </w:rPr>
            <w:br/>
          </m:r>
        </m:oMath>
        <m:oMath>
          <m:r>
            <w:rPr>
              <w:rFonts w:ascii="Cambria Math" w:eastAsiaTheme="minorEastAsia" w:hAnsi="Cambria Math"/>
            </w:rPr>
            <m:t>N</m:t>
          </m:r>
          <m:r>
            <m:rPr>
              <m:aln/>
            </m:rPr>
            <w:rPr>
              <w:rFonts w:ascii="Cambria Math" w:eastAsiaTheme="minorEastAsia" w:hAnsi="Cambria Math"/>
            </w:rPr>
            <m:t>=S+I+</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r</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r</m:t>
              </m:r>
            </m:sub>
          </m:sSub>
        </m:oMath>
      </m:oMathPara>
    </w:p>
    <w:p w14:paraId="092B2256" w14:textId="5635A19B" w:rsidR="00046BE6" w:rsidRDefault="00046BE6" w:rsidP="00046BE6">
      <w:pPr>
        <w:rPr>
          <w:rFonts w:eastAsiaTheme="minorEastAsia"/>
        </w:rPr>
      </w:pPr>
      <w:r>
        <w:rPr>
          <w:rFonts w:eastAsiaTheme="minorEastAsia"/>
        </w:rPr>
        <w:t xml:space="preserve">Where </w:t>
      </w:r>
      <m:oMath>
        <m:r>
          <w:rPr>
            <w:rFonts w:ascii="Cambria Math" w:eastAsiaTheme="minorEastAsia" w:hAnsi="Cambria Math"/>
          </w:rPr>
          <m:t>S</m:t>
        </m:r>
      </m:oMath>
      <w:r>
        <w:rPr>
          <w:rFonts w:eastAsiaTheme="minorEastAsia"/>
        </w:rPr>
        <w:t xml:space="preserve">, </w:t>
      </w:r>
      <m:oMath>
        <m:r>
          <w:rPr>
            <w:rFonts w:ascii="Cambria Math" w:eastAsiaTheme="minorEastAsia" w:hAnsi="Cambria Math"/>
          </w:rPr>
          <m:t>I</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r</m:t>
            </m:r>
          </m:sub>
        </m:sSub>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r</m:t>
            </m:r>
          </m:sub>
        </m:sSub>
      </m:oMath>
      <w:r>
        <w:rPr>
          <w:rFonts w:eastAsiaTheme="minorEastAsia"/>
        </w:rPr>
        <w:t xml:space="preserve"> are the abundance of susceptible and infected frogs (</w:t>
      </w:r>
      <m:oMath>
        <m:r>
          <w:rPr>
            <w:rFonts w:ascii="Cambria Math" w:eastAsiaTheme="minorEastAsia" w:hAnsi="Cambria Math"/>
          </w:rPr>
          <m:t>S, I</m:t>
        </m:r>
      </m:oMath>
      <w:r>
        <w:rPr>
          <w:rFonts w:eastAsiaTheme="minorEastAsia"/>
        </w:rPr>
        <w:t>), and susceptible and infected frogs that had recovered from a previous infection (</w:t>
      </w:r>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r</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r</m:t>
            </m:r>
          </m:sub>
        </m:sSub>
      </m:oMath>
      <w:r>
        <w:rPr>
          <w:rFonts w:eastAsiaTheme="minorEastAsia"/>
        </w:rPr>
        <w:t>).</w:t>
      </w:r>
      <w:r w:rsidR="00BE3EC4">
        <w:rPr>
          <w:rFonts w:eastAsiaTheme="minorEastAsia"/>
        </w:rPr>
        <w:t xml:space="preserve"> </w:t>
      </w:r>
      <w:r>
        <w:rPr>
          <w:rFonts w:eastAsiaTheme="minorEastAsia"/>
        </w:rPr>
        <w:t xml:space="preserve">This model structure follows from the work of Waddle </w:t>
      </w:r>
      <w:r w:rsidRPr="00DA5824">
        <w:rPr>
          <w:rFonts w:eastAsiaTheme="minorEastAsia"/>
        </w:rPr>
        <w:t>et al</w:t>
      </w:r>
      <w:r>
        <w:rPr>
          <w:rFonts w:eastAsiaTheme="minorEastAsia"/>
        </w:rPr>
        <w:t xml:space="preserve">. (2024) where it was found that </w:t>
      </w:r>
      <w:r w:rsidRPr="00C37C70">
        <w:rPr>
          <w:rFonts w:eastAsiaTheme="minorEastAsia"/>
          <w:i/>
          <w:iCs/>
        </w:rPr>
        <w:t xml:space="preserve">L. </w:t>
      </w:r>
      <w:proofErr w:type="spellStart"/>
      <w:r w:rsidRPr="00C37C70">
        <w:rPr>
          <w:rFonts w:eastAsiaTheme="minorEastAsia"/>
          <w:i/>
          <w:iCs/>
        </w:rPr>
        <w:t>aurea</w:t>
      </w:r>
      <w:proofErr w:type="spellEnd"/>
      <w:r>
        <w:rPr>
          <w:rFonts w:eastAsiaTheme="minorEastAsia"/>
        </w:rPr>
        <w:t xml:space="preserve"> that had recovered from a previous </w:t>
      </w:r>
      <w:r w:rsidR="00D06FBB" w:rsidRPr="00D06FBB">
        <w:rPr>
          <w:rFonts w:eastAsiaTheme="minorEastAsia"/>
          <w:i/>
          <w:iCs/>
        </w:rPr>
        <w:t>Bd</w:t>
      </w:r>
      <w:r>
        <w:rPr>
          <w:rFonts w:eastAsiaTheme="minorEastAsia"/>
        </w:rPr>
        <w:t xml:space="preserve"> infection following heat treatment by thermal shelters</w:t>
      </w:r>
      <w:r w:rsidR="007F1C87">
        <w:rPr>
          <w:rFonts w:eastAsiaTheme="minorEastAsia"/>
        </w:rPr>
        <w:t>,</w:t>
      </w:r>
      <w:r>
        <w:rPr>
          <w:rFonts w:eastAsiaTheme="minorEastAsia"/>
        </w:rPr>
        <w:t xml:space="preserve"> were at lower risk of infection and impacts from subsequent </w:t>
      </w:r>
      <w:r w:rsidR="00D06FBB" w:rsidRPr="00D06FBB">
        <w:rPr>
          <w:rFonts w:eastAsiaTheme="minorEastAsia"/>
          <w:i/>
          <w:iCs/>
        </w:rPr>
        <w:t>Bd</w:t>
      </w:r>
      <w:r>
        <w:rPr>
          <w:rFonts w:eastAsiaTheme="minorEastAsia"/>
        </w:rPr>
        <w:t xml:space="preserve"> infections (prior exposure).</w:t>
      </w:r>
      <w:r w:rsidR="00BE3EC4">
        <w:rPr>
          <w:rFonts w:eastAsiaTheme="minorEastAsia"/>
        </w:rPr>
        <w:t xml:space="preserve"> </w:t>
      </w:r>
      <w:r>
        <w:rPr>
          <w:rFonts w:eastAsiaTheme="minorEastAsia"/>
        </w:rPr>
        <w:t xml:space="preserve">Frogs could only recover from </w:t>
      </w:r>
      <w:r w:rsidR="00D06FBB" w:rsidRPr="00D06FBB">
        <w:rPr>
          <w:rFonts w:eastAsiaTheme="minorEastAsia"/>
          <w:i/>
          <w:iCs/>
        </w:rPr>
        <w:t>Bd</w:t>
      </w:r>
      <w:r>
        <w:rPr>
          <w:rFonts w:eastAsiaTheme="minorEastAsia"/>
        </w:rPr>
        <w:t xml:space="preserve"> infection once their temperature exceeded a threshold, set here at 25</w:t>
      </w:r>
      <w:r w:rsidR="007F1C87">
        <w:rPr>
          <w:rFonts w:eastAsiaTheme="minorEastAsia"/>
        </w:rPr>
        <w:t>°</w:t>
      </w:r>
      <w:r>
        <w:rPr>
          <w:rFonts w:eastAsiaTheme="minorEastAsia"/>
        </w:rPr>
        <w:t>C</w:t>
      </w:r>
      <w:r w:rsidR="006C28A0">
        <w:rPr>
          <w:rFonts w:eastAsiaTheme="minorEastAsia"/>
        </w:rPr>
        <w:t xml:space="preserve"> </w:t>
      </w:r>
      <w:r w:rsidR="006C28A0">
        <w:rPr>
          <w:rFonts w:eastAsiaTheme="minorEastAsia"/>
        </w:rPr>
        <w:fldChar w:fldCharType="begin"/>
      </w:r>
      <w:r w:rsidR="006C28A0">
        <w:rPr>
          <w:rFonts w:eastAsiaTheme="minorEastAsia"/>
        </w:rPr>
        <w:instrText xml:space="preserve"> ADDIN ZOTERO_ITEM CSL_CITATION {"citationID":"C5asSPvG","properties":{"formattedCitation":"(Kinney {\\i{}et al.} 2011)","plainCitation":"(Kinney et al. 2011)","noteIndex":0},"citationItems":[{"id":9591,"uris":["http://zotero.org/users/634364/items/E2SUQXYQ"],"itemData":{"id":9591,"type":"article-journal","abstract":"To fully comprehend chytridiomycosis, the amphibian disease caused by the chytrid fungus Batrachochytrium dendrobatidis (Bd), it is essential to understand how Bd affects amphibians throughout their remarkable range of life histories. Crawfish Frogs (Lithobates areolatus) are a typical North American pond-breeding species that forms explosive spring breeding aggregations in seasonal and semipermanent wetlands. But unlike most species, when not breeding Crawfish Frogs usually live singly—in nearly total isolation from conspecifics—and obligately in burrows dug by crayfish. Crayfish burrows penetrate the water table, and therefore offer Crawfish Frogs a second, permanent aquatic habitat when not breeding. Over the course of two years we sampled for the presence of Bd in Crawfish Frog adults. Sampling was conducted seasonally, as animals moved from post-winter emergence through breeding migrations, then back into upland burrow habitats. During our study, 53% of Crawfish Frog breeding adults tested positive for Bd in at least one sample; 27% entered breeding wetlands Bd positive; 46% exited wetlands Bd positive. Five emigrating Crawfish Frogs (12%) developed chytridiomycosis and died. In contrast, all 25 adult frogs sampled while occupying upland crayfish burrows during the summer tested Bd negative. One percent of postmetamorphic juveniles sampled were Bd positive. Zoospore equivalents/swab ranged from 0.8 to 24,436; five out of eight frogs with zoospore equivalents near or .10,000 are known to have died. In summary, Bd infection rates in Crawfish Frog populations ratchet up from near zero during the summer to over 25% following overwintering; rates then nearly double again during and just after breeding—when mortality occurs—before the infection wanes during the summer. Bd-negative postmetamorphic juveniles may not be exposed again to this pathogen until they take up residence in crayfish burrows, or until their first breeding, some years later.","container-title":"PLoS ONE","DOI":"10.1371/journal.pone.0016708","ISSN":"1932-6203","issue":"3","journalAbbreviation":"PLoS ONE","language":"en","page":"e16708","source":"DOI.org (Crossref)","title":"Seasonal Pattern of Batrachochytrium dendrobatidis Infection and Mortality in Lithobates areolatus: Affirmation of Vredenburg's “10,000 Zoospore Rule”","title-short":"Seasonal Pattern of Batrachochytrium dendrobatidis Infection and Mortality in Lithobates areolatus","volume":"6","author":[{"family":"Kinney","given":"Vanessa C."},{"family":"Heemeyer","given":"Jennifer L."},{"family":"Pessier","given":"Allan P."},{"family":"Lannoo","given":"Michael J."}],"editor":[{"family":"Nielsen","given":"Kirsten"}],"issued":{"date-parts":[["2011",3,10]]}}}],"schema":"https://github.com/citation-style-language/schema/raw/master/csl-citation.json"} </w:instrText>
      </w:r>
      <w:r w:rsidR="006C28A0">
        <w:rPr>
          <w:rFonts w:eastAsiaTheme="minorEastAsia"/>
        </w:rPr>
        <w:fldChar w:fldCharType="separate"/>
      </w:r>
      <w:r w:rsidR="006C28A0" w:rsidRPr="006C28A0">
        <w:t xml:space="preserve">(Kinney </w:t>
      </w:r>
      <w:r w:rsidR="006C28A0" w:rsidRPr="00DA5824">
        <w:t>et al.</w:t>
      </w:r>
      <w:r w:rsidR="006C28A0" w:rsidRPr="007F1C87">
        <w:t xml:space="preserve"> </w:t>
      </w:r>
      <w:r w:rsidR="006C28A0" w:rsidRPr="006C28A0">
        <w:t>2011)</w:t>
      </w:r>
      <w:r w:rsidR="006C28A0">
        <w:rPr>
          <w:rFonts w:eastAsiaTheme="minorEastAsia"/>
        </w:rPr>
        <w:fldChar w:fldCharType="end"/>
      </w:r>
      <w:r>
        <w:rPr>
          <w:rFonts w:eastAsiaTheme="minorEastAsia"/>
        </w:rPr>
        <w:t>, otherwise frogs remained infected.</w:t>
      </w:r>
      <w:r w:rsidR="00BE3EC4">
        <w:rPr>
          <w:rFonts w:eastAsiaTheme="minorEastAsia"/>
        </w:rPr>
        <w:t xml:space="preserve"> </w:t>
      </w:r>
      <w:r>
        <w:rPr>
          <w:rFonts w:eastAsiaTheme="minorEastAsia"/>
        </w:rPr>
        <w:t xml:space="preserve">The parameter </w:t>
      </w:r>
      <m:oMath>
        <m:r>
          <w:rPr>
            <w:rFonts w:ascii="Cambria Math" w:eastAsiaTheme="minorEastAsia" w:hAnsi="Cambria Math"/>
          </w:rPr>
          <m:t>γ</m:t>
        </m:r>
        <m:d>
          <m:dPr>
            <m:ctrlPr>
              <w:rPr>
                <w:rFonts w:ascii="Cambria Math" w:eastAsiaTheme="minorEastAsia" w:hAnsi="Cambria Math"/>
                <w:i/>
              </w:rPr>
            </m:ctrlPr>
          </m:dPr>
          <m:e>
            <m:r>
              <w:rPr>
                <w:rFonts w:ascii="Cambria Math" w:eastAsiaTheme="minorEastAsia" w:hAnsi="Cambria Math"/>
              </w:rPr>
              <m:t>T</m:t>
            </m:r>
          </m:e>
        </m:d>
      </m:oMath>
      <w:r w:rsidR="00272341">
        <w:rPr>
          <w:rFonts w:eastAsiaTheme="minorEastAsia"/>
        </w:rPr>
        <w:t xml:space="preserve"> </w:t>
      </w:r>
      <w:r>
        <w:rPr>
          <w:rFonts w:eastAsiaTheme="minorEastAsia"/>
        </w:rPr>
        <w:t xml:space="preserve">represents the temperature-dependent recovery rate of frogs from </w:t>
      </w:r>
      <w:r w:rsidR="00D06FBB">
        <w:rPr>
          <w:rFonts w:eastAsiaTheme="minorEastAsia"/>
        </w:rPr>
        <w:t>C</w:t>
      </w:r>
      <w:r>
        <w:rPr>
          <w:rFonts w:eastAsiaTheme="minorEastAsia"/>
        </w:rPr>
        <w:t>hytrid</w:t>
      </w:r>
      <w:r w:rsidR="00D06FBB">
        <w:rPr>
          <w:rFonts w:eastAsiaTheme="minorEastAsia"/>
        </w:rPr>
        <w:t>iomycosis</w:t>
      </w:r>
      <w:r>
        <w:rPr>
          <w:rFonts w:eastAsiaTheme="minorEastAsia"/>
        </w:rPr>
        <w:t xml:space="preserve"> with the mean time to recovery set at </w:t>
      </w:r>
      <w:r w:rsidR="00777BC1">
        <w:rPr>
          <w:rFonts w:eastAsiaTheme="minorEastAsia"/>
        </w:rPr>
        <w:t>27</w:t>
      </w:r>
      <w:r>
        <w:rPr>
          <w:rFonts w:eastAsiaTheme="minorEastAsia"/>
        </w:rPr>
        <w:t xml:space="preserve"> days and was the same for both </w:t>
      </w:r>
      <m:oMath>
        <m:r>
          <w:rPr>
            <w:rFonts w:ascii="Cambria Math" w:eastAsiaTheme="minorEastAsia" w:hAnsi="Cambria Math"/>
          </w:rPr>
          <m:t>I</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r</m:t>
            </m:r>
          </m:sub>
        </m:sSub>
      </m:oMath>
      <w:r>
        <w:rPr>
          <w:rFonts w:eastAsiaTheme="minorEastAsia"/>
        </w:rPr>
        <w:t xml:space="preserve"> stages</w:t>
      </w:r>
      <w:r w:rsidR="006C28A0">
        <w:rPr>
          <w:rFonts w:eastAsiaTheme="minorEastAsia"/>
        </w:rPr>
        <w:t xml:space="preserve"> </w:t>
      </w:r>
      <w:r w:rsidR="006C28A0">
        <w:rPr>
          <w:rFonts w:eastAsiaTheme="minorEastAsia"/>
        </w:rPr>
        <w:fldChar w:fldCharType="begin"/>
      </w:r>
      <w:r w:rsidR="006C28A0">
        <w:rPr>
          <w:rFonts w:eastAsiaTheme="minorEastAsia"/>
        </w:rPr>
        <w:instrText xml:space="preserve"> ADDIN ZOTERO_ITEM CSL_CITATION {"citationID":"0jt0I33e","properties":{"formattedCitation":"(Waddle {\\i{}et al.} 2024)","plainCitation":"(Waddle et al. 2024)","noteIndex":0},"citationItems":[{"id":9595,"uris":["http://zotero.org/users/634364/items/DY59MKJH"],"itemData":{"id":9595,"type":"article-journal","container-title":"Nature","DOI":"10.1038/s41586-024-07582-y","ISSN":"0028-0836, 1476-4687","issue":"8020","journalAbbreviation":"Nature","language":"en","page":"344-349","source":"DOI.org (Crossref)","title":"Hotspot shelters stimulate frog resistance to chytridiomycosis","volume":"631","author":[{"family":"Waddle","given":"Anthony W."},{"family":"Clulow","given":"Simon"},{"family":"Aquilina","given":"Amy"},{"family":"Sauer","given":"Erin L."},{"family":"Kaiser","given":"Shannon W."},{"family":"Miller","given":"Claire"},{"family":"Flegg","given":"Jennifer A."},{"family":"Campbell","given":"Patricia T."},{"family":"Gallagher","given":"Harrison"},{"family":"Dimovski","given":"Ivana"},{"family":"Lambreghts","given":"Yorick"},{"family":"Berger","given":"Lee"},{"family":"Skerratt","given":"Lee F."},{"family":"Shine","given":"Richard"}],"issued":{"date-parts":[["2024",7,11]]}}}],"schema":"https://github.com/citation-style-language/schema/raw/master/csl-citation.json"} </w:instrText>
      </w:r>
      <w:r w:rsidR="006C28A0">
        <w:rPr>
          <w:rFonts w:eastAsiaTheme="minorEastAsia"/>
        </w:rPr>
        <w:fldChar w:fldCharType="separate"/>
      </w:r>
      <w:r w:rsidR="006C28A0" w:rsidRPr="006C28A0">
        <w:t xml:space="preserve">(Waddle </w:t>
      </w:r>
      <w:r w:rsidR="006C28A0" w:rsidRPr="00DA5824">
        <w:t>et al</w:t>
      </w:r>
      <w:r w:rsidR="006C28A0" w:rsidRPr="006C28A0">
        <w:rPr>
          <w:i/>
          <w:iCs/>
        </w:rPr>
        <w:t>.</w:t>
      </w:r>
      <w:r w:rsidR="006C28A0" w:rsidRPr="006C28A0">
        <w:t xml:space="preserve"> 2024)</w:t>
      </w:r>
      <w:r w:rsidR="006C28A0">
        <w:rPr>
          <w:rFonts w:eastAsiaTheme="minorEastAsia"/>
        </w:rPr>
        <w:fldChar w:fldCharType="end"/>
      </w:r>
      <w:r w:rsidR="00563D83">
        <w:rPr>
          <w:rFonts w:eastAsiaTheme="minorEastAsia"/>
        </w:rPr>
        <w:t>.</w:t>
      </w:r>
      <w:r w:rsidR="008B4F73">
        <w:rPr>
          <w:rFonts w:eastAsiaTheme="minorEastAsia"/>
        </w:rPr>
        <w:t xml:space="preserve"> </w:t>
      </w:r>
      <w:r w:rsidR="00272341">
        <w:rPr>
          <w:rFonts w:eastAsiaTheme="minorEastAsia"/>
        </w:rPr>
        <w:t xml:space="preserve">Similarly, the </w:t>
      </w:r>
      <w:r w:rsidR="00D06FBB">
        <w:rPr>
          <w:rFonts w:eastAsiaTheme="minorEastAsia"/>
        </w:rPr>
        <w:t>C</w:t>
      </w:r>
      <w:r w:rsidR="00272341">
        <w:rPr>
          <w:rFonts w:eastAsiaTheme="minorEastAsia"/>
        </w:rPr>
        <w:t>hytrid</w:t>
      </w:r>
      <w:r w:rsidR="00D06FBB">
        <w:rPr>
          <w:rFonts w:eastAsiaTheme="minorEastAsia"/>
        </w:rPr>
        <w:t>iomycosis</w:t>
      </w:r>
      <w:r w:rsidR="00272341">
        <w:rPr>
          <w:rFonts w:eastAsiaTheme="minorEastAsia"/>
        </w:rPr>
        <w:t xml:space="preserve"> mortality rate </w:t>
      </w:r>
      <m:oMath>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Z</m:t>
            </m:r>
          </m:e>
        </m:d>
      </m:oMath>
      <w:r w:rsidR="00272341">
        <w:rPr>
          <w:rFonts w:eastAsiaTheme="minorEastAsia"/>
        </w:rPr>
        <w:t xml:space="preserve"> was dependent on the (log</w:t>
      </w:r>
      <w:r w:rsidR="00272341" w:rsidRPr="00272341">
        <w:rPr>
          <w:rFonts w:eastAsiaTheme="minorEastAsia"/>
          <w:vertAlign w:val="subscript"/>
        </w:rPr>
        <w:t>10</w:t>
      </w:r>
      <w:r w:rsidR="00272341">
        <w:rPr>
          <w:rFonts w:eastAsiaTheme="minorEastAsia"/>
        </w:rPr>
        <w:t>) zoospore load of frogs</w:t>
      </w:r>
      <w:r w:rsidR="007F1C87">
        <w:rPr>
          <w:rFonts w:eastAsiaTheme="minorEastAsia"/>
        </w:rPr>
        <w:t>,</w:t>
      </w:r>
      <w:r w:rsidR="00272341">
        <w:rPr>
          <w:rFonts w:eastAsiaTheme="minorEastAsia"/>
        </w:rPr>
        <w:t xml:space="preserve"> </w:t>
      </w:r>
      <m:oMath>
        <m:r>
          <w:rPr>
            <w:rFonts w:ascii="Cambria Math" w:eastAsiaTheme="minorEastAsia" w:hAnsi="Cambria Math"/>
          </w:rPr>
          <m:t>Z</m:t>
        </m:r>
      </m:oMath>
      <w:r w:rsidR="00272341">
        <w:rPr>
          <w:rFonts w:eastAsiaTheme="minorEastAsia"/>
        </w:rPr>
        <w:t xml:space="preserve">, which was, in turn, dependent on the prevailing temperature regime of the wetland environment (see main text for details). </w:t>
      </w:r>
      <w:r w:rsidR="008B4F73">
        <w:rPr>
          <w:rFonts w:eastAsiaTheme="minorEastAsia"/>
        </w:rPr>
        <w:t xml:space="preserve">Due to the complex nature of the temperature </w:t>
      </w:r>
      <w:r w:rsidR="00E77FCD">
        <w:rPr>
          <w:rFonts w:eastAsiaTheme="minorEastAsia"/>
        </w:rPr>
        <w:t xml:space="preserve">and zoospore </w:t>
      </w:r>
      <w:r w:rsidR="008B4F73">
        <w:rPr>
          <w:rFonts w:eastAsiaTheme="minorEastAsia"/>
        </w:rPr>
        <w:t xml:space="preserve">dependence of </w:t>
      </w:r>
      <w:r w:rsidR="00272341">
        <w:rPr>
          <w:rFonts w:eastAsiaTheme="minorEastAsia"/>
        </w:rPr>
        <w:t>these</w:t>
      </w:r>
      <w:r w:rsidR="008B4F73">
        <w:rPr>
          <w:rFonts w:eastAsiaTheme="minorEastAsia"/>
        </w:rPr>
        <w:t xml:space="preserve"> parameters (e.g. </w:t>
      </w:r>
      <m:oMath>
        <m:r>
          <w:rPr>
            <w:rFonts w:ascii="Cambria Math" w:eastAsiaTheme="minorEastAsia" w:hAnsi="Cambria Math"/>
          </w:rPr>
          <m:t>γ</m:t>
        </m:r>
      </m:oMath>
      <w:r w:rsidR="008B4F73">
        <w:rPr>
          <w:rFonts w:eastAsiaTheme="minorEastAsia"/>
        </w:rPr>
        <w:t xml:space="preserve">, </w:t>
      </w:r>
      <m:oMath>
        <m:r>
          <w:rPr>
            <w:rFonts w:ascii="Cambria Math" w:eastAsiaTheme="minorEastAsia" w:hAnsi="Cambria Math"/>
          </w:rPr>
          <m:t>α</m:t>
        </m:r>
      </m:oMath>
      <w:r w:rsidR="008B4F73">
        <w:rPr>
          <w:rFonts w:eastAsiaTheme="minorEastAsia"/>
        </w:rPr>
        <w:t xml:space="preserve">), a deterministic, continuous-time model was not developed and </w:t>
      </w:r>
      <w:r w:rsidR="007F1C87">
        <w:rPr>
          <w:rFonts w:eastAsiaTheme="minorEastAsia"/>
        </w:rPr>
        <w:t xml:space="preserve">therefore, </w:t>
      </w:r>
      <w:r w:rsidR="008B4F73">
        <w:rPr>
          <w:rFonts w:eastAsiaTheme="minorEastAsia"/>
        </w:rPr>
        <w:t xml:space="preserve">modelling only involved the stochastic individual-based model. </w:t>
      </w:r>
    </w:p>
    <w:p w14:paraId="638C7396" w14:textId="77777777" w:rsidR="00563D83" w:rsidRPr="00583D29" w:rsidRDefault="00563D83" w:rsidP="00563D83">
      <w:pPr>
        <w:rPr>
          <w:rFonts w:eastAsiaTheme="minorEastAsia"/>
          <w:b/>
          <w:bCs/>
        </w:rPr>
      </w:pPr>
    </w:p>
    <w:p w14:paraId="1E3B339C" w14:textId="31FD9F85" w:rsidR="00563D83" w:rsidRDefault="00563D83" w:rsidP="00CA6E95">
      <w:pPr>
        <w:pStyle w:val="Caption-Table"/>
        <w:rPr>
          <w:rFonts w:eastAsiaTheme="minorEastAsia"/>
        </w:rPr>
      </w:pPr>
      <w:bookmarkStart w:id="166" w:name="_Toc198634150"/>
      <w:r w:rsidRPr="00FC1044">
        <w:rPr>
          <w:rFonts w:eastAsiaTheme="minorEastAsia"/>
        </w:rPr>
        <w:t xml:space="preserve">Table </w:t>
      </w:r>
      <w:r w:rsidR="00732F6F">
        <w:rPr>
          <w:rFonts w:eastAsiaTheme="minorEastAsia"/>
        </w:rPr>
        <w:t>A4</w:t>
      </w:r>
      <w:r>
        <w:rPr>
          <w:rFonts w:eastAsiaTheme="minorEastAsia"/>
        </w:rPr>
        <w:t>.</w:t>
      </w:r>
      <w:r w:rsidR="00BE3EC4">
        <w:rPr>
          <w:rFonts w:eastAsiaTheme="minorEastAsia"/>
        </w:rPr>
        <w:t xml:space="preserve"> </w:t>
      </w:r>
      <w:r>
        <w:rPr>
          <w:rFonts w:eastAsiaTheme="minorEastAsia"/>
        </w:rPr>
        <w:t xml:space="preserve">Parameter values used to model the epidemiology of </w:t>
      </w:r>
      <w:r w:rsidR="00475EC4">
        <w:rPr>
          <w:rFonts w:eastAsiaTheme="minorEastAsia"/>
        </w:rPr>
        <w:t>c</w:t>
      </w:r>
      <w:r>
        <w:rPr>
          <w:rFonts w:eastAsiaTheme="minorEastAsia"/>
        </w:rPr>
        <w:t xml:space="preserve">hytrid in </w:t>
      </w:r>
      <w:r w:rsidR="00B84722">
        <w:rPr>
          <w:rFonts w:eastAsiaTheme="minorEastAsia"/>
        </w:rPr>
        <w:t>Bell Frogs</w:t>
      </w:r>
      <w:r>
        <w:rPr>
          <w:rFonts w:eastAsiaTheme="minorEastAsia"/>
        </w:rPr>
        <w:t>.</w:t>
      </w:r>
      <w:r w:rsidR="00BE3EC4">
        <w:rPr>
          <w:rFonts w:eastAsiaTheme="minorEastAsia"/>
        </w:rPr>
        <w:t xml:space="preserve"> </w:t>
      </w:r>
      <w:r>
        <w:rPr>
          <w:rFonts w:eastAsiaTheme="minorEastAsia"/>
        </w:rPr>
        <w:t>Parameter values are per day unless otherwise indicated.</w:t>
      </w:r>
      <w:bookmarkEnd w:id="166"/>
    </w:p>
    <w:tbl>
      <w:tblPr>
        <w:tblStyle w:val="TableGrid10"/>
        <w:tblW w:w="5000" w:type="pct"/>
        <w:tblLook w:val="04A0" w:firstRow="1" w:lastRow="0" w:firstColumn="1" w:lastColumn="0" w:noHBand="0" w:noVBand="1"/>
      </w:tblPr>
      <w:tblGrid>
        <w:gridCol w:w="1665"/>
        <w:gridCol w:w="6208"/>
        <w:gridCol w:w="1766"/>
      </w:tblGrid>
      <w:tr w:rsidR="00563D83" w14:paraId="074565A7" w14:textId="77777777" w:rsidTr="001D6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 w:type="pct"/>
          </w:tcPr>
          <w:p w14:paraId="6037B3A6" w14:textId="77777777" w:rsidR="00563D83" w:rsidRDefault="00563D83" w:rsidP="00DA5824">
            <w:pPr>
              <w:pStyle w:val="Tableheadingtext"/>
              <w:jc w:val="center"/>
              <w:rPr>
                <w:rFonts w:eastAsiaTheme="minorEastAsia"/>
              </w:rPr>
            </w:pPr>
            <w:r>
              <w:rPr>
                <w:rFonts w:eastAsiaTheme="minorEastAsia"/>
              </w:rPr>
              <w:t>Parameter</w:t>
            </w:r>
          </w:p>
        </w:tc>
        <w:tc>
          <w:tcPr>
            <w:tcW w:w="3220" w:type="pct"/>
          </w:tcPr>
          <w:p w14:paraId="53F3C830" w14:textId="77777777" w:rsidR="00563D83" w:rsidRDefault="00563D83" w:rsidP="00DA5824">
            <w:pPr>
              <w:pStyle w:val="Tableheadingtext"/>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Description </w:t>
            </w:r>
          </w:p>
        </w:tc>
        <w:tc>
          <w:tcPr>
            <w:tcW w:w="916" w:type="pct"/>
          </w:tcPr>
          <w:p w14:paraId="4A53ADF5" w14:textId="77777777" w:rsidR="00563D83" w:rsidRDefault="00563D83" w:rsidP="00DA5824">
            <w:pPr>
              <w:pStyle w:val="Tableheadingtext"/>
              <w:jc w:val="center"/>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Theme="minorEastAsia"/>
              </w:rPr>
              <w:t>Values</w:t>
            </w:r>
          </w:p>
        </w:tc>
      </w:tr>
      <w:tr w:rsidR="00563D83" w14:paraId="71668360"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0C595C63" w14:textId="5A74B5EF" w:rsidR="00563D83" w:rsidRPr="00CA6E95" w:rsidRDefault="00F361D7">
            <w:pPr>
              <w:spacing w:after="0"/>
              <w:jc w:val="center"/>
              <w:rPr>
                <w:rFonts w:ascii="Aptos" w:eastAsia="Aptos" w:hAnsi="Aptos" w:cs="Times New Roman"/>
                <w:bCs/>
              </w:rPr>
            </w:pPr>
            <m:oMathPara>
              <m:oMath>
                <m:r>
                  <w:rPr>
                    <w:rFonts w:ascii="Cambria Math" w:eastAsia="Aptos" w:hAnsi="Cambria Math" w:cs="Times New Roman"/>
                  </w:rPr>
                  <m:t>b</m:t>
                </m:r>
              </m:oMath>
            </m:oMathPara>
          </w:p>
        </w:tc>
        <w:tc>
          <w:tcPr>
            <w:tcW w:w="3220" w:type="pct"/>
          </w:tcPr>
          <w:p w14:paraId="5B39F597" w14:textId="16905BBA"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Recruitment rate of adult frogs</w:t>
            </w:r>
            <w:r w:rsidR="00EF23BB">
              <w:rPr>
                <w:rFonts w:eastAsiaTheme="minorEastAsia"/>
              </w:rPr>
              <w:t xml:space="preserve"> during breeding season</w:t>
            </w:r>
          </w:p>
        </w:tc>
        <w:tc>
          <w:tcPr>
            <w:tcW w:w="916" w:type="pct"/>
          </w:tcPr>
          <w:p w14:paraId="598F8176" w14:textId="77777777" w:rsidR="00563D83"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A17DF0">
              <w:rPr>
                <w:rFonts w:eastAsiaTheme="minorEastAsia"/>
              </w:rPr>
              <w:t>0.00</w:t>
            </w:r>
            <w:r>
              <w:rPr>
                <w:rFonts w:eastAsiaTheme="minorEastAsia"/>
              </w:rPr>
              <w:t>49</w:t>
            </w:r>
          </w:p>
        </w:tc>
      </w:tr>
      <w:tr w:rsidR="00563D83" w14:paraId="0E532486"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04CAEF37" w14:textId="0F8C1E9F" w:rsidR="00563D83" w:rsidRPr="00CA6E95" w:rsidRDefault="00C569B3">
            <w:pPr>
              <w:spacing w:after="0"/>
              <w:jc w:val="center"/>
              <w:rPr>
                <w:rFonts w:ascii="Aptos" w:eastAsia="Aptos" w:hAnsi="Aptos" w:cs="Times New Roman"/>
                <w:bCs/>
              </w:rPr>
            </w:pPr>
            <m:oMathPara>
              <m:oMath>
                <m:r>
                  <w:rPr>
                    <w:rFonts w:ascii="Cambria Math" w:eastAsia="Aptos" w:hAnsi="Cambria Math" w:cs="Times New Roman"/>
                  </w:rPr>
                  <m:t>d</m:t>
                </m:r>
              </m:oMath>
            </m:oMathPara>
          </w:p>
        </w:tc>
        <w:tc>
          <w:tcPr>
            <w:tcW w:w="3220" w:type="pct"/>
          </w:tcPr>
          <w:p w14:paraId="7847D5D6" w14:textId="77777777"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Natural mortality rate of uninfected frogs</w:t>
            </w:r>
          </w:p>
        </w:tc>
        <w:tc>
          <w:tcPr>
            <w:tcW w:w="916" w:type="pct"/>
          </w:tcPr>
          <w:p w14:paraId="76E3702B" w14:textId="77777777" w:rsidR="00563D83"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BB720F">
              <w:rPr>
                <w:rFonts w:eastAsiaTheme="minorEastAsia"/>
              </w:rPr>
              <w:t>0.00</w:t>
            </w:r>
            <w:r>
              <w:rPr>
                <w:rFonts w:eastAsiaTheme="minorEastAsia"/>
              </w:rPr>
              <w:t>10</w:t>
            </w:r>
          </w:p>
        </w:tc>
      </w:tr>
      <w:tr w:rsidR="00563D83" w14:paraId="22996A73"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26ACE8BF" w14:textId="7B873637" w:rsidR="00563D83" w:rsidRPr="00CA6E95" w:rsidRDefault="00F361D7">
            <w:pPr>
              <w:spacing w:after="0"/>
              <w:jc w:val="center"/>
              <w:rPr>
                <w:rFonts w:ascii="Aptos" w:eastAsia="Aptos" w:hAnsi="Aptos" w:cs="Times New Roman"/>
                <w:bCs/>
              </w:rPr>
            </w:pPr>
            <m:oMathPara>
              <m:oMath>
                <m:r>
                  <w:rPr>
                    <w:rFonts w:ascii="Cambria Math" w:eastAsia="Aptos" w:hAnsi="Cambria Math" w:cs="Times New Roman"/>
                  </w:rPr>
                  <m:t>g</m:t>
                </m:r>
              </m:oMath>
            </m:oMathPara>
          </w:p>
        </w:tc>
        <w:tc>
          <w:tcPr>
            <w:tcW w:w="3220" w:type="pct"/>
          </w:tcPr>
          <w:p w14:paraId="5269A67A" w14:textId="77777777"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Density-dependent factor</w:t>
            </w:r>
          </w:p>
        </w:tc>
        <w:tc>
          <w:tcPr>
            <w:tcW w:w="916" w:type="pct"/>
          </w:tcPr>
          <w:p w14:paraId="3A246DEA" w14:textId="77777777" w:rsidR="00563D83" w:rsidRPr="00BB720F"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A17DF0">
              <w:rPr>
                <w:rFonts w:eastAsiaTheme="minorEastAsia"/>
              </w:rPr>
              <w:t>0.00</w:t>
            </w:r>
            <w:r>
              <w:rPr>
                <w:rFonts w:eastAsiaTheme="minorEastAsia"/>
              </w:rPr>
              <w:t>15</w:t>
            </w:r>
          </w:p>
        </w:tc>
      </w:tr>
      <w:tr w:rsidR="00563D83" w14:paraId="1C5DCF96"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72957958" w14:textId="2FFBCBCB" w:rsidR="00563D83" w:rsidRPr="00CA6E95" w:rsidRDefault="00F361D7">
            <w:pPr>
              <w:spacing w:after="0"/>
              <w:jc w:val="center"/>
              <w:rPr>
                <w:rFonts w:ascii="Aptos" w:eastAsia="Aptos" w:hAnsi="Aptos" w:cs="Times New Roman"/>
                <w:bCs/>
              </w:rPr>
            </w:pPr>
            <m:oMathPara>
              <m:oMath>
                <m:r>
                  <w:rPr>
                    <w:rFonts w:ascii="Cambria Math" w:eastAsia="Aptos" w:hAnsi="Cambria Math" w:cs="Times New Roman"/>
                  </w:rPr>
                  <m:t>K</m:t>
                </m:r>
              </m:oMath>
            </m:oMathPara>
          </w:p>
        </w:tc>
        <w:tc>
          <w:tcPr>
            <w:tcW w:w="3220" w:type="pct"/>
          </w:tcPr>
          <w:p w14:paraId="6B5D0E51" w14:textId="77777777"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Frog carrying-capacity of waterbody</w:t>
            </w:r>
          </w:p>
        </w:tc>
        <w:tc>
          <w:tcPr>
            <w:tcW w:w="916" w:type="pct"/>
          </w:tcPr>
          <w:p w14:paraId="6BFB2240" w14:textId="77777777" w:rsidR="00563D83" w:rsidRPr="00A17DF0"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500</w:t>
            </w:r>
          </w:p>
        </w:tc>
      </w:tr>
      <w:tr w:rsidR="00563D83" w14:paraId="2CFC27D2"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55F17B57" w14:textId="701AE5F6" w:rsidR="00563D83" w:rsidRPr="00CA6E95" w:rsidRDefault="00C569B3">
            <w:pPr>
              <w:spacing w:after="0"/>
              <w:jc w:val="center"/>
              <w:rPr>
                <w:rFonts w:eastAsiaTheme="minorEastAsia"/>
                <w:bCs/>
                <w:iCs/>
              </w:rPr>
            </w:pPr>
            <m:oMathPara>
              <m:oMath>
                <m:r>
                  <m:rPr>
                    <m:sty m:val="p"/>
                  </m:rPr>
                  <w:rPr>
                    <w:rFonts w:ascii="Cambria Math" w:eastAsiaTheme="minorEastAsia" w:hAnsi="Cambria Math"/>
                  </w:rPr>
                  <m:t>ϕ</m:t>
                </m:r>
              </m:oMath>
            </m:oMathPara>
          </w:p>
        </w:tc>
        <w:tc>
          <w:tcPr>
            <w:tcW w:w="3220" w:type="pct"/>
          </w:tcPr>
          <w:p w14:paraId="2C15AE3F" w14:textId="3CE3482E"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Transmission (contact) rate of chytrid from environment</w:t>
            </w:r>
            <w:r w:rsidR="00BE3EC4">
              <w:rPr>
                <w:rFonts w:eastAsiaTheme="minorEastAsia"/>
              </w:rPr>
              <w:t xml:space="preserve"> </w:t>
            </w:r>
          </w:p>
        </w:tc>
        <w:tc>
          <w:tcPr>
            <w:tcW w:w="916" w:type="pct"/>
          </w:tcPr>
          <w:p w14:paraId="56CA611B" w14:textId="0C7ED9A5" w:rsidR="00563D83"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0.2</w:t>
            </w:r>
            <w:r w:rsidR="00D17235">
              <w:rPr>
                <w:rFonts w:eastAsiaTheme="minorEastAsia"/>
              </w:rPr>
              <w:t>0</w:t>
            </w:r>
            <w:r>
              <w:rPr>
                <w:rFonts w:eastAsiaTheme="minorEastAsia"/>
              </w:rPr>
              <w:t>/</w:t>
            </w:r>
            <m:oMath>
              <m:r>
                <w:rPr>
                  <w:rFonts w:ascii="Cambria Math" w:eastAsiaTheme="minorEastAsia" w:hAnsi="Cambria Math"/>
                </w:rPr>
                <m:t>K</m:t>
              </m:r>
            </m:oMath>
          </w:p>
        </w:tc>
      </w:tr>
      <w:tr w:rsidR="000767EE" w14:paraId="4427E92D"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3D6BD11B" w14:textId="2F716719" w:rsidR="000767EE" w:rsidRDefault="00000000">
            <w:pPr>
              <w:spacing w:after="0"/>
              <w:jc w:val="center"/>
            </w:pPr>
            <m:oMathPara>
              <m:oMath>
                <m:sSub>
                  <m:sSubPr>
                    <m:ctrlPr>
                      <w:rPr>
                        <w:rFonts w:ascii="Cambria Math" w:hAnsi="Cambria Math"/>
                        <w:i/>
                      </w:rPr>
                    </m:ctrlPr>
                  </m:sSubPr>
                  <m:e>
                    <m:r>
                      <w:rPr>
                        <w:rFonts w:ascii="Cambria Math" w:hAnsi="Cambria Math"/>
                      </w:rPr>
                      <m:t>T</m:t>
                    </m:r>
                  </m:e>
                  <m:sub>
                    <m:r>
                      <w:rPr>
                        <w:rFonts w:ascii="Cambria Math" w:hAnsi="Cambria Math"/>
                      </w:rPr>
                      <m:t>r</m:t>
                    </m:r>
                  </m:sub>
                </m:sSub>
              </m:oMath>
            </m:oMathPara>
          </w:p>
        </w:tc>
        <w:tc>
          <w:tcPr>
            <w:tcW w:w="3220" w:type="pct"/>
          </w:tcPr>
          <w:p w14:paraId="6C41D2B8" w14:textId="09A0EF63" w:rsidR="000767EE" w:rsidRDefault="000767EE">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Temperature above which, frogs could recover from chytrid</w:t>
            </w:r>
          </w:p>
        </w:tc>
        <w:tc>
          <w:tcPr>
            <w:tcW w:w="916" w:type="pct"/>
          </w:tcPr>
          <w:p w14:paraId="343DDBD9" w14:textId="7CB40504" w:rsidR="000767EE" w:rsidRDefault="000767EE">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25</w:t>
            </w:r>
            <m:oMath>
              <m:r>
                <m:rPr>
                  <m:sty m:val="p"/>
                </m:rPr>
                <w:rPr>
                  <w:rFonts w:ascii="Cambria Math" w:eastAsiaTheme="minorEastAsia" w:hAnsi="Cambria Math"/>
                </w:rPr>
                <m:t>°C</m:t>
              </m:r>
              <m:r>
                <w:rPr>
                  <w:rFonts w:ascii="Cambria Math" w:eastAsiaTheme="minorEastAsia" w:hAnsi="Cambria Math"/>
                </w:rPr>
                <m:t xml:space="preserve"> </m:t>
              </m:r>
            </m:oMath>
          </w:p>
        </w:tc>
      </w:tr>
      <w:tr w:rsidR="00563D83" w14:paraId="4D376EAE"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6090630D" w14:textId="3D8C8587" w:rsidR="00563D83" w:rsidRPr="00CA6E95" w:rsidRDefault="00C569B3">
            <w:pPr>
              <w:spacing w:after="0"/>
              <w:jc w:val="center"/>
              <w:rPr>
                <w:rFonts w:ascii="Aptos" w:eastAsia="Aptos" w:hAnsi="Aptos" w:cs="Times New Roman"/>
                <w:bCs/>
              </w:rPr>
            </w:pPr>
            <m:oMathPara>
              <m:oMath>
                <m:r>
                  <w:rPr>
                    <w:rFonts w:ascii="Cambria Math" w:eastAsia="Aptos" w:hAnsi="Cambria Math" w:cs="Times New Roman"/>
                  </w:rPr>
                  <m:t>γ</m:t>
                </m:r>
                <m:d>
                  <m:dPr>
                    <m:ctrlPr>
                      <w:rPr>
                        <w:rFonts w:ascii="Cambria Math" w:eastAsia="Aptos" w:hAnsi="Cambria Math" w:cs="Times New Roman"/>
                        <w:bCs/>
                        <w:i/>
                      </w:rPr>
                    </m:ctrlPr>
                  </m:dPr>
                  <m:e>
                    <m:r>
                      <w:rPr>
                        <w:rFonts w:ascii="Cambria Math" w:eastAsia="Aptos" w:hAnsi="Cambria Math" w:cs="Times New Roman"/>
                      </w:rPr>
                      <m:t>T</m:t>
                    </m:r>
                  </m:e>
                </m:d>
              </m:oMath>
            </m:oMathPara>
          </w:p>
        </w:tc>
        <w:tc>
          <w:tcPr>
            <w:tcW w:w="3220" w:type="pct"/>
          </w:tcPr>
          <w:p w14:paraId="1E34D9AB" w14:textId="47CACB39"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Temperature dependent recovery rate</w:t>
            </w:r>
            <w:r w:rsidR="00466825">
              <w:rPr>
                <w:rFonts w:eastAsiaTheme="minorEastAsia"/>
              </w:rPr>
              <w:t xml:space="preserve"> </w:t>
            </w:r>
            <w:r>
              <w:rPr>
                <w:rFonts w:eastAsiaTheme="minorEastAsia"/>
              </w:rPr>
              <w:t xml:space="preserve"> </w:t>
            </w:r>
          </w:p>
        </w:tc>
        <w:tc>
          <w:tcPr>
            <w:tcW w:w="916" w:type="pct"/>
          </w:tcPr>
          <w:p w14:paraId="6C8F36D5" w14:textId="21315694" w:rsidR="00563D83"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w:t>
            </w:r>
            <w:r w:rsidR="00D2402B">
              <w:rPr>
                <w:rFonts w:eastAsiaTheme="minorEastAsia"/>
              </w:rPr>
              <w:t>27</w:t>
            </w:r>
            <w:r w:rsidR="00466825">
              <w:rPr>
                <w:rFonts w:eastAsiaTheme="minorEastAsia"/>
              </w:rPr>
              <w:t xml:space="preserve"> (</w:t>
            </w:r>
            <m:oMath>
              <m:r>
                <w:rPr>
                  <w:rFonts w:ascii="Cambria Math" w:eastAsiaTheme="minorEastAsia" w:hAnsi="Cambria Math"/>
                </w:rPr>
                <m:t>T</m:t>
              </m:r>
            </m:oMath>
            <w:r w:rsidR="00466825">
              <w:rPr>
                <w:rFonts w:eastAsiaTheme="minorEastAsia"/>
              </w:rPr>
              <w:t xml:space="preserve"> </w:t>
            </w:r>
            <m:oMath>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r</m:t>
                  </m:r>
                </m:sub>
              </m:sSub>
            </m:oMath>
            <w:r w:rsidR="00466825">
              <w:rPr>
                <w:rFonts w:eastAsiaTheme="minorEastAsia"/>
              </w:rPr>
              <w:t>)</w:t>
            </w:r>
          </w:p>
        </w:tc>
      </w:tr>
      <w:tr w:rsidR="00563D83" w14:paraId="2C988EE0"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629DF93A" w14:textId="11A4EE80" w:rsidR="00563D83" w:rsidRPr="00CA6E95" w:rsidRDefault="00910A21">
            <w:pPr>
              <w:spacing w:after="0"/>
              <w:jc w:val="center"/>
              <w:rPr>
                <w:rFonts w:eastAsiaTheme="minorEastAsia"/>
                <w:bCs/>
                <w:iCs/>
              </w:rPr>
            </w:pPr>
            <m:oMathPara>
              <m:oMath>
                <m:r>
                  <m:rPr>
                    <m:sty m:val="p"/>
                  </m:rPr>
                  <w:rPr>
                    <w:rFonts w:ascii="Cambria Math" w:eastAsiaTheme="minorEastAsia" w:hAnsi="Cambria Math"/>
                  </w:rPr>
                  <m:t>ε</m:t>
                </m:r>
              </m:oMath>
            </m:oMathPara>
          </w:p>
        </w:tc>
        <w:tc>
          <w:tcPr>
            <w:tcW w:w="3220" w:type="pct"/>
          </w:tcPr>
          <w:p w14:paraId="616F151D" w14:textId="77777777"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Relative susceptibility of frogs previously exposed</w:t>
            </w:r>
          </w:p>
        </w:tc>
        <w:tc>
          <w:tcPr>
            <w:tcW w:w="916" w:type="pct"/>
          </w:tcPr>
          <w:p w14:paraId="7D89DAB7" w14:textId="77777777" w:rsidR="00563D83"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0.18</w:t>
            </w:r>
          </w:p>
        </w:tc>
      </w:tr>
      <w:tr w:rsidR="001D6782" w14:paraId="5198F87A"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02934A05" w14:textId="143A65D1" w:rsidR="001D6782" w:rsidRDefault="00000000" w:rsidP="001D6782">
            <w:pPr>
              <w:spacing w:after="0"/>
              <w:jc w:val="center"/>
            </w:pPr>
            <m:oMathPara>
              <m:oMath>
                <m:sSub>
                  <m:sSubPr>
                    <m:ctrlPr>
                      <w:rPr>
                        <w:rFonts w:ascii="Cambria Math" w:eastAsia="Aptos" w:hAnsi="Cambria Math" w:cs="Times New Roman"/>
                        <w:bCs/>
                        <w:i/>
                      </w:rPr>
                    </m:ctrlPr>
                  </m:sSubPr>
                  <m:e>
                    <m:r>
                      <w:rPr>
                        <w:rFonts w:ascii="Cambria Math" w:eastAsia="Aptos" w:hAnsi="Cambria Math" w:cs="Times New Roman"/>
                      </w:rPr>
                      <m:t>Z</m:t>
                    </m:r>
                  </m:e>
                  <m:sub>
                    <m:r>
                      <w:rPr>
                        <w:rFonts w:ascii="Cambria Math" w:eastAsia="Aptos" w:hAnsi="Cambria Math" w:cs="Times New Roman"/>
                      </w:rPr>
                      <m:t>T</m:t>
                    </m:r>
                  </m:sub>
                </m:sSub>
              </m:oMath>
            </m:oMathPara>
          </w:p>
        </w:tc>
        <w:tc>
          <w:tcPr>
            <w:tcW w:w="3220" w:type="pct"/>
          </w:tcPr>
          <w:p w14:paraId="678B4927" w14:textId="1F60CF0E" w:rsidR="001D6782" w:rsidRDefault="001D6782" w:rsidP="001D678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Zoospore load which initiates chytrid mortality (log</w:t>
            </w:r>
            <w:r w:rsidRPr="009708E3">
              <w:rPr>
                <w:rFonts w:eastAsiaTheme="minorEastAsia"/>
                <w:vertAlign w:val="subscript"/>
              </w:rPr>
              <w:t>10</w:t>
            </w:r>
            <w:r>
              <w:rPr>
                <w:rFonts w:eastAsiaTheme="minorEastAsia"/>
              </w:rPr>
              <w:t xml:space="preserve"> scale)</w:t>
            </w:r>
          </w:p>
        </w:tc>
        <w:tc>
          <w:tcPr>
            <w:tcW w:w="916" w:type="pct"/>
          </w:tcPr>
          <w:p w14:paraId="658244DE" w14:textId="3F845C59" w:rsidR="001D6782" w:rsidRDefault="001D6782" w:rsidP="001D678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4</w:t>
            </w:r>
            <w:r w:rsidR="00DC4C0A">
              <w:rPr>
                <w:rFonts w:eastAsiaTheme="minorEastAsia"/>
              </w:rPr>
              <w:t>.0</w:t>
            </w:r>
          </w:p>
        </w:tc>
      </w:tr>
      <w:tr w:rsidR="009115B4" w14:paraId="2B69972C"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613006B0" w14:textId="5AC49173" w:rsidR="009115B4" w:rsidRDefault="00000000" w:rsidP="009115B4">
            <w:pPr>
              <w:spacing w:after="0"/>
              <w:jc w:val="center"/>
              <w:rPr>
                <w:bCs/>
                <w:iCs/>
              </w:rPr>
            </w:pPr>
            <m:oMathPara>
              <m:oMath>
                <m:sSub>
                  <m:sSubPr>
                    <m:ctrlPr>
                      <w:rPr>
                        <w:rFonts w:ascii="Cambria Math" w:eastAsia="Aptos" w:hAnsi="Cambria Math" w:cs="Times New Roman"/>
                        <w:bCs/>
                        <w:i/>
                      </w:rPr>
                    </m:ctrlPr>
                  </m:sSubPr>
                  <m:e>
                    <m:r>
                      <w:rPr>
                        <w:rFonts w:ascii="Cambria Math" w:eastAsia="Aptos" w:hAnsi="Cambria Math" w:cs="Times New Roman"/>
                      </w:rPr>
                      <m:t>Z</m:t>
                    </m:r>
                  </m:e>
                  <m:sub>
                    <m:r>
                      <w:rPr>
                        <w:rFonts w:ascii="Cambria Math" w:eastAsia="Aptos" w:hAnsi="Cambria Math" w:cs="Times New Roman"/>
                      </w:rPr>
                      <m:t>max</m:t>
                    </m:r>
                  </m:sub>
                </m:sSub>
                <m:d>
                  <m:dPr>
                    <m:ctrlPr>
                      <w:rPr>
                        <w:rFonts w:ascii="Cambria Math" w:eastAsia="Aptos" w:hAnsi="Cambria Math" w:cs="Times New Roman"/>
                        <w:bCs/>
                        <w:i/>
                      </w:rPr>
                    </m:ctrlPr>
                  </m:dPr>
                  <m:e>
                    <m:r>
                      <w:rPr>
                        <w:rFonts w:ascii="Cambria Math" w:eastAsia="Aptos" w:hAnsi="Cambria Math" w:cs="Times New Roman"/>
                      </w:rPr>
                      <m:t>T</m:t>
                    </m:r>
                  </m:e>
                </m:d>
              </m:oMath>
            </m:oMathPara>
          </w:p>
        </w:tc>
        <w:tc>
          <w:tcPr>
            <w:tcW w:w="3220" w:type="pct"/>
          </w:tcPr>
          <w:p w14:paraId="0A7D6E99" w14:textId="420CC491" w:rsidR="009115B4" w:rsidRDefault="009115B4" w:rsidP="009115B4">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Maximum frog zoospore load (temperature dependent)</w:t>
            </w:r>
          </w:p>
        </w:tc>
        <w:tc>
          <w:tcPr>
            <w:tcW w:w="916" w:type="pct"/>
          </w:tcPr>
          <w:p w14:paraId="0908A333" w14:textId="7EDDB5B4" w:rsidR="009115B4" w:rsidRDefault="009115B4" w:rsidP="009115B4">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variable</w:t>
            </w:r>
          </w:p>
        </w:tc>
      </w:tr>
      <w:tr w:rsidR="00563D83" w14:paraId="0F9A8188"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73ADEC88" w14:textId="079A8FD8" w:rsidR="00563D83" w:rsidRPr="00CA6E95" w:rsidRDefault="00910A21">
            <w:pPr>
              <w:spacing w:after="0"/>
              <w:jc w:val="center"/>
              <w:rPr>
                <w:rFonts w:eastAsiaTheme="minorEastAsia"/>
                <w:bCs/>
                <w:iCs/>
              </w:rPr>
            </w:pPr>
            <m:oMathPara>
              <m:oMath>
                <m:r>
                  <w:rPr>
                    <w:rFonts w:ascii="Cambria Math" w:eastAsiaTheme="minorEastAsia" w:hAnsi="Cambria Math"/>
                  </w:rPr>
                  <m:t>α</m:t>
                </m:r>
                <m:d>
                  <m:dPr>
                    <m:ctrlPr>
                      <w:rPr>
                        <w:rFonts w:ascii="Cambria Math" w:eastAsiaTheme="minorEastAsia" w:hAnsi="Cambria Math"/>
                        <w:bCs/>
                        <w:i/>
                        <w:iCs/>
                      </w:rPr>
                    </m:ctrlPr>
                  </m:dPr>
                  <m:e>
                    <m:r>
                      <w:rPr>
                        <w:rFonts w:ascii="Cambria Math" w:eastAsiaTheme="minorEastAsia" w:hAnsi="Cambria Math"/>
                      </w:rPr>
                      <m:t>Z</m:t>
                    </m:r>
                  </m:e>
                </m:d>
              </m:oMath>
            </m:oMathPara>
          </w:p>
        </w:tc>
        <w:tc>
          <w:tcPr>
            <w:tcW w:w="3220" w:type="pct"/>
          </w:tcPr>
          <w:p w14:paraId="72581058" w14:textId="1E13DCAC" w:rsidR="00563D83" w:rsidRDefault="00563D83">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Chytrid mortality rate (zoospore dependent)</w:t>
            </w:r>
          </w:p>
        </w:tc>
        <w:tc>
          <w:tcPr>
            <w:tcW w:w="916" w:type="pct"/>
          </w:tcPr>
          <w:p w14:paraId="3777F263" w14:textId="7CD3236F" w:rsidR="00563D83" w:rsidRDefault="00563D83">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0.0019</w:t>
            </w:r>
            <w:r w:rsidR="001D6782">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Z &gt;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T</m:t>
                      </m:r>
                    </m:sub>
                  </m:sSub>
                </m:e>
              </m:d>
            </m:oMath>
          </w:p>
        </w:tc>
      </w:tr>
      <w:tr w:rsidR="001D6782" w14:paraId="4516787C"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0F06F308" w14:textId="2C8DE62E" w:rsidR="001D6782" w:rsidRPr="00CA6E95" w:rsidRDefault="001D6782" w:rsidP="001D6782">
            <w:pPr>
              <w:spacing w:after="0"/>
              <w:jc w:val="center"/>
              <w:rPr>
                <w:rFonts w:ascii="Aptos" w:eastAsia="Aptos" w:hAnsi="Aptos" w:cs="Times New Roman"/>
                <w:bCs/>
              </w:rPr>
            </w:pPr>
            <m:oMathPara>
              <m:oMath>
                <m:r>
                  <w:rPr>
                    <w:rFonts w:ascii="Cambria Math" w:eastAsia="Aptos" w:hAnsi="Cambria Math" w:cs="Times New Roman"/>
                  </w:rPr>
                  <m:t>θ</m:t>
                </m:r>
              </m:oMath>
            </m:oMathPara>
          </w:p>
        </w:tc>
        <w:tc>
          <w:tcPr>
            <w:tcW w:w="3220" w:type="pct"/>
          </w:tcPr>
          <w:p w14:paraId="18A63B52" w14:textId="77777777" w:rsidR="001D6782" w:rsidRDefault="001D6782" w:rsidP="001D678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Maximum growth rate of zoospores in environment</w:t>
            </w:r>
          </w:p>
        </w:tc>
        <w:tc>
          <w:tcPr>
            <w:tcW w:w="916" w:type="pct"/>
          </w:tcPr>
          <w:p w14:paraId="3C3E8238" w14:textId="77777777" w:rsidR="001D6782" w:rsidRDefault="001D6782" w:rsidP="001D678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0.1</w:t>
            </w:r>
          </w:p>
        </w:tc>
      </w:tr>
      <w:tr w:rsidR="001D6782" w14:paraId="31EAB38C"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0A18F43B" w14:textId="7BFB415D" w:rsidR="001D6782" w:rsidRPr="00CA6E95" w:rsidRDefault="00000000" w:rsidP="001D6782">
            <w:pPr>
              <w:spacing w:after="0"/>
              <w:jc w:val="center"/>
              <w:rPr>
                <w:rFonts w:ascii="Aptos" w:eastAsia="Aptos" w:hAnsi="Aptos" w:cs="Times New Roman"/>
                <w:bCs/>
              </w:rPr>
            </w:pPr>
            <m:oMathPara>
              <m:oMath>
                <m:sSub>
                  <m:sSubPr>
                    <m:ctrlPr>
                      <w:rPr>
                        <w:rFonts w:ascii="Cambria Math" w:eastAsia="Aptos" w:hAnsi="Cambria Math" w:cs="Times New Roman"/>
                        <w:bCs/>
                        <w:i/>
                      </w:rPr>
                    </m:ctrlPr>
                  </m:sSubPr>
                  <m:e>
                    <m:r>
                      <w:rPr>
                        <w:rFonts w:ascii="Cambria Math" w:eastAsia="Aptos" w:hAnsi="Cambria Math" w:cs="Times New Roman"/>
                      </w:rPr>
                      <m:t>K</m:t>
                    </m:r>
                  </m:e>
                  <m:sub>
                    <m:r>
                      <w:rPr>
                        <w:rFonts w:ascii="Cambria Math" w:eastAsia="Aptos" w:hAnsi="Cambria Math" w:cs="Times New Roman"/>
                      </w:rPr>
                      <m:t>p</m:t>
                    </m:r>
                  </m:sub>
                </m:sSub>
              </m:oMath>
            </m:oMathPara>
          </w:p>
        </w:tc>
        <w:tc>
          <w:tcPr>
            <w:tcW w:w="3220" w:type="pct"/>
          </w:tcPr>
          <w:p w14:paraId="7A5E4456" w14:textId="77777777" w:rsidR="001D6782" w:rsidRDefault="001D6782" w:rsidP="001D678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Carrying-capacity of zoospores in environment (log</w:t>
            </w:r>
            <w:r w:rsidRPr="009708E3">
              <w:rPr>
                <w:rFonts w:eastAsiaTheme="minorEastAsia"/>
                <w:vertAlign w:val="subscript"/>
              </w:rPr>
              <w:t>10</w:t>
            </w:r>
            <w:r>
              <w:rPr>
                <w:rFonts w:eastAsiaTheme="minorEastAsia"/>
              </w:rPr>
              <w:t xml:space="preserve"> scale)</w:t>
            </w:r>
          </w:p>
        </w:tc>
        <w:tc>
          <w:tcPr>
            <w:tcW w:w="916" w:type="pct"/>
          </w:tcPr>
          <w:p w14:paraId="0D708D55" w14:textId="2B0D5228" w:rsidR="001D6782" w:rsidRDefault="00D17235" w:rsidP="001D678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5</w:t>
            </w:r>
            <w:r w:rsidR="001D6782">
              <w:rPr>
                <w:rFonts w:eastAsiaTheme="minorEastAsia"/>
              </w:rPr>
              <w:t>0</w:t>
            </w:r>
          </w:p>
        </w:tc>
      </w:tr>
      <w:tr w:rsidR="001D6782" w14:paraId="28812329"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15271D88" w14:textId="72C56336" w:rsidR="001D6782" w:rsidRPr="00CA6E95" w:rsidRDefault="001D6782" w:rsidP="001D6782">
            <w:pPr>
              <w:spacing w:after="0"/>
              <w:jc w:val="center"/>
              <w:rPr>
                <w:rFonts w:ascii="Aptos" w:eastAsia="Aptos" w:hAnsi="Aptos" w:cs="Times New Roman"/>
                <w:bCs/>
              </w:rPr>
            </w:pPr>
            <m:oMathPara>
              <m:oMath>
                <m:r>
                  <w:rPr>
                    <w:rFonts w:ascii="Cambria Math" w:eastAsia="Aptos" w:hAnsi="Cambria Math" w:cs="Times New Roman"/>
                  </w:rPr>
                  <m:t>υ</m:t>
                </m:r>
              </m:oMath>
            </m:oMathPara>
          </w:p>
        </w:tc>
        <w:tc>
          <w:tcPr>
            <w:tcW w:w="3220" w:type="pct"/>
          </w:tcPr>
          <w:p w14:paraId="18A49724" w14:textId="77777777" w:rsidR="001D6782" w:rsidRDefault="001D6782" w:rsidP="001D6782">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Maximum zoospore growth rate on individual frogs</w:t>
            </w:r>
          </w:p>
        </w:tc>
        <w:tc>
          <w:tcPr>
            <w:tcW w:w="916" w:type="pct"/>
          </w:tcPr>
          <w:p w14:paraId="7D470469" w14:textId="77777777" w:rsidR="001D6782" w:rsidRDefault="001D6782" w:rsidP="001D6782">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0.5</w:t>
            </w:r>
          </w:p>
        </w:tc>
      </w:tr>
      <w:tr w:rsidR="009115B4" w14:paraId="5EDADD41" w14:textId="77777777" w:rsidTr="001D6782">
        <w:tc>
          <w:tcPr>
            <w:cnfStyle w:val="001000000000" w:firstRow="0" w:lastRow="0" w:firstColumn="1" w:lastColumn="0" w:oddVBand="0" w:evenVBand="0" w:oddHBand="0" w:evenHBand="0" w:firstRowFirstColumn="0" w:firstRowLastColumn="0" w:lastRowFirstColumn="0" w:lastRowLastColumn="0"/>
            <w:tcW w:w="864" w:type="pct"/>
          </w:tcPr>
          <w:p w14:paraId="5D85F405" w14:textId="171E0CB7" w:rsidR="009115B4" w:rsidRDefault="009115B4" w:rsidP="009115B4">
            <w:pPr>
              <w:spacing w:after="0"/>
              <w:jc w:val="center"/>
            </w:pPr>
            <m:oMathPara>
              <m:oMath>
                <m:r>
                  <m:rPr>
                    <m:sty m:val="p"/>
                  </m:rPr>
                  <w:rPr>
                    <w:rFonts w:ascii="Cambria Math" w:eastAsia="Aptos" w:hAnsi="Cambria Math" w:cs="Times New Roman"/>
                  </w:rPr>
                  <m:t>Δ</m:t>
                </m:r>
              </m:oMath>
            </m:oMathPara>
          </w:p>
        </w:tc>
        <w:tc>
          <w:tcPr>
            <w:tcW w:w="3220" w:type="pct"/>
          </w:tcPr>
          <w:p w14:paraId="76EF5987" w14:textId="310B931C" w:rsidR="009115B4" w:rsidRDefault="009115B4" w:rsidP="009115B4">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Increase in body temp</w:t>
            </w:r>
            <w:r w:rsidR="00475EC4">
              <w:rPr>
                <w:rFonts w:eastAsiaTheme="minorEastAsia"/>
              </w:rPr>
              <w:t>erature</w:t>
            </w:r>
            <w:r>
              <w:rPr>
                <w:rFonts w:eastAsiaTheme="minorEastAsia"/>
              </w:rPr>
              <w:t xml:space="preserve"> for frogs using thermal shelter</w:t>
            </w:r>
          </w:p>
        </w:tc>
        <w:tc>
          <w:tcPr>
            <w:tcW w:w="916" w:type="pct"/>
          </w:tcPr>
          <w:p w14:paraId="574A7798" w14:textId="20BEB2C3" w:rsidR="009115B4" w:rsidRDefault="009115B4" w:rsidP="009115B4">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4–8</w:t>
            </w:r>
            <w:r w:rsidR="00475EC4">
              <w:rPr>
                <w:rFonts w:eastAsiaTheme="minorEastAsia"/>
              </w:rPr>
              <w:t>°</w:t>
            </w:r>
            <w:r>
              <w:rPr>
                <w:rFonts w:eastAsiaTheme="minorEastAsia"/>
              </w:rPr>
              <w:t xml:space="preserve">C </w:t>
            </w:r>
          </w:p>
        </w:tc>
      </w:tr>
    </w:tbl>
    <w:p w14:paraId="2BC6E0DA" w14:textId="77777777" w:rsidR="00563D83" w:rsidRDefault="00563D83" w:rsidP="00563D83">
      <w:pPr>
        <w:rPr>
          <w:rFonts w:eastAsiaTheme="minorEastAsia"/>
        </w:rPr>
      </w:pPr>
    </w:p>
    <w:p w14:paraId="6812BE10" w14:textId="6556CDE9" w:rsidR="000767EE" w:rsidRPr="00C10921" w:rsidRDefault="000767EE" w:rsidP="000767EE">
      <w:pPr>
        <w:rPr>
          <w:rFonts w:eastAsiaTheme="minorEastAsia"/>
        </w:rPr>
      </w:pPr>
      <w:r>
        <w:rPr>
          <w:rFonts w:eastAsiaTheme="minorEastAsia"/>
        </w:rPr>
        <w:t>W</w:t>
      </w:r>
      <w:r w:rsidRPr="00C10921">
        <w:rPr>
          <w:rFonts w:eastAsiaTheme="minorEastAsia"/>
        </w:rPr>
        <w:t xml:space="preserve">e varied the values of the key parameters by </w:t>
      </w:r>
      <m:oMath>
        <m:r>
          <w:rPr>
            <w:rFonts w:ascii="Cambria Math" w:eastAsiaTheme="minorEastAsia" w:hAnsi="Cambria Math"/>
          </w:rPr>
          <m:t>±</m:t>
        </m:r>
      </m:oMath>
      <w:r w:rsidRPr="00C10921">
        <w:rPr>
          <w:rFonts w:eastAsiaTheme="minorEastAsia"/>
        </w:rPr>
        <w:t xml:space="preserve"> 30% and then drew </w:t>
      </w:r>
      <w:r>
        <w:rPr>
          <w:rFonts w:eastAsiaTheme="minorEastAsia"/>
        </w:rPr>
        <w:t>1</w:t>
      </w:r>
      <w:r w:rsidRPr="00C10921">
        <w:rPr>
          <w:rFonts w:eastAsiaTheme="minorEastAsia"/>
        </w:rPr>
        <w:t>000 random parameter values using Latin Hypercube sampling to determine the sensitivity of our conclusions to the key epidemiological parameters</w:t>
      </w:r>
      <w:r w:rsidR="00431AF7">
        <w:rPr>
          <w:rFonts w:eastAsiaTheme="minorEastAsia"/>
        </w:rPr>
        <w:t xml:space="preserve">. </w:t>
      </w:r>
      <w:r w:rsidRPr="00C10921">
        <w:rPr>
          <w:rFonts w:eastAsiaTheme="minorEastAsia"/>
        </w:rPr>
        <w:t xml:space="preserve">The proportional reduction in the population size after </w:t>
      </w:r>
      <w:r>
        <w:rPr>
          <w:rFonts w:eastAsiaTheme="minorEastAsia"/>
        </w:rPr>
        <w:t>2</w:t>
      </w:r>
      <w:r w:rsidRPr="00C10921">
        <w:rPr>
          <w:rFonts w:eastAsiaTheme="minorEastAsia"/>
        </w:rPr>
        <w:t xml:space="preserve">0 years </w:t>
      </w:r>
      <w:r w:rsidR="00EF52C5">
        <w:rPr>
          <w:rFonts w:eastAsiaTheme="minorEastAsia"/>
        </w:rPr>
        <w:t xml:space="preserve">and peak prevalence </w:t>
      </w:r>
      <w:r w:rsidRPr="00C10921">
        <w:rPr>
          <w:rFonts w:eastAsiaTheme="minorEastAsia"/>
        </w:rPr>
        <w:t>w</w:t>
      </w:r>
      <w:r w:rsidR="00EF52C5">
        <w:rPr>
          <w:rFonts w:eastAsiaTheme="minorEastAsia"/>
        </w:rPr>
        <w:t>ere</w:t>
      </w:r>
      <w:r w:rsidRPr="00C10921">
        <w:rPr>
          <w:rFonts w:eastAsiaTheme="minorEastAsia"/>
        </w:rPr>
        <w:t xml:space="preserve"> most sensitive to the </w:t>
      </w:r>
      <w:r w:rsidR="00EF52C5">
        <w:rPr>
          <w:rFonts w:eastAsiaTheme="minorEastAsia"/>
        </w:rPr>
        <w:t>temperature threshold triggering recovery from chytrid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r</m:t>
            </m:r>
          </m:sub>
        </m:sSub>
      </m:oMath>
      <w:r w:rsidR="00EF52C5">
        <w:rPr>
          <w:rFonts w:eastAsiaTheme="minorEastAsia"/>
        </w:rPr>
        <w:t>)</w:t>
      </w:r>
      <w:r w:rsidR="00431AF7">
        <w:rPr>
          <w:rFonts w:eastAsiaTheme="minorEastAsia"/>
        </w:rPr>
        <w:t xml:space="preserve">. </w:t>
      </w:r>
      <w:r w:rsidR="00EF52C5">
        <w:rPr>
          <w:rFonts w:eastAsiaTheme="minorEastAsia"/>
        </w:rPr>
        <w:t>Population reduction was also influenced by the threshold zoospore load triggering mortality</w:t>
      </w:r>
      <w:r w:rsidR="00D06FBB">
        <w:rPr>
          <w:rFonts w:eastAsiaTheme="minorEastAsia"/>
        </w:rPr>
        <w:t xml:space="preserve"> from Chytridiomycosis</w:t>
      </w:r>
      <w:r w:rsidR="00EF52C5">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T</m:t>
            </m:r>
          </m:sub>
        </m:sSub>
      </m:oMath>
      <w:r w:rsidR="00EF52C5">
        <w:rPr>
          <w:rFonts w:eastAsiaTheme="minorEastAsia"/>
        </w:rPr>
        <w:t>)</w:t>
      </w:r>
      <w:r w:rsidR="00590F37">
        <w:rPr>
          <w:rFonts w:eastAsiaTheme="minorEastAsia"/>
        </w:rPr>
        <w:t>.  Variation in the other parameters examined had relatively minor impacts in comparison</w:t>
      </w:r>
      <w:r w:rsidR="00EF52C5">
        <w:rPr>
          <w:rFonts w:eastAsiaTheme="minorEastAsia"/>
        </w:rPr>
        <w:t xml:space="preserve"> (Figure A</w:t>
      </w:r>
      <w:r w:rsidR="0032398B">
        <w:rPr>
          <w:rFonts w:eastAsiaTheme="minorEastAsia"/>
        </w:rPr>
        <w:t>9</w:t>
      </w:r>
      <w:r w:rsidR="00EF52C5">
        <w:rPr>
          <w:rFonts w:eastAsiaTheme="minorEastAsia"/>
        </w:rPr>
        <w:t>)</w:t>
      </w:r>
      <w:r w:rsidRPr="00C10921">
        <w:rPr>
          <w:rFonts w:eastAsiaTheme="minorEastAsia"/>
        </w:rPr>
        <w:t xml:space="preserve">. </w:t>
      </w:r>
    </w:p>
    <w:p w14:paraId="3CB7C386" w14:textId="1C1AB181" w:rsidR="000767EE" w:rsidRPr="007806E0" w:rsidRDefault="000767EE" w:rsidP="000767EE">
      <w:pPr>
        <w:rPr>
          <w:rFonts w:eastAsiaTheme="minorEastAsia"/>
        </w:rPr>
      </w:pPr>
    </w:p>
    <w:p w14:paraId="6E7D9A11" w14:textId="77777777" w:rsidR="00563D83" w:rsidRDefault="00563D83" w:rsidP="00046BE6"/>
    <w:p w14:paraId="4D07473A" w14:textId="5E2BFF5F" w:rsidR="00D868AD" w:rsidRDefault="002F64CC" w:rsidP="00DC3852">
      <w:r>
        <w:rPr>
          <w:noProof/>
        </w:rPr>
        <w:drawing>
          <wp:inline distT="0" distB="0" distL="0" distR="0" wp14:anchorId="58F0D107" wp14:editId="2EF8CA4C">
            <wp:extent cx="6120765" cy="5093335"/>
            <wp:effectExtent l="0" t="0" r="0" b="0"/>
            <wp:docPr id="1949712734"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2734" name="Picture 1" descr="A graph of a function&#10;&#10;AI-generated content may be incorrect."/>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6120765" cy="5093335"/>
                    </a:xfrm>
                    <a:prstGeom prst="rect">
                      <a:avLst/>
                    </a:prstGeom>
                  </pic:spPr>
                </pic:pic>
              </a:graphicData>
            </a:graphic>
          </wp:inline>
        </w:drawing>
      </w:r>
    </w:p>
    <w:p w14:paraId="5EB7474E" w14:textId="62363118" w:rsidR="000767EE" w:rsidRPr="008C0B1D" w:rsidRDefault="000767EE" w:rsidP="000767EE">
      <w:pPr>
        <w:pStyle w:val="Caption-Figure"/>
      </w:pPr>
      <w:bookmarkStart w:id="167" w:name="_Toc198634189"/>
      <w:r>
        <w:t>Figure A</w:t>
      </w:r>
      <w:r w:rsidR="00284A87">
        <w:t>9</w:t>
      </w:r>
      <w:r>
        <w:t xml:space="preserve">. Sensitivity of the rate of population reduction </w:t>
      </w:r>
      <w:r w:rsidR="00475EC4">
        <w:t xml:space="preserve">(left) </w:t>
      </w:r>
      <w:r>
        <w:t>and peak prevalence</w:t>
      </w:r>
      <w:r w:rsidR="00475EC4">
        <w:t xml:space="preserve"> (right) </w:t>
      </w:r>
      <w:r w:rsidR="00D06FBB">
        <w:t xml:space="preserve">due </w:t>
      </w:r>
      <w:proofErr w:type="gramStart"/>
      <w:r w:rsidR="00D06FBB">
        <w:t xml:space="preserve">to </w:t>
      </w:r>
      <w:r>
        <w:t xml:space="preserve"> </w:t>
      </w:r>
      <w:r w:rsidR="00D06FBB">
        <w:t>am</w:t>
      </w:r>
      <w:r w:rsidR="00944513">
        <w:t>phibian</w:t>
      </w:r>
      <w:proofErr w:type="gramEnd"/>
      <w:r w:rsidR="00944513">
        <w:t xml:space="preserve"> chytr</w:t>
      </w:r>
      <w:r w:rsidR="0060546B">
        <w:t>id in Bell Frogs</w:t>
      </w:r>
      <w:r w:rsidR="00475EC4">
        <w:t>, with respect to</w:t>
      </w:r>
      <w:r>
        <w:t xml:space="preserve"> variation in the key epidemiological parameters</w:t>
      </w:r>
      <w:r w:rsidR="0060546B">
        <w:t>.</w:t>
      </w:r>
      <w:bookmarkEnd w:id="167"/>
    </w:p>
    <w:p w14:paraId="2B44638C" w14:textId="4C5C43DD" w:rsidR="00603CCC" w:rsidRDefault="00603CCC" w:rsidP="00DC3852"/>
    <w:p w14:paraId="79ABC5C7" w14:textId="77777777" w:rsidR="00603CCC" w:rsidRDefault="00603CCC" w:rsidP="00DC3852"/>
    <w:p w14:paraId="4DCF4DEA" w14:textId="77777777" w:rsidR="00D868AD" w:rsidRDefault="00D868AD" w:rsidP="00DC3852"/>
    <w:p w14:paraId="24ECF622" w14:textId="77777777" w:rsidR="00D868AD" w:rsidRDefault="00D868AD" w:rsidP="00DC3852">
      <w:pPr>
        <w:sectPr w:rsidR="00D868AD" w:rsidSect="00D868AD">
          <w:pgSz w:w="11907" w:h="16840" w:code="9"/>
          <w:pgMar w:top="1134" w:right="1134" w:bottom="1134" w:left="1134" w:header="709" w:footer="567" w:gutter="0"/>
          <w:cols w:space="708"/>
          <w:formProt w:val="0"/>
          <w:titlePg/>
          <w:docGrid w:linePitch="360"/>
        </w:sectPr>
      </w:pPr>
    </w:p>
    <w:p w14:paraId="31AB2DF3" w14:textId="77777777" w:rsidR="009B6ADD" w:rsidRPr="00243764" w:rsidRDefault="00603CCC" w:rsidP="00DC3852">
      <w:pPr>
        <w:sectPr w:rsidR="009B6ADD" w:rsidRPr="00243764" w:rsidSect="00D868AD">
          <w:footerReference w:type="first" r:id="rId82"/>
          <w:pgSz w:w="11907" w:h="16840" w:code="9"/>
          <w:pgMar w:top="1134" w:right="1134" w:bottom="1134" w:left="1134" w:header="709" w:footer="567" w:gutter="0"/>
          <w:cols w:space="708"/>
          <w:formProt w:val="0"/>
          <w:titlePg/>
          <w:docGrid w:linePitch="360"/>
        </w:sectPr>
      </w:pPr>
      <w:r>
        <w:rPr>
          <w:noProof/>
        </w:rPr>
        <mc:AlternateContent>
          <mc:Choice Requires="wps">
            <w:drawing>
              <wp:anchor distT="0" distB="0" distL="114300" distR="114300" simplePos="0" relativeHeight="251658241" behindDoc="1" locked="0" layoutInCell="1" allowOverlap="1" wp14:anchorId="17A378DB" wp14:editId="21FD41D2">
                <wp:simplePos x="0" y="0"/>
                <wp:positionH relativeFrom="page">
                  <wp:posOffset>485030</wp:posOffset>
                </wp:positionH>
                <wp:positionV relativeFrom="paragraph">
                  <wp:posOffset>-362281</wp:posOffset>
                </wp:positionV>
                <wp:extent cx="6839585" cy="9971405"/>
                <wp:effectExtent l="0" t="0" r="0" b="0"/>
                <wp:wrapNone/>
                <wp:docPr id="2" name="Rectangle 2"/>
                <wp:cNvGraphicFramePr/>
                <a:graphic xmlns:a="http://schemas.openxmlformats.org/drawingml/2006/main">
                  <a:graphicData uri="http://schemas.microsoft.com/office/word/2010/wordprocessingShape">
                    <wps:wsp>
                      <wps:cNvSpPr/>
                      <wps:spPr>
                        <a:xfrm>
                          <a:off x="0" y="0"/>
                          <a:ext cx="6839585" cy="9971405"/>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2A063" id="Rectangle 2" o:spid="_x0000_s1026" style="position:absolute;margin-left:38.2pt;margin-top:-28.55pt;width:538.55pt;height:785.1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" fillcolor="#201547 [3206]" stroked="f">
                <w10:wrap anchorx="page"/>
              </v:rect>
            </w:pict>
          </mc:Fallback>
        </mc:AlternateContent>
      </w:r>
    </w:p>
    <w:p w14:paraId="0F0E9494" w14:textId="507A53BE" w:rsidR="004D3E22" w:rsidRPr="00243764" w:rsidRDefault="00B77B33" w:rsidP="00DC3852">
      <w:r w:rsidRPr="00243764">
        <w:rPr>
          <w:noProof/>
        </w:rPr>
        <mc:AlternateContent>
          <mc:Choice Requires="wps">
            <w:drawing>
              <wp:anchor distT="0" distB="0" distL="114300" distR="114300" simplePos="0" relativeHeight="251658240" behindDoc="0" locked="0" layoutInCell="1" allowOverlap="1" wp14:anchorId="0471A67F" wp14:editId="7CAA07E1">
                <wp:simplePos x="0" y="0"/>
                <wp:positionH relativeFrom="page">
                  <wp:posOffset>723900</wp:posOffset>
                </wp:positionH>
                <wp:positionV relativeFrom="paragraph">
                  <wp:posOffset>7280910</wp:posOffset>
                </wp:positionV>
                <wp:extent cx="2343150" cy="147193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7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E0C42" w14:textId="2D58658C" w:rsidR="00CB267A" w:rsidRPr="00D422B5" w:rsidRDefault="00CB267A" w:rsidP="00DC3852">
                            <w:pPr>
                              <w:pStyle w:val="Backpagewebaddress"/>
                            </w:pPr>
                            <w:hyperlink r:id="rId83" w:history="1">
                              <w:r w:rsidRPr="00D422B5">
                                <w:t>www.de</w:t>
                              </w:r>
                              <w:r w:rsidR="00A50FB1">
                                <w:t>eca</w:t>
                              </w:r>
                              <w:r w:rsidRPr="00D422B5">
                                <w:t>.vic.gov.au</w:t>
                              </w:r>
                            </w:hyperlink>
                          </w:p>
                          <w:p w14:paraId="7808FA31" w14:textId="77777777" w:rsidR="00CB267A" w:rsidRPr="00A32CF2" w:rsidRDefault="00CB267A"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0471A67F" id="Text Box 23" o:spid="_x0000_s1030" type="#_x0000_t202" style="position:absolute;margin-left:57pt;margin-top:573.3pt;width:184.5pt;height:115.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" filled="f" stroked="f">
                <v:textbox inset=",7.2pt,,7.2pt">
                  <w:txbxContent>
                    <w:p w14:paraId="095E0C42" w14:textId="2D58658C" w:rsidR="00CB267A" w:rsidRPr="00D422B5" w:rsidRDefault="00CB267A" w:rsidP="00DC3852">
                      <w:pPr>
                        <w:pStyle w:val="Backpagewebaddress"/>
                      </w:pPr>
                      <w:hyperlink r:id="rId85" w:history="1">
                        <w:r w:rsidRPr="00D422B5">
                          <w:t>www.de</w:t>
                        </w:r>
                        <w:r w:rsidR="00A50FB1">
                          <w:t>eca</w:t>
                        </w:r>
                        <w:r w:rsidRPr="00D422B5">
                          <w:t>.vic.gov.au</w:t>
                        </w:r>
                      </w:hyperlink>
                    </w:p>
                    <w:p w14:paraId="7808FA31" w14:textId="77777777" w:rsidR="00CB267A" w:rsidRPr="00A32CF2" w:rsidRDefault="00CB267A" w:rsidP="00DC3852">
                      <w:pPr>
                        <w:pStyle w:val="Backpagewebaddress"/>
                      </w:pPr>
                      <w:r w:rsidRPr="00A32CF2">
                        <w:t>www.ari.vic.gov.au</w:t>
                      </w:r>
                    </w:p>
                  </w:txbxContent>
                </v:textbox>
                <w10:wrap anchorx="page"/>
              </v:shape>
            </w:pict>
          </mc:Fallback>
        </mc:AlternateContent>
      </w:r>
    </w:p>
    <w:sectPr w:rsidR="004D3E22" w:rsidRPr="00243764" w:rsidSect="006C2C00">
      <w:headerReference w:type="default" r:id="rId86"/>
      <w:footerReference w:type="default" r:id="rId87"/>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F95B18" w14:textId="77777777" w:rsidR="008F015C" w:rsidRDefault="008F015C" w:rsidP="00DC3852">
      <w:r>
        <w:separator/>
      </w:r>
    </w:p>
    <w:p w14:paraId="002865FD" w14:textId="77777777" w:rsidR="008F015C" w:rsidRDefault="008F015C" w:rsidP="00DC3852"/>
  </w:endnote>
  <w:endnote w:type="continuationSeparator" w:id="0">
    <w:p w14:paraId="4CC1A163" w14:textId="77777777" w:rsidR="008F015C" w:rsidRDefault="008F015C" w:rsidP="00DC3852">
      <w:r>
        <w:continuationSeparator/>
      </w:r>
    </w:p>
    <w:p w14:paraId="3B593F29" w14:textId="77777777" w:rsidR="008F015C" w:rsidRDefault="008F015C" w:rsidP="00DC3852"/>
  </w:endnote>
  <w:endnote w:type="continuationNotice" w:id="1">
    <w:p w14:paraId="420227D4" w14:textId="77777777" w:rsidR="008F015C" w:rsidRDefault="008F015C" w:rsidP="00DC3852"/>
    <w:p w14:paraId="67BECD4D" w14:textId="77777777" w:rsidR="008F015C" w:rsidRDefault="008F015C"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embedRegular r:id="rId1" w:fontKey="{ACD4CA20-2F89-402C-BA42-B340A71046B3}"/>
    <w:embedBold r:id="rId2" w:fontKey="{8A81AB05-CC9B-4985-8613-388C353C7472}"/>
    <w:embedItalic r:id="rId3" w:fontKey="{09AEA73B-62F5-4577-9663-B9EC1DED9B6A}"/>
    <w:embedBoldItalic r:id="rId4" w:fontKey="{E47E52D1-1FA9-409D-B9AE-DC3AD8B21BB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embedRegular r:id="rId5" w:subsetted="1" w:fontKey="{725DF8DB-FB0A-47AB-B3F7-98D4898CE3D2}"/>
  </w:font>
  <w:font w:name="Arial Bold">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6" w:fontKey="{688BA0F7-E5C5-4EDC-BFA8-044952EBDCF6}"/>
    <w:embedItalic r:id="rId7" w:fontKey="{CB3519B8-D19B-470B-BF2D-8677F95B150F}"/>
    <w:embedBoldItalic r:id="rId8" w:fontKey="{FE5E8EEB-C1BC-4B28-9D15-9320564E9626}"/>
  </w:font>
  <w:font w:name="Arial Narrow">
    <w:panose1 w:val="020B0606020202030204"/>
    <w:charset w:val="00"/>
    <w:family w:val="swiss"/>
    <w:pitch w:val="variable"/>
    <w:sig w:usb0="00000287" w:usb1="00000800" w:usb2="00000000" w:usb3="00000000" w:csb0="0000009F" w:csb1="00000000"/>
    <w:embedRegular r:id="rId9" w:fontKey="{0DE40761-76AE-4011-9A69-67DC3305DE68}"/>
    <w:embedBold r:id="rId10" w:fontKey="{3EDCDC54-F3E0-481F-A7A5-C238FC828C38}"/>
    <w:embedItalic r:id="rId11" w:fontKey="{5A9D6B29-04CA-4BE3-9C79-127DBC88437B}"/>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3D106" w14:textId="77777777" w:rsidR="00EC0A2A" w:rsidRPr="00C657F7" w:rsidRDefault="00EC0A2A" w:rsidP="00C657F7">
    <w:pPr>
      <w:rPr>
        <w:sz w:val="18"/>
        <w:szCs w:val="18"/>
      </w:rPr>
    </w:pPr>
    <w:r>
      <w:rPr>
        <w:noProof/>
        <w:sz w:val="18"/>
        <w:szCs w:val="18"/>
      </w:rPr>
      <mc:AlternateContent>
        <mc:Choice Requires="wps">
          <w:drawing>
            <wp:anchor distT="0" distB="0" distL="114300" distR="114300" simplePos="0" relativeHeight="251658248" behindDoc="0" locked="0" layoutInCell="0" allowOverlap="1" wp14:anchorId="73948707" wp14:editId="240D1D11">
              <wp:simplePos x="0" y="0"/>
              <wp:positionH relativeFrom="page">
                <wp:align>center</wp:align>
              </wp:positionH>
              <wp:positionV relativeFrom="page">
                <wp:align>bottom</wp:align>
              </wp:positionV>
              <wp:extent cx="7772400" cy="463550"/>
              <wp:effectExtent l="0" t="0" r="0" b="12700"/>
              <wp:wrapNone/>
              <wp:docPr id="1955234539" name="Text Box 1955234539"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0DD03D"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3948707" id="_x0000_t202" coordsize="21600,21600" o:spt="202" path="m,l,21600r21600,l21600,xe">
              <v:stroke joinstyle="miter"/>
              <v:path gradientshapeok="t" o:connecttype="rect"/>
            </v:shapetype>
            <v:shape id="Text Box 1955234539" o:spid="_x0000_s1031" type="#_x0000_t202" alt="{&quot;HashCode&quot;:-1264680268,&quot;Height&quot;:9999999.0,&quot;Width&quot;:9999999.0,&quot;Placement&quot;:&quot;Footer&quot;,&quot;Index&quot;:&quot;OddAndEven&quot;,&quot;Section&quot;:1,&quot;Top&quot;:0.0,&quot;Left&quot;:0.0}"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D0DD03D"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sdt>
      <w:sdtPr>
        <w:rPr>
          <w:sz w:val="18"/>
          <w:szCs w:val="18"/>
        </w:rPr>
        <w:id w:val="1802574259"/>
        <w:docPartObj>
          <w:docPartGallery w:val="Page Numbers (Bottom of Page)"/>
          <w:docPartUnique/>
        </w:docPartObj>
      </w:sdtPr>
      <w:sdtEndPr>
        <w:rPr>
          <w:noProof/>
        </w:rPr>
      </w:sdtEndPr>
      <w:sdtContent>
        <w:r w:rsidRPr="00F266D6">
          <w:rPr>
            <w:sz w:val="18"/>
            <w:szCs w:val="18"/>
          </w:rPr>
          <w:fldChar w:fldCharType="begin"/>
        </w:r>
        <w:r w:rsidRPr="00F266D6">
          <w:rPr>
            <w:sz w:val="18"/>
            <w:szCs w:val="18"/>
          </w:rPr>
          <w:instrText xml:space="preserve"> PAGE   \* MERGEFORMAT </w:instrText>
        </w:r>
        <w:r w:rsidRPr="00F266D6">
          <w:rPr>
            <w:sz w:val="18"/>
            <w:szCs w:val="18"/>
          </w:rPr>
          <w:fldChar w:fldCharType="separate"/>
        </w:r>
        <w:r w:rsidRPr="00F266D6">
          <w:rPr>
            <w:sz w:val="18"/>
            <w:szCs w:val="18"/>
          </w:rPr>
          <w:t>ii</w:t>
        </w:r>
        <w:r w:rsidRPr="00F266D6">
          <w:rPr>
            <w:sz w:val="18"/>
            <w:szCs w:val="18"/>
          </w:rPr>
          <w:fldChar w:fldCharType="end"/>
        </w:r>
        <w:r w:rsidRPr="00107038">
          <w:rPr>
            <w:noProof/>
            <w:sz w:val="18"/>
            <w:szCs w:val="18"/>
          </w:rPr>
          <w:tab/>
        </w:r>
        <w:r>
          <w:rPr>
            <w:sz w:val="18"/>
            <w:szCs w:val="18"/>
          </w:rPr>
          <w:t>Assessing disease risks in terrestrial wildlife in Victoria</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047B9" w14:textId="0F65A402" w:rsidR="00182401" w:rsidRPr="00610165" w:rsidRDefault="003852D6" w:rsidP="00053859">
    <w:pPr>
      <w:jc w:val="right"/>
      <w:rPr>
        <w:sz w:val="18"/>
        <w:szCs w:val="18"/>
      </w:rPr>
    </w:pPr>
    <w:r>
      <w:rPr>
        <w:noProof/>
        <w:sz w:val="18"/>
        <w:szCs w:val="18"/>
      </w:rPr>
      <mc:AlternateContent>
        <mc:Choice Requires="wps">
          <w:drawing>
            <wp:anchor distT="0" distB="0" distL="114300" distR="114300" simplePos="0" relativeHeight="251658240" behindDoc="0" locked="0" layoutInCell="0" allowOverlap="1" wp14:anchorId="78403DD7" wp14:editId="6161D0AB">
              <wp:simplePos x="0" y="0"/>
              <wp:positionH relativeFrom="page">
                <wp:align>center</wp:align>
              </wp:positionH>
              <wp:positionV relativeFrom="page">
                <wp:align>bottom</wp:align>
              </wp:positionV>
              <wp:extent cx="7772400" cy="463550"/>
              <wp:effectExtent l="0" t="0" r="0" b="12700"/>
              <wp:wrapNone/>
              <wp:docPr id="22" name="Text Box 22" descr="{&quot;HashCode&quot;:-1264680268,&quot;Height&quot;:9999999.0,&quot;Width&quot;:9999999.0,&quot;Placement&quot;:&quot;Footer&quot;,&quot;Index&quot;:&quot;Primary&quot;,&quot;Section&quot;:10,&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C0A53AD" w14:textId="44DF0E15"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8403DD7" id="_x0000_t202" coordsize="21600,21600" o:spt="202" path="m,l,21600r21600,l21600,xe">
              <v:stroke joinstyle="miter"/>
              <v:path gradientshapeok="t" o:connecttype="rect"/>
            </v:shapetype>
            <v:shape id="Text Box 22" o:spid="_x0000_s1038" type="#_x0000_t202" alt="{&quot;HashCode&quot;:-1264680268,&quot;Height&quot;:9999999.0,&quot;Width&quot;:9999999.0,&quot;Placement&quot;:&quot;Footer&quot;,&quot;Index&quot;:&quot;Primary&quot;,&quot;Section&quot;:10,&quot;Top&quot;:0.0,&quot;Left&quot;:0.0}" style="position:absolute;left:0;text-align:left;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0C0A53AD" w14:textId="44DF0E15"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r w:rsidR="00BA7DA3" w:rsidRPr="00BA7DA3">
      <w:t xml:space="preserve"> </w:t>
    </w:r>
    <w:r w:rsidR="00BA7DA3">
      <w:t xml:space="preserve">Assessing disease risks in </w:t>
    </w:r>
    <w:r w:rsidR="00D37715">
      <w:t>terrestrial</w:t>
    </w:r>
    <w:r w:rsidR="00BA7DA3">
      <w:t xml:space="preserve"> Wildlife in Victoria</w:t>
    </w:r>
    <w:r w:rsidR="00CB267A" w:rsidRPr="00107038">
      <w:rPr>
        <w:rStyle w:val="PageNumber"/>
        <w:sz w:val="18"/>
        <w:szCs w:val="18"/>
      </w:rPr>
      <w:tab/>
    </w:r>
    <w:r w:rsidR="00CB267A" w:rsidRPr="00610165">
      <w:rPr>
        <w:rStyle w:val="PageNumber"/>
        <w:sz w:val="18"/>
        <w:szCs w:val="18"/>
      </w:rPr>
      <w:fldChar w:fldCharType="begin"/>
    </w:r>
    <w:r w:rsidR="00CB267A" w:rsidRPr="00610165">
      <w:rPr>
        <w:rStyle w:val="PageNumber"/>
        <w:sz w:val="18"/>
        <w:szCs w:val="18"/>
      </w:rPr>
      <w:instrText xml:space="preserve"> PAGE </w:instrText>
    </w:r>
    <w:r w:rsidR="00CB267A" w:rsidRPr="00610165">
      <w:rPr>
        <w:rStyle w:val="PageNumber"/>
        <w:sz w:val="18"/>
        <w:szCs w:val="18"/>
      </w:rPr>
      <w:fldChar w:fldCharType="separate"/>
    </w:r>
    <w:r w:rsidR="00CB267A" w:rsidRPr="00610165">
      <w:rPr>
        <w:rStyle w:val="PageNumber"/>
        <w:sz w:val="18"/>
        <w:szCs w:val="18"/>
      </w:rPr>
      <w:t>5</w:t>
    </w:r>
    <w:r w:rsidR="00CB267A" w:rsidRPr="00610165">
      <w:rPr>
        <w:rStyle w:val="PageNumber"/>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A4DBF" w14:textId="77777777" w:rsidR="00182401" w:rsidRDefault="0018240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2CC77" w14:textId="655F3457" w:rsidR="00CB267A" w:rsidRPr="00371E21" w:rsidRDefault="003852D6" w:rsidP="00DE01BF">
    <w:pPr>
      <w:rPr>
        <w:rStyle w:val="zRptPgNum"/>
        <w:color w:val="auto"/>
      </w:rPr>
    </w:pPr>
    <w:r>
      <w:rPr>
        <w:rFonts w:ascii="Calibri" w:hAnsi="Calibri"/>
        <w:noProof/>
        <w:sz w:val="16"/>
      </w:rPr>
      <mc:AlternateContent>
        <mc:Choice Requires="wps">
          <w:drawing>
            <wp:anchor distT="0" distB="0" distL="114300" distR="114300" simplePos="0" relativeHeight="251658242" behindDoc="0" locked="0" layoutInCell="0" allowOverlap="1" wp14:anchorId="1067E5CB" wp14:editId="78F93F44">
              <wp:simplePos x="0" y="9403953"/>
              <wp:positionH relativeFrom="page">
                <wp:align>center</wp:align>
              </wp:positionH>
              <wp:positionV relativeFrom="page">
                <wp:align>bottom</wp:align>
              </wp:positionV>
              <wp:extent cx="7772400" cy="463550"/>
              <wp:effectExtent l="0" t="0" r="0" b="12700"/>
              <wp:wrapNone/>
              <wp:docPr id="25" name="Text Box 25" descr="{&quot;HashCode&quot;:-1264680268,&quot;Height&quot;:9999999.0,&quot;Width&quot;:9999999.0,&quot;Placement&quot;:&quot;Footer&quot;,&quot;Index&quot;:&quot;Primary&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EB61319" w14:textId="329510C0"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067E5CB" id="_x0000_t202" coordsize="21600,21600" o:spt="202" path="m,l,21600r21600,l21600,xe">
              <v:stroke joinstyle="miter"/>
              <v:path gradientshapeok="t" o:connecttype="rect"/>
            </v:shapetype>
            <v:shape id="Text Box 25" o:spid="_x0000_s1039" type="#_x0000_t202" alt="{&quot;HashCode&quot;:-1264680268,&quot;Height&quot;:9999999.0,&quot;Width&quot;:9999999.0,&quot;Placement&quot;:&quot;Footer&quot;,&quot;Index&quot;:&quot;Primary&quot;,&quot;Section&quot;:13,&quot;Top&quot;:0.0,&quot;Left&quot;:0.0}" style="position:absolute;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2EB61319" w14:textId="329510C0"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p w14:paraId="006AD6D6" w14:textId="77777777" w:rsidR="00CB267A" w:rsidRPr="00A60CCB" w:rsidRDefault="00CB267A" w:rsidP="00DE01BF">
    <w:pPr>
      <w:rPr>
        <w:color w:val="22859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82A2D" w14:textId="77777777" w:rsidR="00EC0A2A" w:rsidRDefault="00EC0A2A" w:rsidP="00DC3852">
    <w:pPr>
      <w:pStyle w:val="Footer"/>
    </w:pPr>
    <w:r>
      <w:rPr>
        <w:noProof/>
      </w:rPr>
      <mc:AlternateContent>
        <mc:Choice Requires="wps">
          <w:drawing>
            <wp:anchor distT="0" distB="0" distL="114300" distR="114300" simplePos="0" relativeHeight="251658245" behindDoc="0" locked="0" layoutInCell="0" allowOverlap="1" wp14:anchorId="2620E307" wp14:editId="56B252D1">
              <wp:simplePos x="0" y="0"/>
              <wp:positionH relativeFrom="page">
                <wp:align>center</wp:align>
              </wp:positionH>
              <wp:positionV relativeFrom="page">
                <wp:align>bottom</wp:align>
              </wp:positionV>
              <wp:extent cx="7772400" cy="463550"/>
              <wp:effectExtent l="0" t="0" r="0" b="12700"/>
              <wp:wrapNone/>
              <wp:docPr id="174463770" name="Text Box 174463770"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FA8861"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620E307" id="_x0000_t202" coordsize="21600,21600" o:spt="202" path="m,l,21600r21600,l21600,xe">
              <v:stroke joinstyle="miter"/>
              <v:path gradientshapeok="t" o:connecttype="rect"/>
            </v:shapetype>
            <v:shape id="Text Box 174463770" o:spid="_x0000_s1032" type="#_x0000_t202" alt="{&quot;HashCode&quot;:-1264680268,&quot;Height&quot;:9999999.0,&quot;Width&quot;:9999999.0,&quot;Placement&quot;:&quot;Footer&quot;,&quot;Index&quot;:&quot;Primary&quot;,&quot;Section&quot;:1,&quot;Top&quot;:0.0,&quot;Left&quot;:0.0}" style="position:absolute;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35FA8861"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r w:rsidRPr="00033FC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0C305" w14:textId="77777777" w:rsidR="00EC0A2A" w:rsidRDefault="00EC0A2A">
    <w:pPr>
      <w:pStyle w:val="Footer"/>
    </w:pPr>
    <w:r>
      <w:rPr>
        <w:noProof/>
      </w:rPr>
      <mc:AlternateContent>
        <mc:Choice Requires="wps">
          <w:drawing>
            <wp:anchor distT="0" distB="0" distL="114300" distR="114300" simplePos="0" relativeHeight="251658247" behindDoc="0" locked="0" layoutInCell="0" allowOverlap="1" wp14:anchorId="121FFC83" wp14:editId="7026E63C">
              <wp:simplePos x="0" y="9403953"/>
              <wp:positionH relativeFrom="page">
                <wp:align>center</wp:align>
              </wp:positionH>
              <wp:positionV relativeFrom="page">
                <wp:align>bottom</wp:align>
              </wp:positionV>
              <wp:extent cx="7772400" cy="463550"/>
              <wp:effectExtent l="0" t="0" r="0" b="12700"/>
              <wp:wrapNone/>
              <wp:docPr id="6583057" name="Text Box 6583057"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4ED15F"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21FFC83" id="_x0000_t202" coordsize="21600,21600" o:spt="202" path="m,l,21600r21600,l21600,xe">
              <v:stroke joinstyle="miter"/>
              <v:path gradientshapeok="t" o:connecttype="rect"/>
            </v:shapetype>
            <v:shape id="Text Box 6583057" o:spid="_x0000_s1033" type="#_x0000_t202" alt="{&quot;HashCode&quot;:-1264680268,&quot;Height&quot;:9999999.0,&quot;Width&quot;:9999999.0,&quot;Placement&quot;:&quot;Footer&quot;,&quot;Index&quot;:&quot;FirstPage&quot;,&quot;Section&quot;:1,&quot;Top&quot;:0.0,&quot;Left&quot;:0.0}" style="position:absolute;margin-left:0;margin-top:0;width:612pt;height:36.5pt;z-index:251658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674ED15F"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16816" w14:textId="77777777" w:rsidR="00EC0A2A" w:rsidRDefault="00EC0A2A" w:rsidP="00DC3852">
    <w:pPr>
      <w:pStyle w:val="Footer"/>
      <w:rPr>
        <w:rStyle w:val="PageNumber"/>
      </w:rPr>
    </w:pPr>
    <w:r>
      <w:rPr>
        <w:noProof/>
      </w:rPr>
      <mc:AlternateContent>
        <mc:Choice Requires="wps">
          <w:drawing>
            <wp:anchor distT="0" distB="0" distL="114300" distR="114300" simplePos="0" relativeHeight="251658246" behindDoc="0" locked="0" layoutInCell="0" allowOverlap="1" wp14:anchorId="1F5B71ED" wp14:editId="122E5AC1">
              <wp:simplePos x="0" y="9403953"/>
              <wp:positionH relativeFrom="page">
                <wp:align>center</wp:align>
              </wp:positionH>
              <wp:positionV relativeFrom="page">
                <wp:align>bottom</wp:align>
              </wp:positionV>
              <wp:extent cx="7772400" cy="463550"/>
              <wp:effectExtent l="0" t="0" r="0" b="12700"/>
              <wp:wrapNone/>
              <wp:docPr id="462695347" name="Text Box 462695347"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5C30513"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F5B71ED" id="_x0000_t202" coordsize="21600,21600" o:spt="202" path="m,l,21600r21600,l21600,xe">
              <v:stroke joinstyle="miter"/>
              <v:path gradientshapeok="t" o:connecttype="rect"/>
            </v:shapetype>
            <v:shape id="Text Box 462695347" o:spid="_x0000_s1034" type="#_x0000_t202" alt="{&quot;HashCode&quot;:-1264680268,&quot;Height&quot;:9999999.0,&quot;Width&quot;:9999999.0,&quot;Placement&quot;:&quot;Footer&quot;,&quot;Index&quot;:&quot;Primary&quot;,&quot;Section&quot;:2,&quot;Top&quot;:0.0,&quot;Left&quot;:0.0}" style="position:absolute;margin-left:0;margin-top:0;width:612pt;height:36.5pt;z-index:25165824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55C30513" w14:textId="77777777" w:rsidR="00EC0A2A" w:rsidRPr="00EB6C15" w:rsidRDefault="00EC0A2A"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p w14:paraId="6F230E5A" w14:textId="77777777" w:rsidR="00EC0A2A" w:rsidRDefault="00EC0A2A" w:rsidP="00DC385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7D694" w14:textId="52B464B8" w:rsidR="00CB267A" w:rsidRPr="00243764" w:rsidRDefault="003852D6" w:rsidP="00DC3852">
    <w:r>
      <w:rPr>
        <w:noProof/>
      </w:rPr>
      <mc:AlternateContent>
        <mc:Choice Requires="wps">
          <w:drawing>
            <wp:anchor distT="0" distB="0" distL="114300" distR="114300" simplePos="0" relativeHeight="251658243" behindDoc="0" locked="0" layoutInCell="0" allowOverlap="1" wp14:anchorId="44D1D997" wp14:editId="6509C074">
              <wp:simplePos x="0" y="0"/>
              <wp:positionH relativeFrom="page">
                <wp:align>center</wp:align>
              </wp:positionH>
              <wp:positionV relativeFrom="page">
                <wp:align>bottom</wp:align>
              </wp:positionV>
              <wp:extent cx="7772400" cy="463550"/>
              <wp:effectExtent l="0" t="0" r="0" b="12700"/>
              <wp:wrapNone/>
              <wp:docPr id="55" name="Text Box 55"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272A39" w14:textId="450EA55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D1D997" id="_x0000_t202" coordsize="21600,21600" o:spt="202" path="m,l,21600r21600,l21600,xe">
              <v:stroke joinstyle="miter"/>
              <v:path gradientshapeok="t" o:connecttype="rect"/>
            </v:shapetype>
            <v:shape id="Text Box 55" o:spid="_x0000_s1035" type="#_x0000_t202" alt="{&quot;HashCode&quot;:-1264680268,&quot;Height&quot;:9999999.0,&quot;Width&quot;:9999999.0,&quot;Placement&quot;:&quot;Footer&quot;,&quot;Index&quot;:&quot;Primary&quot;,&quot;Section&quot;:3,&quot;Top&quot;:0.0,&quot;Left&quot;:0.0}" style="position:absolute;margin-left:0;margin-top:0;width:612pt;height:36.5pt;z-index:25165824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68272A39" w14:textId="450EA55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r w:rsidR="00CB267A" w:rsidRPr="00243764">
      <w:t>Arthur Rylah Institute for Environmental Research</w:t>
    </w:r>
    <w:r w:rsidR="00CB267A" w:rsidRPr="00243764">
      <w:br/>
      <w:t>Department of Environment, Land, Water and Planning</w:t>
    </w:r>
    <w:r w:rsidR="00CB267A" w:rsidRPr="00243764">
      <w:br/>
      <w:t>Heidelberg, Victoria</w:t>
    </w:r>
    <w:r w:rsidR="00CB267A">
      <w:t xml:space="preserve"> </w:t>
    </w:r>
  </w:p>
  <w:p w14:paraId="5ECFE4B3" w14:textId="77777777" w:rsidR="00CB267A" w:rsidRPr="00260A6B" w:rsidRDefault="00CB267A"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3215F" w14:textId="3BB3A7EB" w:rsidR="00CB267A" w:rsidRPr="00E3679A" w:rsidRDefault="003852D6" w:rsidP="00DC3852">
    <w:pPr>
      <w:pStyle w:val="Footer"/>
    </w:pPr>
    <w:r>
      <w:rPr>
        <w:noProof/>
      </w:rPr>
      <mc:AlternateContent>
        <mc:Choice Requires="wps">
          <w:drawing>
            <wp:anchor distT="0" distB="0" distL="114300" distR="114300" simplePos="0" relativeHeight="251658244" behindDoc="0" locked="0" layoutInCell="0" allowOverlap="1" wp14:anchorId="56832458" wp14:editId="42291A2D">
              <wp:simplePos x="0" y="0"/>
              <wp:positionH relativeFrom="page">
                <wp:align>center</wp:align>
              </wp:positionH>
              <wp:positionV relativeFrom="page">
                <wp:align>bottom</wp:align>
              </wp:positionV>
              <wp:extent cx="7772400" cy="463550"/>
              <wp:effectExtent l="0" t="0" r="0" b="12700"/>
              <wp:wrapNone/>
              <wp:docPr id="56" name="Text Box 56"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ABDFD3" w14:textId="7BBD25FD" w:rsidR="003852D6" w:rsidRPr="00EB6C15" w:rsidRDefault="00D22677" w:rsidP="00EB6C15">
                          <w:pPr>
                            <w:spacing w:after="0"/>
                            <w:jc w:val="center"/>
                            <w:rPr>
                              <w:rFonts w:ascii="Calibri" w:hAnsi="Calibri" w:cs="Calibri"/>
                              <w:color w:val="000000"/>
                              <w:sz w:val="24"/>
                            </w:rPr>
                          </w:pPr>
                          <w:r w:rsidRPr="00D22677">
                            <w:rPr>
                              <w:rFonts w:ascii="Calibri" w:hAnsi="Calibri" w:cs="Calibri"/>
                              <w:noProof/>
                              <w:color w:val="000000"/>
                              <w:sz w:val="24"/>
                            </w:rPr>
                            <w:drawing>
                              <wp:inline distT="0" distB="0" distL="0" distR="0" wp14:anchorId="1C8E3C6D" wp14:editId="563CF62E">
                                <wp:extent cx="7402195" cy="457200"/>
                                <wp:effectExtent l="0" t="0" r="0" b="0"/>
                                <wp:docPr id="742671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02195" cy="457200"/>
                                        </a:xfrm>
                                        <a:prstGeom prst="rect">
                                          <a:avLst/>
                                        </a:prstGeom>
                                        <a:noFill/>
                                        <a:ln>
                                          <a:noFill/>
                                        </a:ln>
                                      </pic:spPr>
                                    </pic:pic>
                                  </a:graphicData>
                                </a:graphic>
                              </wp:inline>
                            </w:drawing>
                          </w:r>
                          <w:r w:rsidR="00EB6C15"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832458" id="_x0000_t202" coordsize="21600,21600" o:spt="202" path="m,l,21600r21600,l21600,xe">
              <v:stroke joinstyle="miter"/>
              <v:path gradientshapeok="t" o:connecttype="rect"/>
            </v:shapetype>
            <v:shape id="Text Box 56" o:spid="_x0000_s1036" type="#_x0000_t202" alt="{&quot;HashCode&quot;:-1264680268,&quot;Height&quot;:9999999.0,&quot;Width&quot;:9999999.0,&quot;Placement&quot;:&quot;Footer&quot;,&quot;Index&quot;:&quot;FirstPage&quot;,&quot;Section&quot;:3,&quot;Top&quot;:0.0,&quot;Left&quot;:0.0}" style="position:absolute;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7BABDFD3" w14:textId="7BBD25FD" w:rsidR="003852D6" w:rsidRPr="00EB6C15" w:rsidRDefault="00D22677" w:rsidP="00EB6C15">
                    <w:pPr>
                      <w:spacing w:after="0"/>
                      <w:jc w:val="center"/>
                      <w:rPr>
                        <w:rFonts w:ascii="Calibri" w:hAnsi="Calibri" w:cs="Calibri"/>
                        <w:color w:val="000000"/>
                        <w:sz w:val="24"/>
                      </w:rPr>
                    </w:pPr>
                    <w:r w:rsidRPr="00D22677">
                      <w:rPr>
                        <w:rFonts w:ascii="Calibri" w:hAnsi="Calibri" w:cs="Calibri"/>
                        <w:noProof/>
                        <w:color w:val="000000"/>
                        <w:sz w:val="24"/>
                      </w:rPr>
                      <w:drawing>
                        <wp:inline distT="0" distB="0" distL="0" distR="0" wp14:anchorId="1C8E3C6D" wp14:editId="563CF62E">
                          <wp:extent cx="7402195" cy="457200"/>
                          <wp:effectExtent l="0" t="0" r="0" b="0"/>
                          <wp:docPr id="742671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02195" cy="457200"/>
                                  </a:xfrm>
                                  <a:prstGeom prst="rect">
                                    <a:avLst/>
                                  </a:prstGeom>
                                  <a:noFill/>
                                  <a:ln>
                                    <a:noFill/>
                                  </a:ln>
                                </pic:spPr>
                              </pic:pic>
                            </a:graphicData>
                          </a:graphic>
                        </wp:inline>
                      </w:drawing>
                    </w:r>
                    <w:r w:rsidR="00EB6C15" w:rsidRPr="00EB6C15">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260681618"/>
      <w:docPartObj>
        <w:docPartGallery w:val="Page Numbers (Bottom of Page)"/>
        <w:docPartUnique/>
      </w:docPartObj>
    </w:sdtPr>
    <w:sdtEndPr>
      <w:rPr>
        <w:noProof/>
      </w:rPr>
    </w:sdtEndPr>
    <w:sdtContent>
      <w:p w14:paraId="72DB8438" w14:textId="0B4754A7" w:rsidR="00182401" w:rsidRPr="00107038" w:rsidRDefault="00CB267A" w:rsidP="00E3679A">
        <w:pPr>
          <w:rPr>
            <w:sz w:val="18"/>
            <w:szCs w:val="18"/>
          </w:rPr>
        </w:pPr>
        <w:r w:rsidRPr="0037329A">
          <w:rPr>
            <w:sz w:val="18"/>
            <w:szCs w:val="18"/>
          </w:rPr>
          <w:fldChar w:fldCharType="begin"/>
        </w:r>
        <w:r w:rsidRPr="0037329A">
          <w:rPr>
            <w:sz w:val="18"/>
            <w:szCs w:val="18"/>
          </w:rPr>
          <w:instrText xml:space="preserve"> PAGE   \* MERGEFORMAT </w:instrText>
        </w:r>
        <w:r w:rsidRPr="0037329A">
          <w:rPr>
            <w:sz w:val="18"/>
            <w:szCs w:val="18"/>
          </w:rPr>
          <w:fldChar w:fldCharType="separate"/>
        </w:r>
        <w:r w:rsidRPr="0037329A">
          <w:rPr>
            <w:noProof/>
            <w:sz w:val="18"/>
            <w:szCs w:val="18"/>
          </w:rPr>
          <w:t>ii</w:t>
        </w:r>
        <w:r w:rsidRPr="0037329A">
          <w:rPr>
            <w:noProof/>
            <w:sz w:val="18"/>
            <w:szCs w:val="18"/>
          </w:rPr>
          <w:fldChar w:fldCharType="end"/>
        </w:r>
        <w:r w:rsidRPr="00107038">
          <w:rPr>
            <w:noProof/>
            <w:sz w:val="18"/>
            <w:szCs w:val="18"/>
          </w:rPr>
          <w:tab/>
        </w:r>
        <w:r w:rsidR="009F6A1E" w:rsidRPr="009F6A1E">
          <w:rPr>
            <w:sz w:val="18"/>
            <w:szCs w:val="18"/>
          </w:rPr>
          <w:t xml:space="preserve">Assessing disease risks in </w:t>
        </w:r>
        <w:r w:rsidR="00284A87">
          <w:rPr>
            <w:sz w:val="18"/>
            <w:szCs w:val="18"/>
          </w:rPr>
          <w:t xml:space="preserve">terrestrial </w:t>
        </w:r>
        <w:r w:rsidR="009F6A1E" w:rsidRPr="009F6A1E">
          <w:rPr>
            <w:sz w:val="18"/>
            <w:szCs w:val="18"/>
          </w:rPr>
          <w:t>wildlife in Victoria</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84F97C" w14:textId="19144545" w:rsidR="00182401" w:rsidRPr="00F266D6" w:rsidRDefault="003852D6" w:rsidP="00EF5A41">
    <w:pPr>
      <w:jc w:val="right"/>
      <w:rPr>
        <w:sz w:val="18"/>
        <w:szCs w:val="18"/>
      </w:rPr>
    </w:pPr>
    <w:r>
      <w:rPr>
        <w:noProof/>
        <w:sz w:val="18"/>
        <w:szCs w:val="18"/>
      </w:rPr>
      <mc:AlternateContent>
        <mc:Choice Requires="wps">
          <w:drawing>
            <wp:anchor distT="0" distB="0" distL="114300" distR="114300" simplePos="0" relativeHeight="251658241" behindDoc="0" locked="0" layoutInCell="0" allowOverlap="1" wp14:anchorId="7716A733" wp14:editId="382793E7">
              <wp:simplePos x="0" y="0"/>
              <wp:positionH relativeFrom="page">
                <wp:align>center</wp:align>
              </wp:positionH>
              <wp:positionV relativeFrom="page">
                <wp:align>bottom</wp:align>
              </wp:positionV>
              <wp:extent cx="7772400" cy="463550"/>
              <wp:effectExtent l="0" t="0" r="0" b="12700"/>
              <wp:wrapNone/>
              <wp:docPr id="18" name="Text Box 18" descr="{&quot;HashCode&quot;:-1264680268,&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03B128D" w14:textId="469FA58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716A733" id="_x0000_t202" coordsize="21600,21600" o:spt="202" path="m,l,21600r21600,l21600,xe">
              <v:stroke joinstyle="miter"/>
              <v:path gradientshapeok="t" o:connecttype="rect"/>
            </v:shapetype>
            <v:shape id="Text Box 18" o:spid="_x0000_s1037" type="#_x0000_t202" alt="{&quot;HashCode&quot;:-1264680268,&quot;Height&quot;:9999999.0,&quot;Width&quot;:9999999.0,&quot;Placement&quot;:&quot;Footer&quot;,&quot;Index&quot;:&quot;Primary&quot;,&quot;Section&quot;:6,&quot;Top&quot;:0.0,&quot;Left&quot;:0.0}" style="position:absolute;left:0;text-align:left;margin-left:0;margin-top:0;width:612pt;height:36.5pt;z-index:25165824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103B128D" w14:textId="469FA58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r w:rsidR="00D47246" w:rsidRPr="00D47246">
      <w:rPr>
        <w:sz w:val="18"/>
        <w:szCs w:val="18"/>
      </w:rPr>
      <w:t xml:space="preserve"> </w:t>
    </w:r>
    <w:r w:rsidR="00D47246">
      <w:rPr>
        <w:sz w:val="18"/>
        <w:szCs w:val="18"/>
      </w:rPr>
      <w:t xml:space="preserve">Assessing disease risks in </w:t>
    </w:r>
    <w:r w:rsidR="00284A87">
      <w:rPr>
        <w:sz w:val="18"/>
        <w:szCs w:val="18"/>
      </w:rPr>
      <w:t>terrestrial</w:t>
    </w:r>
    <w:r w:rsidR="00D47246">
      <w:rPr>
        <w:sz w:val="18"/>
        <w:szCs w:val="18"/>
      </w:rPr>
      <w:t xml:space="preserve"> wildlife in Victoria</w:t>
    </w:r>
    <w:r w:rsidR="00CB267A" w:rsidRPr="00107038">
      <w:rPr>
        <w:rStyle w:val="PageNumber"/>
        <w:sz w:val="18"/>
        <w:szCs w:val="18"/>
      </w:rPr>
      <w:tab/>
    </w:r>
    <w:r w:rsidR="00CB267A" w:rsidRPr="00F266D6">
      <w:rPr>
        <w:rStyle w:val="PageNumber"/>
        <w:sz w:val="18"/>
        <w:szCs w:val="18"/>
      </w:rPr>
      <w:fldChar w:fldCharType="begin"/>
    </w:r>
    <w:r w:rsidR="00CB267A" w:rsidRPr="00F266D6">
      <w:rPr>
        <w:rStyle w:val="PageNumber"/>
        <w:sz w:val="18"/>
        <w:szCs w:val="18"/>
      </w:rPr>
      <w:instrText xml:space="preserve"> PAGE </w:instrText>
    </w:r>
    <w:r w:rsidR="00CB267A" w:rsidRPr="00F266D6">
      <w:rPr>
        <w:rStyle w:val="PageNumber"/>
        <w:sz w:val="18"/>
        <w:szCs w:val="18"/>
      </w:rPr>
      <w:fldChar w:fldCharType="separate"/>
    </w:r>
    <w:r w:rsidR="00CB267A" w:rsidRPr="00F266D6">
      <w:rPr>
        <w:rStyle w:val="PageNumber"/>
        <w:sz w:val="18"/>
        <w:szCs w:val="18"/>
      </w:rPr>
      <w:t>1</w:t>
    </w:r>
    <w:r w:rsidR="00CB267A" w:rsidRPr="00F266D6">
      <w:rPr>
        <w:rStyle w:val="PageNumber"/>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F7C6E" w14:textId="2F53C063" w:rsidR="00182401" w:rsidRDefault="00DD0BC0" w:rsidP="00053859">
    <w:pPr>
      <w:jc w:val="right"/>
    </w:pPr>
    <w:r>
      <w:t>Assessing disease risks in Native Wildlife in Victoria</w:t>
    </w:r>
    <w:r w:rsidR="00CB267A">
      <w:rPr>
        <w:rStyle w:val="PageNumber"/>
      </w:rPr>
      <w:tab/>
    </w:r>
    <w:r w:rsidR="00CB267A" w:rsidRPr="00EC10EA">
      <w:rPr>
        <w:rStyle w:val="PageNumber"/>
      </w:rPr>
      <w:fldChar w:fldCharType="begin"/>
    </w:r>
    <w:r w:rsidR="00CB267A" w:rsidRPr="00EC10EA">
      <w:rPr>
        <w:rStyle w:val="PageNumber"/>
      </w:rPr>
      <w:instrText xml:space="preserve"> PAGE </w:instrText>
    </w:r>
    <w:r w:rsidR="00CB267A" w:rsidRPr="00EC10EA">
      <w:rPr>
        <w:rStyle w:val="PageNumber"/>
      </w:rPr>
      <w:fldChar w:fldCharType="separate"/>
    </w:r>
    <w:r w:rsidR="00CB267A" w:rsidRPr="00EC10EA">
      <w:rPr>
        <w:rStyle w:val="PageNumber"/>
        <w:noProof/>
      </w:rPr>
      <w:t>7</w:t>
    </w:r>
    <w:r w:rsidR="00CB267A" w:rsidRPr="00EC10EA">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D4C9A9" w14:textId="77777777" w:rsidR="008F015C" w:rsidRPr="00D07E53" w:rsidRDefault="008F015C" w:rsidP="00DC3852">
      <w:r w:rsidRPr="00D20920">
        <w:separator/>
      </w:r>
    </w:p>
    <w:p w14:paraId="484927F8" w14:textId="77777777" w:rsidR="008F015C" w:rsidRDefault="008F015C" w:rsidP="00DC3852"/>
  </w:footnote>
  <w:footnote w:type="continuationSeparator" w:id="0">
    <w:p w14:paraId="46306B2D" w14:textId="77777777" w:rsidR="008F015C" w:rsidRDefault="008F015C" w:rsidP="00DC3852">
      <w:r>
        <w:continuationSeparator/>
      </w:r>
    </w:p>
    <w:p w14:paraId="4A8C7444" w14:textId="77777777" w:rsidR="008F015C" w:rsidRDefault="008F015C" w:rsidP="00DC3852"/>
  </w:footnote>
  <w:footnote w:type="continuationNotice" w:id="1">
    <w:p w14:paraId="22326FD4" w14:textId="77777777" w:rsidR="008F015C" w:rsidRDefault="008F015C" w:rsidP="00DC3852"/>
    <w:p w14:paraId="03F8D7A2" w14:textId="77777777" w:rsidR="008F015C" w:rsidRDefault="008F015C"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68265" w14:textId="77777777" w:rsidR="00EC0A2A" w:rsidRDefault="00EC0A2A"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1DD8F" w14:textId="77777777" w:rsidR="00EC0A2A" w:rsidRDefault="00EC0A2A"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0BF57" w14:textId="77777777" w:rsidR="00CB267A" w:rsidRPr="00E3679A" w:rsidRDefault="00CB267A" w:rsidP="00DC385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4CB32" w14:textId="77777777" w:rsidR="00CB267A" w:rsidRPr="002B32FF" w:rsidRDefault="00CB267A" w:rsidP="00DC385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5AA78" w14:textId="77777777" w:rsidR="00CB267A" w:rsidRPr="00C9172F" w:rsidRDefault="00CB267A" w:rsidP="00C9172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167282"/>
    <w:multiLevelType w:val="hybridMultilevel"/>
    <w:tmpl w:val="45A2DB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B772B7"/>
    <w:multiLevelType w:val="multilevel"/>
    <w:tmpl w:val="B42A5DFA"/>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76"/>
        </w:tabs>
        <w:ind w:left="576"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0EC3083B"/>
    <w:multiLevelType w:val="hybridMultilevel"/>
    <w:tmpl w:val="F7A64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64C0DE0"/>
    <w:multiLevelType w:val="multilevel"/>
    <w:tmpl w:val="2216F2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9271293"/>
    <w:multiLevelType w:val="hybridMultilevel"/>
    <w:tmpl w:val="11AAF98A"/>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FF940B3"/>
    <w:multiLevelType w:val="hybridMultilevel"/>
    <w:tmpl w:val="8D76646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A595665"/>
    <w:multiLevelType w:val="hybridMultilevel"/>
    <w:tmpl w:val="CCBCDFFA"/>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35746223"/>
    <w:multiLevelType w:val="hybridMultilevel"/>
    <w:tmpl w:val="EA928F8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2DE07AD"/>
    <w:multiLevelType w:val="hybridMultilevel"/>
    <w:tmpl w:val="55A2C35A"/>
    <w:lvl w:ilvl="0" w:tplc="0C090001">
      <w:start w:val="1"/>
      <w:numFmt w:val="bullet"/>
      <w:lvlText w:val=""/>
      <w:lvlJc w:val="left"/>
      <w:pPr>
        <w:ind w:left="885" w:hanging="360"/>
      </w:pPr>
      <w:rPr>
        <w:rFonts w:ascii="Symbol" w:hAnsi="Symbol" w:hint="default"/>
      </w:rPr>
    </w:lvl>
    <w:lvl w:ilvl="1" w:tplc="0C090003" w:tentative="1">
      <w:start w:val="1"/>
      <w:numFmt w:val="bullet"/>
      <w:lvlText w:val="o"/>
      <w:lvlJc w:val="left"/>
      <w:pPr>
        <w:ind w:left="1605" w:hanging="360"/>
      </w:pPr>
      <w:rPr>
        <w:rFonts w:ascii="Courier New" w:hAnsi="Courier New" w:cs="Courier New" w:hint="default"/>
      </w:rPr>
    </w:lvl>
    <w:lvl w:ilvl="2" w:tplc="0C090005" w:tentative="1">
      <w:start w:val="1"/>
      <w:numFmt w:val="bullet"/>
      <w:lvlText w:val=""/>
      <w:lvlJc w:val="left"/>
      <w:pPr>
        <w:ind w:left="2325" w:hanging="360"/>
      </w:pPr>
      <w:rPr>
        <w:rFonts w:ascii="Wingdings" w:hAnsi="Wingdings" w:hint="default"/>
      </w:rPr>
    </w:lvl>
    <w:lvl w:ilvl="3" w:tplc="0C090001" w:tentative="1">
      <w:start w:val="1"/>
      <w:numFmt w:val="bullet"/>
      <w:lvlText w:val=""/>
      <w:lvlJc w:val="left"/>
      <w:pPr>
        <w:ind w:left="3045" w:hanging="360"/>
      </w:pPr>
      <w:rPr>
        <w:rFonts w:ascii="Symbol" w:hAnsi="Symbol" w:hint="default"/>
      </w:rPr>
    </w:lvl>
    <w:lvl w:ilvl="4" w:tplc="0C090003" w:tentative="1">
      <w:start w:val="1"/>
      <w:numFmt w:val="bullet"/>
      <w:lvlText w:val="o"/>
      <w:lvlJc w:val="left"/>
      <w:pPr>
        <w:ind w:left="3765" w:hanging="360"/>
      </w:pPr>
      <w:rPr>
        <w:rFonts w:ascii="Courier New" w:hAnsi="Courier New" w:cs="Courier New" w:hint="default"/>
      </w:rPr>
    </w:lvl>
    <w:lvl w:ilvl="5" w:tplc="0C090005" w:tentative="1">
      <w:start w:val="1"/>
      <w:numFmt w:val="bullet"/>
      <w:lvlText w:val=""/>
      <w:lvlJc w:val="left"/>
      <w:pPr>
        <w:ind w:left="4485" w:hanging="360"/>
      </w:pPr>
      <w:rPr>
        <w:rFonts w:ascii="Wingdings" w:hAnsi="Wingdings" w:hint="default"/>
      </w:rPr>
    </w:lvl>
    <w:lvl w:ilvl="6" w:tplc="0C090001" w:tentative="1">
      <w:start w:val="1"/>
      <w:numFmt w:val="bullet"/>
      <w:lvlText w:val=""/>
      <w:lvlJc w:val="left"/>
      <w:pPr>
        <w:ind w:left="5205" w:hanging="360"/>
      </w:pPr>
      <w:rPr>
        <w:rFonts w:ascii="Symbol" w:hAnsi="Symbol" w:hint="default"/>
      </w:rPr>
    </w:lvl>
    <w:lvl w:ilvl="7" w:tplc="0C090003" w:tentative="1">
      <w:start w:val="1"/>
      <w:numFmt w:val="bullet"/>
      <w:lvlText w:val="o"/>
      <w:lvlJc w:val="left"/>
      <w:pPr>
        <w:ind w:left="5925" w:hanging="360"/>
      </w:pPr>
      <w:rPr>
        <w:rFonts w:ascii="Courier New" w:hAnsi="Courier New" w:cs="Courier New" w:hint="default"/>
      </w:rPr>
    </w:lvl>
    <w:lvl w:ilvl="8" w:tplc="0C090005" w:tentative="1">
      <w:start w:val="1"/>
      <w:numFmt w:val="bullet"/>
      <w:lvlText w:val=""/>
      <w:lvlJc w:val="left"/>
      <w:pPr>
        <w:ind w:left="6645" w:hanging="360"/>
      </w:pPr>
      <w:rPr>
        <w:rFonts w:ascii="Wingdings" w:hAnsi="Wingdings" w:hint="default"/>
      </w:rPr>
    </w:lvl>
  </w:abstractNum>
  <w:abstractNum w:abstractNumId="27" w15:restartNumberingAfterBreak="0">
    <w:nsid w:val="4FB51663"/>
    <w:multiLevelType w:val="hybridMultilevel"/>
    <w:tmpl w:val="19986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07B45B7"/>
    <w:multiLevelType w:val="hybridMultilevel"/>
    <w:tmpl w:val="62003868"/>
    <w:lvl w:ilvl="0" w:tplc="AD4CC8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6D5E0E6F"/>
    <w:multiLevelType w:val="hybridMultilevel"/>
    <w:tmpl w:val="DB2CC6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98C31AB"/>
    <w:multiLevelType w:val="hybridMultilevel"/>
    <w:tmpl w:val="AB381E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C906D2A"/>
    <w:multiLevelType w:val="hybridMultilevel"/>
    <w:tmpl w:val="10C84B76"/>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399598563">
    <w:abstractNumId w:val="23"/>
  </w:num>
  <w:num w:numId="2" w16cid:durableId="309991470">
    <w:abstractNumId w:val="18"/>
  </w:num>
  <w:num w:numId="3" w16cid:durableId="1741947280">
    <w:abstractNumId w:val="13"/>
  </w:num>
  <w:num w:numId="4" w16cid:durableId="754203096">
    <w:abstractNumId w:val="9"/>
  </w:num>
  <w:num w:numId="5" w16cid:durableId="442500036">
    <w:abstractNumId w:val="7"/>
  </w:num>
  <w:num w:numId="6" w16cid:durableId="1385712898">
    <w:abstractNumId w:val="6"/>
  </w:num>
  <w:num w:numId="7" w16cid:durableId="1838036199">
    <w:abstractNumId w:val="5"/>
  </w:num>
  <w:num w:numId="8" w16cid:durableId="1466047959">
    <w:abstractNumId w:val="4"/>
  </w:num>
  <w:num w:numId="9" w16cid:durableId="1692417880">
    <w:abstractNumId w:val="8"/>
  </w:num>
  <w:num w:numId="10" w16cid:durableId="1866362437">
    <w:abstractNumId w:val="3"/>
  </w:num>
  <w:num w:numId="11" w16cid:durableId="706568121">
    <w:abstractNumId w:val="2"/>
  </w:num>
  <w:num w:numId="12" w16cid:durableId="50545983">
    <w:abstractNumId w:val="1"/>
  </w:num>
  <w:num w:numId="13" w16cid:durableId="1269115791">
    <w:abstractNumId w:val="0"/>
  </w:num>
  <w:num w:numId="14" w16cid:durableId="416441298">
    <w:abstractNumId w:val="15"/>
  </w:num>
  <w:num w:numId="15" w16cid:durableId="1084953857">
    <w:abstractNumId w:val="10"/>
  </w:num>
  <w:num w:numId="16" w16cid:durableId="1373923548">
    <w:abstractNumId w:val="25"/>
  </w:num>
  <w:num w:numId="17" w16cid:durableId="245267442">
    <w:abstractNumId w:val="16"/>
  </w:num>
  <w:num w:numId="18" w16cid:durableId="833838890">
    <w:abstractNumId w:val="14"/>
  </w:num>
  <w:num w:numId="19" w16cid:durableId="1999921752">
    <w:abstractNumId w:val="33"/>
  </w:num>
  <w:num w:numId="20" w16cid:durableId="873881279">
    <w:abstractNumId w:val="29"/>
  </w:num>
  <w:num w:numId="21" w16cid:durableId="340012346">
    <w:abstractNumId w:val="28"/>
  </w:num>
  <w:num w:numId="22" w16cid:durableId="1436318761">
    <w:abstractNumId w:val="30"/>
  </w:num>
  <w:num w:numId="23" w16cid:durableId="70784044">
    <w:abstractNumId w:val="31"/>
  </w:num>
  <w:num w:numId="24" w16cid:durableId="351030206">
    <w:abstractNumId w:val="12"/>
  </w:num>
  <w:num w:numId="25" w16cid:durableId="745961413">
    <w:abstractNumId w:val="29"/>
    <w:lvlOverride w:ilvl="0">
      <w:startOverride w:val="1"/>
    </w:lvlOverride>
  </w:num>
  <w:num w:numId="26" w16cid:durableId="140080510">
    <w:abstractNumId w:val="19"/>
  </w:num>
  <w:num w:numId="27" w16cid:durableId="551428921">
    <w:abstractNumId w:val="34"/>
  </w:num>
  <w:num w:numId="28" w16cid:durableId="865482481">
    <w:abstractNumId w:val="22"/>
  </w:num>
  <w:num w:numId="29" w16cid:durableId="561454294">
    <w:abstractNumId w:val="16"/>
  </w:num>
  <w:num w:numId="30" w16cid:durableId="1169905947">
    <w:abstractNumId w:val="16"/>
  </w:num>
  <w:num w:numId="31" w16cid:durableId="1734500109">
    <w:abstractNumId w:val="27"/>
  </w:num>
  <w:num w:numId="32" w16cid:durableId="885066915">
    <w:abstractNumId w:val="24"/>
  </w:num>
  <w:num w:numId="33" w16cid:durableId="253513643">
    <w:abstractNumId w:val="21"/>
  </w:num>
  <w:num w:numId="34" w16cid:durableId="1408721269">
    <w:abstractNumId w:val="20"/>
  </w:num>
  <w:num w:numId="35" w16cid:durableId="1983921147">
    <w:abstractNumId w:val="35"/>
  </w:num>
  <w:num w:numId="36" w16cid:durableId="1876043961">
    <w:abstractNumId w:val="32"/>
  </w:num>
  <w:num w:numId="37" w16cid:durableId="1076976957">
    <w:abstractNumId w:val="26"/>
  </w:num>
  <w:num w:numId="38" w16cid:durableId="381953156">
    <w:abstractNumId w:val="17"/>
  </w:num>
  <w:num w:numId="39" w16cid:durableId="1159232123">
    <w:abstractNumId w:val="11"/>
  </w:num>
  <w:num w:numId="40" w16cid:durableId="945501704">
    <w:abstractNumId w:val="36"/>
  </w:num>
  <w:num w:numId="41" w16cid:durableId="66194143">
    <w:abstractNumId w:val="22"/>
  </w:num>
  <w:num w:numId="42" w16cid:durableId="1805077667">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embedTrueTypeFonts/>
  <w:saveSubsetFonts/>
  <w:activeWritingStyle w:appName="MSWord" w:lang="en-US" w:vendorID="64" w:dllVersion="0" w:nlCheck="1" w:checkStyle="0"/>
  <w:activeWritingStyle w:appName="MSWord" w:lang="en-AU" w:vendorID="64" w:dllVersion="0" w:nlCheck="1" w:checkStyle="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AhU92BJIe16oXOauTwt7/tsFiMEggW+X+WFySaEIEAS4OvycOBSs6hn4e7Zzfs8lTcG3Jnxldj4es0KX2fkf4Q==" w:salt="oncVf5vYzQD2lRSK1GZfvA=="/>
  <w:defaultTabStop w:val="720"/>
  <w:evenAndOddHeaders/>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3852D6"/>
    <w:rsid w:val="000009DE"/>
    <w:rsid w:val="00000CC6"/>
    <w:rsid w:val="00000FD4"/>
    <w:rsid w:val="0000137F"/>
    <w:rsid w:val="000013F6"/>
    <w:rsid w:val="000017BB"/>
    <w:rsid w:val="000017DA"/>
    <w:rsid w:val="00001E48"/>
    <w:rsid w:val="0000232C"/>
    <w:rsid w:val="00002580"/>
    <w:rsid w:val="00003CB6"/>
    <w:rsid w:val="00003CD0"/>
    <w:rsid w:val="000047E3"/>
    <w:rsid w:val="00004981"/>
    <w:rsid w:val="00004C54"/>
    <w:rsid w:val="00004C89"/>
    <w:rsid w:val="00004E8C"/>
    <w:rsid w:val="0000509B"/>
    <w:rsid w:val="00005D9A"/>
    <w:rsid w:val="00005EC4"/>
    <w:rsid w:val="0000629E"/>
    <w:rsid w:val="0000630B"/>
    <w:rsid w:val="000065AA"/>
    <w:rsid w:val="0000681B"/>
    <w:rsid w:val="00006F3E"/>
    <w:rsid w:val="00007345"/>
    <w:rsid w:val="00007627"/>
    <w:rsid w:val="00007E4E"/>
    <w:rsid w:val="00010A77"/>
    <w:rsid w:val="00010D07"/>
    <w:rsid w:val="000110E5"/>
    <w:rsid w:val="00011438"/>
    <w:rsid w:val="00011B19"/>
    <w:rsid w:val="0001205B"/>
    <w:rsid w:val="00012793"/>
    <w:rsid w:val="000129C9"/>
    <w:rsid w:val="00012E71"/>
    <w:rsid w:val="00012E89"/>
    <w:rsid w:val="00012F67"/>
    <w:rsid w:val="00013411"/>
    <w:rsid w:val="00013B7B"/>
    <w:rsid w:val="00013C50"/>
    <w:rsid w:val="00013E00"/>
    <w:rsid w:val="00014002"/>
    <w:rsid w:val="000147BA"/>
    <w:rsid w:val="00014C2F"/>
    <w:rsid w:val="00014C84"/>
    <w:rsid w:val="00015C01"/>
    <w:rsid w:val="00015FDD"/>
    <w:rsid w:val="00016064"/>
    <w:rsid w:val="000164C8"/>
    <w:rsid w:val="00016932"/>
    <w:rsid w:val="00017CEA"/>
    <w:rsid w:val="0002056D"/>
    <w:rsid w:val="00020E34"/>
    <w:rsid w:val="00021076"/>
    <w:rsid w:val="000213FC"/>
    <w:rsid w:val="00021509"/>
    <w:rsid w:val="000222B1"/>
    <w:rsid w:val="00022C0F"/>
    <w:rsid w:val="000232AE"/>
    <w:rsid w:val="00023332"/>
    <w:rsid w:val="00023470"/>
    <w:rsid w:val="000239A4"/>
    <w:rsid w:val="00023A8D"/>
    <w:rsid w:val="00023BB2"/>
    <w:rsid w:val="00023F8A"/>
    <w:rsid w:val="00024020"/>
    <w:rsid w:val="000248C0"/>
    <w:rsid w:val="00024D90"/>
    <w:rsid w:val="00024E4E"/>
    <w:rsid w:val="00024F47"/>
    <w:rsid w:val="00026619"/>
    <w:rsid w:val="000266B0"/>
    <w:rsid w:val="00026728"/>
    <w:rsid w:val="00026787"/>
    <w:rsid w:val="00026C4E"/>
    <w:rsid w:val="00026F9D"/>
    <w:rsid w:val="000278C3"/>
    <w:rsid w:val="0003025C"/>
    <w:rsid w:val="000309A3"/>
    <w:rsid w:val="00030A8B"/>
    <w:rsid w:val="000312A4"/>
    <w:rsid w:val="00031569"/>
    <w:rsid w:val="0003204F"/>
    <w:rsid w:val="0003229B"/>
    <w:rsid w:val="0003309D"/>
    <w:rsid w:val="000338CA"/>
    <w:rsid w:val="00033DF0"/>
    <w:rsid w:val="00033FC6"/>
    <w:rsid w:val="00034068"/>
    <w:rsid w:val="00034369"/>
    <w:rsid w:val="00034546"/>
    <w:rsid w:val="000346E3"/>
    <w:rsid w:val="00035018"/>
    <w:rsid w:val="000356C5"/>
    <w:rsid w:val="0003571B"/>
    <w:rsid w:val="00035ABE"/>
    <w:rsid w:val="00035D62"/>
    <w:rsid w:val="00035DBE"/>
    <w:rsid w:val="00036233"/>
    <w:rsid w:val="000362B1"/>
    <w:rsid w:val="000366CC"/>
    <w:rsid w:val="000368E7"/>
    <w:rsid w:val="00037867"/>
    <w:rsid w:val="00040060"/>
    <w:rsid w:val="00040071"/>
    <w:rsid w:val="000402DD"/>
    <w:rsid w:val="00040566"/>
    <w:rsid w:val="00041024"/>
    <w:rsid w:val="00041156"/>
    <w:rsid w:val="000411CF"/>
    <w:rsid w:val="00041A9F"/>
    <w:rsid w:val="000429DE"/>
    <w:rsid w:val="000430EA"/>
    <w:rsid w:val="00043194"/>
    <w:rsid w:val="00043716"/>
    <w:rsid w:val="00043E60"/>
    <w:rsid w:val="0004491B"/>
    <w:rsid w:val="00044B9E"/>
    <w:rsid w:val="00044D9D"/>
    <w:rsid w:val="00045751"/>
    <w:rsid w:val="00045ED5"/>
    <w:rsid w:val="0004655D"/>
    <w:rsid w:val="00046987"/>
    <w:rsid w:val="00046BE6"/>
    <w:rsid w:val="0004704E"/>
    <w:rsid w:val="0005057A"/>
    <w:rsid w:val="00050622"/>
    <w:rsid w:val="00051024"/>
    <w:rsid w:val="0005163F"/>
    <w:rsid w:val="00051887"/>
    <w:rsid w:val="00051D7B"/>
    <w:rsid w:val="00051FE1"/>
    <w:rsid w:val="00052234"/>
    <w:rsid w:val="000522A3"/>
    <w:rsid w:val="00052351"/>
    <w:rsid w:val="000526F5"/>
    <w:rsid w:val="000532A8"/>
    <w:rsid w:val="00053526"/>
    <w:rsid w:val="00053843"/>
    <w:rsid w:val="00053859"/>
    <w:rsid w:val="00054071"/>
    <w:rsid w:val="00054108"/>
    <w:rsid w:val="00054551"/>
    <w:rsid w:val="000546A3"/>
    <w:rsid w:val="0005472E"/>
    <w:rsid w:val="00054788"/>
    <w:rsid w:val="00054C31"/>
    <w:rsid w:val="000551CD"/>
    <w:rsid w:val="0005555C"/>
    <w:rsid w:val="00055E7F"/>
    <w:rsid w:val="00055FB4"/>
    <w:rsid w:val="0005616D"/>
    <w:rsid w:val="0005745B"/>
    <w:rsid w:val="000574BC"/>
    <w:rsid w:val="00057DE1"/>
    <w:rsid w:val="00060383"/>
    <w:rsid w:val="00060828"/>
    <w:rsid w:val="00060A68"/>
    <w:rsid w:val="00060E9A"/>
    <w:rsid w:val="00060F0C"/>
    <w:rsid w:val="00061019"/>
    <w:rsid w:val="000611D1"/>
    <w:rsid w:val="00061634"/>
    <w:rsid w:val="00061820"/>
    <w:rsid w:val="000630AF"/>
    <w:rsid w:val="000637C5"/>
    <w:rsid w:val="00063DBF"/>
    <w:rsid w:val="0006454C"/>
    <w:rsid w:val="00064EC5"/>
    <w:rsid w:val="0006507E"/>
    <w:rsid w:val="000651DB"/>
    <w:rsid w:val="00065CED"/>
    <w:rsid w:val="0006629B"/>
    <w:rsid w:val="00066B41"/>
    <w:rsid w:val="00066BCF"/>
    <w:rsid w:val="00066BF6"/>
    <w:rsid w:val="000673AF"/>
    <w:rsid w:val="00067500"/>
    <w:rsid w:val="000675CA"/>
    <w:rsid w:val="00067652"/>
    <w:rsid w:val="00067C48"/>
    <w:rsid w:val="00067EED"/>
    <w:rsid w:val="000704B7"/>
    <w:rsid w:val="000705FE"/>
    <w:rsid w:val="000713A5"/>
    <w:rsid w:val="000717C0"/>
    <w:rsid w:val="000718CB"/>
    <w:rsid w:val="0007200A"/>
    <w:rsid w:val="00072AE0"/>
    <w:rsid w:val="00073528"/>
    <w:rsid w:val="000739B3"/>
    <w:rsid w:val="00074331"/>
    <w:rsid w:val="0007462A"/>
    <w:rsid w:val="00074643"/>
    <w:rsid w:val="0007522B"/>
    <w:rsid w:val="0007550A"/>
    <w:rsid w:val="000766ED"/>
    <w:rsid w:val="000767EE"/>
    <w:rsid w:val="00076886"/>
    <w:rsid w:val="00076A50"/>
    <w:rsid w:val="000770A1"/>
    <w:rsid w:val="00077A99"/>
    <w:rsid w:val="00080DF0"/>
    <w:rsid w:val="00080F0A"/>
    <w:rsid w:val="00081258"/>
    <w:rsid w:val="000812EB"/>
    <w:rsid w:val="00081764"/>
    <w:rsid w:val="00081E30"/>
    <w:rsid w:val="00081EAB"/>
    <w:rsid w:val="00082078"/>
    <w:rsid w:val="000822C4"/>
    <w:rsid w:val="00082318"/>
    <w:rsid w:val="00083182"/>
    <w:rsid w:val="000832F8"/>
    <w:rsid w:val="0008366E"/>
    <w:rsid w:val="000838E6"/>
    <w:rsid w:val="00084226"/>
    <w:rsid w:val="000846E3"/>
    <w:rsid w:val="000849C2"/>
    <w:rsid w:val="00084CAC"/>
    <w:rsid w:val="00084F31"/>
    <w:rsid w:val="00085ABA"/>
    <w:rsid w:val="00085CE1"/>
    <w:rsid w:val="00085E61"/>
    <w:rsid w:val="000860FB"/>
    <w:rsid w:val="000861B9"/>
    <w:rsid w:val="00086B02"/>
    <w:rsid w:val="00086D3E"/>
    <w:rsid w:val="00086DF3"/>
    <w:rsid w:val="0008715E"/>
    <w:rsid w:val="0008754B"/>
    <w:rsid w:val="00087819"/>
    <w:rsid w:val="00087BDC"/>
    <w:rsid w:val="00087F10"/>
    <w:rsid w:val="00090325"/>
    <w:rsid w:val="00090376"/>
    <w:rsid w:val="00090458"/>
    <w:rsid w:val="00090573"/>
    <w:rsid w:val="0009097C"/>
    <w:rsid w:val="00091284"/>
    <w:rsid w:val="00091775"/>
    <w:rsid w:val="00091B20"/>
    <w:rsid w:val="00092034"/>
    <w:rsid w:val="00092066"/>
    <w:rsid w:val="000925AF"/>
    <w:rsid w:val="00092724"/>
    <w:rsid w:val="0009277F"/>
    <w:rsid w:val="00092B27"/>
    <w:rsid w:val="00092EE3"/>
    <w:rsid w:val="00093DA5"/>
    <w:rsid w:val="0009426B"/>
    <w:rsid w:val="00095166"/>
    <w:rsid w:val="00095404"/>
    <w:rsid w:val="0009559A"/>
    <w:rsid w:val="000955EB"/>
    <w:rsid w:val="000958D8"/>
    <w:rsid w:val="00095B8B"/>
    <w:rsid w:val="00095D2F"/>
    <w:rsid w:val="0009610E"/>
    <w:rsid w:val="000966C9"/>
    <w:rsid w:val="0009699E"/>
    <w:rsid w:val="00096DF2"/>
    <w:rsid w:val="00097529"/>
    <w:rsid w:val="00097629"/>
    <w:rsid w:val="000A0217"/>
    <w:rsid w:val="000A0664"/>
    <w:rsid w:val="000A0732"/>
    <w:rsid w:val="000A1561"/>
    <w:rsid w:val="000A168E"/>
    <w:rsid w:val="000A1B4A"/>
    <w:rsid w:val="000A2203"/>
    <w:rsid w:val="000A26A4"/>
    <w:rsid w:val="000A26EC"/>
    <w:rsid w:val="000A272F"/>
    <w:rsid w:val="000A31D7"/>
    <w:rsid w:val="000A3203"/>
    <w:rsid w:val="000A334F"/>
    <w:rsid w:val="000A34CB"/>
    <w:rsid w:val="000A3CF7"/>
    <w:rsid w:val="000A4535"/>
    <w:rsid w:val="000A470D"/>
    <w:rsid w:val="000A4A88"/>
    <w:rsid w:val="000A5147"/>
    <w:rsid w:val="000A561C"/>
    <w:rsid w:val="000A5E54"/>
    <w:rsid w:val="000A621C"/>
    <w:rsid w:val="000A6D2C"/>
    <w:rsid w:val="000A6E7C"/>
    <w:rsid w:val="000B004D"/>
    <w:rsid w:val="000B04EF"/>
    <w:rsid w:val="000B0936"/>
    <w:rsid w:val="000B0B78"/>
    <w:rsid w:val="000B15D2"/>
    <w:rsid w:val="000B189A"/>
    <w:rsid w:val="000B18AF"/>
    <w:rsid w:val="000B2796"/>
    <w:rsid w:val="000B2A8A"/>
    <w:rsid w:val="000B2FE4"/>
    <w:rsid w:val="000B35E0"/>
    <w:rsid w:val="000B3ADF"/>
    <w:rsid w:val="000B3CF0"/>
    <w:rsid w:val="000B443F"/>
    <w:rsid w:val="000B4455"/>
    <w:rsid w:val="000B451B"/>
    <w:rsid w:val="000B4BE0"/>
    <w:rsid w:val="000B4C09"/>
    <w:rsid w:val="000B4EA7"/>
    <w:rsid w:val="000B62B8"/>
    <w:rsid w:val="000B6575"/>
    <w:rsid w:val="000B70B7"/>
    <w:rsid w:val="000B7272"/>
    <w:rsid w:val="000B73A9"/>
    <w:rsid w:val="000B759F"/>
    <w:rsid w:val="000B773D"/>
    <w:rsid w:val="000B7A20"/>
    <w:rsid w:val="000B7DFD"/>
    <w:rsid w:val="000B7F63"/>
    <w:rsid w:val="000C0A09"/>
    <w:rsid w:val="000C0E4C"/>
    <w:rsid w:val="000C1486"/>
    <w:rsid w:val="000C15EE"/>
    <w:rsid w:val="000C173C"/>
    <w:rsid w:val="000C1781"/>
    <w:rsid w:val="000C1DB3"/>
    <w:rsid w:val="000C2A1B"/>
    <w:rsid w:val="000C2B52"/>
    <w:rsid w:val="000C2CB8"/>
    <w:rsid w:val="000C2DBC"/>
    <w:rsid w:val="000C2FD8"/>
    <w:rsid w:val="000C3259"/>
    <w:rsid w:val="000C355F"/>
    <w:rsid w:val="000C386F"/>
    <w:rsid w:val="000C478F"/>
    <w:rsid w:val="000C4DCF"/>
    <w:rsid w:val="000C5150"/>
    <w:rsid w:val="000C5334"/>
    <w:rsid w:val="000C61D5"/>
    <w:rsid w:val="000C64CC"/>
    <w:rsid w:val="000C6AD2"/>
    <w:rsid w:val="000C6EC9"/>
    <w:rsid w:val="000C74E3"/>
    <w:rsid w:val="000C7674"/>
    <w:rsid w:val="000C7A27"/>
    <w:rsid w:val="000D009F"/>
    <w:rsid w:val="000D121A"/>
    <w:rsid w:val="000D141D"/>
    <w:rsid w:val="000D18DF"/>
    <w:rsid w:val="000D1D47"/>
    <w:rsid w:val="000D2415"/>
    <w:rsid w:val="000D2740"/>
    <w:rsid w:val="000D30E2"/>
    <w:rsid w:val="000D3639"/>
    <w:rsid w:val="000D36F1"/>
    <w:rsid w:val="000D429E"/>
    <w:rsid w:val="000D451F"/>
    <w:rsid w:val="000D4A90"/>
    <w:rsid w:val="000D5259"/>
    <w:rsid w:val="000D559F"/>
    <w:rsid w:val="000D622E"/>
    <w:rsid w:val="000D6456"/>
    <w:rsid w:val="000D649B"/>
    <w:rsid w:val="000D6579"/>
    <w:rsid w:val="000D65E7"/>
    <w:rsid w:val="000D6B7B"/>
    <w:rsid w:val="000D6D58"/>
    <w:rsid w:val="000D70BA"/>
    <w:rsid w:val="000D7D99"/>
    <w:rsid w:val="000E02A3"/>
    <w:rsid w:val="000E034C"/>
    <w:rsid w:val="000E0399"/>
    <w:rsid w:val="000E0643"/>
    <w:rsid w:val="000E0BE1"/>
    <w:rsid w:val="000E0BFA"/>
    <w:rsid w:val="000E1A61"/>
    <w:rsid w:val="000E1DC0"/>
    <w:rsid w:val="000E27A1"/>
    <w:rsid w:val="000E2D53"/>
    <w:rsid w:val="000E318B"/>
    <w:rsid w:val="000E3720"/>
    <w:rsid w:val="000E3A5F"/>
    <w:rsid w:val="000E3B1B"/>
    <w:rsid w:val="000E3B79"/>
    <w:rsid w:val="000E3BA4"/>
    <w:rsid w:val="000E3D79"/>
    <w:rsid w:val="000E40A3"/>
    <w:rsid w:val="000E4132"/>
    <w:rsid w:val="000E5BD7"/>
    <w:rsid w:val="000E65F3"/>
    <w:rsid w:val="000E67C9"/>
    <w:rsid w:val="000E6B55"/>
    <w:rsid w:val="000E6BF2"/>
    <w:rsid w:val="000E7F2F"/>
    <w:rsid w:val="000F03CE"/>
    <w:rsid w:val="000F0A13"/>
    <w:rsid w:val="000F0B5B"/>
    <w:rsid w:val="000F0BFE"/>
    <w:rsid w:val="000F10A8"/>
    <w:rsid w:val="000F11D0"/>
    <w:rsid w:val="000F1257"/>
    <w:rsid w:val="000F1796"/>
    <w:rsid w:val="000F2069"/>
    <w:rsid w:val="000F2498"/>
    <w:rsid w:val="000F2BF3"/>
    <w:rsid w:val="000F47C0"/>
    <w:rsid w:val="000F4D17"/>
    <w:rsid w:val="000F5A8F"/>
    <w:rsid w:val="000F5EDF"/>
    <w:rsid w:val="000F5EF4"/>
    <w:rsid w:val="000F60AF"/>
    <w:rsid w:val="000F6139"/>
    <w:rsid w:val="000F6167"/>
    <w:rsid w:val="000F63B8"/>
    <w:rsid w:val="000F64DD"/>
    <w:rsid w:val="000F656E"/>
    <w:rsid w:val="000F6BFC"/>
    <w:rsid w:val="000F74BC"/>
    <w:rsid w:val="000F7814"/>
    <w:rsid w:val="000F7C3D"/>
    <w:rsid w:val="001001CB"/>
    <w:rsid w:val="00100557"/>
    <w:rsid w:val="00100BAC"/>
    <w:rsid w:val="001011AD"/>
    <w:rsid w:val="001017E9"/>
    <w:rsid w:val="00101B25"/>
    <w:rsid w:val="00101B5E"/>
    <w:rsid w:val="00101F5E"/>
    <w:rsid w:val="0010230D"/>
    <w:rsid w:val="001029BB"/>
    <w:rsid w:val="00102ADC"/>
    <w:rsid w:val="00102E08"/>
    <w:rsid w:val="00103203"/>
    <w:rsid w:val="0010348B"/>
    <w:rsid w:val="00104088"/>
    <w:rsid w:val="00104109"/>
    <w:rsid w:val="0010451E"/>
    <w:rsid w:val="00104895"/>
    <w:rsid w:val="001053DA"/>
    <w:rsid w:val="001061D5"/>
    <w:rsid w:val="001065A1"/>
    <w:rsid w:val="00106BD6"/>
    <w:rsid w:val="00106E88"/>
    <w:rsid w:val="00107038"/>
    <w:rsid w:val="00107132"/>
    <w:rsid w:val="00107889"/>
    <w:rsid w:val="001078B9"/>
    <w:rsid w:val="0010ADEF"/>
    <w:rsid w:val="00110008"/>
    <w:rsid w:val="0011013D"/>
    <w:rsid w:val="00110B78"/>
    <w:rsid w:val="00110C64"/>
    <w:rsid w:val="00110EFC"/>
    <w:rsid w:val="001111BD"/>
    <w:rsid w:val="00111627"/>
    <w:rsid w:val="00111762"/>
    <w:rsid w:val="001123F5"/>
    <w:rsid w:val="001131C9"/>
    <w:rsid w:val="001136F0"/>
    <w:rsid w:val="00113A3B"/>
    <w:rsid w:val="00113A59"/>
    <w:rsid w:val="00114C49"/>
    <w:rsid w:val="00115667"/>
    <w:rsid w:val="0011576E"/>
    <w:rsid w:val="0011583F"/>
    <w:rsid w:val="001159B2"/>
    <w:rsid w:val="00115BA4"/>
    <w:rsid w:val="00115F6F"/>
    <w:rsid w:val="001160BD"/>
    <w:rsid w:val="001160E7"/>
    <w:rsid w:val="00116780"/>
    <w:rsid w:val="00116A77"/>
    <w:rsid w:val="00116ED6"/>
    <w:rsid w:val="00116F29"/>
    <w:rsid w:val="00117072"/>
    <w:rsid w:val="00117183"/>
    <w:rsid w:val="00117483"/>
    <w:rsid w:val="00117785"/>
    <w:rsid w:val="00120511"/>
    <w:rsid w:val="00120C40"/>
    <w:rsid w:val="00121138"/>
    <w:rsid w:val="0012169C"/>
    <w:rsid w:val="0012189F"/>
    <w:rsid w:val="001219C0"/>
    <w:rsid w:val="001227A0"/>
    <w:rsid w:val="00122A34"/>
    <w:rsid w:val="0012306B"/>
    <w:rsid w:val="0012344E"/>
    <w:rsid w:val="0012395D"/>
    <w:rsid w:val="001241E8"/>
    <w:rsid w:val="00124582"/>
    <w:rsid w:val="00124CFE"/>
    <w:rsid w:val="00125205"/>
    <w:rsid w:val="0012583B"/>
    <w:rsid w:val="00125862"/>
    <w:rsid w:val="00125AEA"/>
    <w:rsid w:val="00125B52"/>
    <w:rsid w:val="00126A5D"/>
    <w:rsid w:val="00126D1F"/>
    <w:rsid w:val="001275AB"/>
    <w:rsid w:val="001275BD"/>
    <w:rsid w:val="00127603"/>
    <w:rsid w:val="00127971"/>
    <w:rsid w:val="00127BDB"/>
    <w:rsid w:val="0013088A"/>
    <w:rsid w:val="0013089C"/>
    <w:rsid w:val="00130A9E"/>
    <w:rsid w:val="00130F25"/>
    <w:rsid w:val="001310B0"/>
    <w:rsid w:val="001311A7"/>
    <w:rsid w:val="001316D9"/>
    <w:rsid w:val="00131CD7"/>
    <w:rsid w:val="001322A1"/>
    <w:rsid w:val="001329B8"/>
    <w:rsid w:val="00132DB1"/>
    <w:rsid w:val="00132F71"/>
    <w:rsid w:val="001336D9"/>
    <w:rsid w:val="00133BF8"/>
    <w:rsid w:val="0013420E"/>
    <w:rsid w:val="00134949"/>
    <w:rsid w:val="00134BF1"/>
    <w:rsid w:val="0013541C"/>
    <w:rsid w:val="001356FB"/>
    <w:rsid w:val="00135C70"/>
    <w:rsid w:val="00136438"/>
    <w:rsid w:val="00136501"/>
    <w:rsid w:val="00136818"/>
    <w:rsid w:val="00136DAC"/>
    <w:rsid w:val="00137752"/>
    <w:rsid w:val="00137C8A"/>
    <w:rsid w:val="001402A5"/>
    <w:rsid w:val="00140B20"/>
    <w:rsid w:val="001411DC"/>
    <w:rsid w:val="001413A7"/>
    <w:rsid w:val="00141DC0"/>
    <w:rsid w:val="00141E01"/>
    <w:rsid w:val="00142056"/>
    <w:rsid w:val="00142733"/>
    <w:rsid w:val="001427EA"/>
    <w:rsid w:val="00142C79"/>
    <w:rsid w:val="00142D2C"/>
    <w:rsid w:val="001437F3"/>
    <w:rsid w:val="00143C99"/>
    <w:rsid w:val="00143CD0"/>
    <w:rsid w:val="00143E1B"/>
    <w:rsid w:val="001444F1"/>
    <w:rsid w:val="0014471E"/>
    <w:rsid w:val="00144A49"/>
    <w:rsid w:val="0014569C"/>
    <w:rsid w:val="001456FF"/>
    <w:rsid w:val="0014601C"/>
    <w:rsid w:val="00146192"/>
    <w:rsid w:val="00146453"/>
    <w:rsid w:val="00147038"/>
    <w:rsid w:val="001472D9"/>
    <w:rsid w:val="00147FB1"/>
    <w:rsid w:val="00150319"/>
    <w:rsid w:val="00150830"/>
    <w:rsid w:val="00150BD2"/>
    <w:rsid w:val="00150C2F"/>
    <w:rsid w:val="00150D31"/>
    <w:rsid w:val="0015120C"/>
    <w:rsid w:val="00151284"/>
    <w:rsid w:val="001515E0"/>
    <w:rsid w:val="00151C3D"/>
    <w:rsid w:val="00151D75"/>
    <w:rsid w:val="00152345"/>
    <w:rsid w:val="00152644"/>
    <w:rsid w:val="00152CCA"/>
    <w:rsid w:val="00152E80"/>
    <w:rsid w:val="00153209"/>
    <w:rsid w:val="00153399"/>
    <w:rsid w:val="00153721"/>
    <w:rsid w:val="00153969"/>
    <w:rsid w:val="0015408F"/>
    <w:rsid w:val="001548E3"/>
    <w:rsid w:val="00154D8B"/>
    <w:rsid w:val="001552F2"/>
    <w:rsid w:val="001557A0"/>
    <w:rsid w:val="00155FE5"/>
    <w:rsid w:val="00156602"/>
    <w:rsid w:val="0015660F"/>
    <w:rsid w:val="00156ACE"/>
    <w:rsid w:val="00157425"/>
    <w:rsid w:val="00160303"/>
    <w:rsid w:val="0016071D"/>
    <w:rsid w:val="00160D3F"/>
    <w:rsid w:val="00160E75"/>
    <w:rsid w:val="00161F84"/>
    <w:rsid w:val="001622A8"/>
    <w:rsid w:val="001622DC"/>
    <w:rsid w:val="00162853"/>
    <w:rsid w:val="00163067"/>
    <w:rsid w:val="0016331C"/>
    <w:rsid w:val="0016365D"/>
    <w:rsid w:val="00163698"/>
    <w:rsid w:val="0016396F"/>
    <w:rsid w:val="00164039"/>
    <w:rsid w:val="001641BB"/>
    <w:rsid w:val="00164255"/>
    <w:rsid w:val="00164409"/>
    <w:rsid w:val="00164AB4"/>
    <w:rsid w:val="00164C47"/>
    <w:rsid w:val="00164F59"/>
    <w:rsid w:val="001653FA"/>
    <w:rsid w:val="001653FC"/>
    <w:rsid w:val="001656C6"/>
    <w:rsid w:val="001662B8"/>
    <w:rsid w:val="001662D6"/>
    <w:rsid w:val="001668B4"/>
    <w:rsid w:val="00166BAF"/>
    <w:rsid w:val="00167455"/>
    <w:rsid w:val="00167A9F"/>
    <w:rsid w:val="00167F23"/>
    <w:rsid w:val="001700E9"/>
    <w:rsid w:val="00170A92"/>
    <w:rsid w:val="00171D10"/>
    <w:rsid w:val="00171D85"/>
    <w:rsid w:val="001729FF"/>
    <w:rsid w:val="00173036"/>
    <w:rsid w:val="00173674"/>
    <w:rsid w:val="00173689"/>
    <w:rsid w:val="001738E5"/>
    <w:rsid w:val="00173BE1"/>
    <w:rsid w:val="00173C96"/>
    <w:rsid w:val="00173FCE"/>
    <w:rsid w:val="001740BF"/>
    <w:rsid w:val="001744C6"/>
    <w:rsid w:val="001749B2"/>
    <w:rsid w:val="00174E31"/>
    <w:rsid w:val="001756DE"/>
    <w:rsid w:val="0017592C"/>
    <w:rsid w:val="00175CDC"/>
    <w:rsid w:val="00175D41"/>
    <w:rsid w:val="00175E0B"/>
    <w:rsid w:val="0017600E"/>
    <w:rsid w:val="0017611E"/>
    <w:rsid w:val="001764EE"/>
    <w:rsid w:val="00176721"/>
    <w:rsid w:val="0017694D"/>
    <w:rsid w:val="00176D8B"/>
    <w:rsid w:val="00177115"/>
    <w:rsid w:val="0017745F"/>
    <w:rsid w:val="001774FF"/>
    <w:rsid w:val="00180BCF"/>
    <w:rsid w:val="00180FA7"/>
    <w:rsid w:val="001814BA"/>
    <w:rsid w:val="00181D59"/>
    <w:rsid w:val="00181E5E"/>
    <w:rsid w:val="0018237E"/>
    <w:rsid w:val="00182401"/>
    <w:rsid w:val="001824DC"/>
    <w:rsid w:val="00182BA0"/>
    <w:rsid w:val="00182ED8"/>
    <w:rsid w:val="001832E1"/>
    <w:rsid w:val="001834E4"/>
    <w:rsid w:val="00183770"/>
    <w:rsid w:val="00183935"/>
    <w:rsid w:val="00184029"/>
    <w:rsid w:val="00184107"/>
    <w:rsid w:val="00184B05"/>
    <w:rsid w:val="00184C94"/>
    <w:rsid w:val="00185265"/>
    <w:rsid w:val="001859A4"/>
    <w:rsid w:val="00185BFC"/>
    <w:rsid w:val="001860A5"/>
    <w:rsid w:val="0018657A"/>
    <w:rsid w:val="00186CFD"/>
    <w:rsid w:val="00187307"/>
    <w:rsid w:val="00190460"/>
    <w:rsid w:val="00190778"/>
    <w:rsid w:val="00190F62"/>
    <w:rsid w:val="001915BE"/>
    <w:rsid w:val="00191604"/>
    <w:rsid w:val="00191CFC"/>
    <w:rsid w:val="00192252"/>
    <w:rsid w:val="00192689"/>
    <w:rsid w:val="0019280B"/>
    <w:rsid w:val="0019296F"/>
    <w:rsid w:val="00192D44"/>
    <w:rsid w:val="001930CF"/>
    <w:rsid w:val="00193382"/>
    <w:rsid w:val="0019353F"/>
    <w:rsid w:val="001937BC"/>
    <w:rsid w:val="00194284"/>
    <w:rsid w:val="00195025"/>
    <w:rsid w:val="001952BB"/>
    <w:rsid w:val="00195773"/>
    <w:rsid w:val="001958BE"/>
    <w:rsid w:val="00195DD2"/>
    <w:rsid w:val="0019667A"/>
    <w:rsid w:val="001968A2"/>
    <w:rsid w:val="00196BDB"/>
    <w:rsid w:val="00197A81"/>
    <w:rsid w:val="00197CE0"/>
    <w:rsid w:val="001A008F"/>
    <w:rsid w:val="001A0DB0"/>
    <w:rsid w:val="001A149D"/>
    <w:rsid w:val="001A1846"/>
    <w:rsid w:val="001A1B9E"/>
    <w:rsid w:val="001A243B"/>
    <w:rsid w:val="001A2685"/>
    <w:rsid w:val="001A2968"/>
    <w:rsid w:val="001A2BD9"/>
    <w:rsid w:val="001A3A98"/>
    <w:rsid w:val="001A3E14"/>
    <w:rsid w:val="001A455E"/>
    <w:rsid w:val="001A4914"/>
    <w:rsid w:val="001A4FE5"/>
    <w:rsid w:val="001A50B3"/>
    <w:rsid w:val="001A5341"/>
    <w:rsid w:val="001A5744"/>
    <w:rsid w:val="001A5D23"/>
    <w:rsid w:val="001A60E1"/>
    <w:rsid w:val="001A7B43"/>
    <w:rsid w:val="001A7CB3"/>
    <w:rsid w:val="001B0118"/>
    <w:rsid w:val="001B031C"/>
    <w:rsid w:val="001B0606"/>
    <w:rsid w:val="001B1504"/>
    <w:rsid w:val="001B16F3"/>
    <w:rsid w:val="001B1769"/>
    <w:rsid w:val="001B2944"/>
    <w:rsid w:val="001B2E6C"/>
    <w:rsid w:val="001B2EC4"/>
    <w:rsid w:val="001B32AC"/>
    <w:rsid w:val="001B33B6"/>
    <w:rsid w:val="001B34E0"/>
    <w:rsid w:val="001B34FD"/>
    <w:rsid w:val="001B362D"/>
    <w:rsid w:val="001B3B6F"/>
    <w:rsid w:val="001B3CEE"/>
    <w:rsid w:val="001B440E"/>
    <w:rsid w:val="001B5E48"/>
    <w:rsid w:val="001B60B8"/>
    <w:rsid w:val="001B6572"/>
    <w:rsid w:val="001B6A43"/>
    <w:rsid w:val="001B7119"/>
    <w:rsid w:val="001B73B7"/>
    <w:rsid w:val="001B7566"/>
    <w:rsid w:val="001B7AA9"/>
    <w:rsid w:val="001B7E9A"/>
    <w:rsid w:val="001B7EF8"/>
    <w:rsid w:val="001C0006"/>
    <w:rsid w:val="001C064A"/>
    <w:rsid w:val="001C0748"/>
    <w:rsid w:val="001C11A4"/>
    <w:rsid w:val="001C150D"/>
    <w:rsid w:val="001C1818"/>
    <w:rsid w:val="001C1BBA"/>
    <w:rsid w:val="001C1ED3"/>
    <w:rsid w:val="001C22EF"/>
    <w:rsid w:val="001C236E"/>
    <w:rsid w:val="001C25B3"/>
    <w:rsid w:val="001C26A2"/>
    <w:rsid w:val="001C270E"/>
    <w:rsid w:val="001C2867"/>
    <w:rsid w:val="001C2D27"/>
    <w:rsid w:val="001C30A6"/>
    <w:rsid w:val="001C3EFB"/>
    <w:rsid w:val="001C4289"/>
    <w:rsid w:val="001C459C"/>
    <w:rsid w:val="001C4729"/>
    <w:rsid w:val="001C4B51"/>
    <w:rsid w:val="001C4B5E"/>
    <w:rsid w:val="001C558C"/>
    <w:rsid w:val="001C55E9"/>
    <w:rsid w:val="001C5955"/>
    <w:rsid w:val="001C60A8"/>
    <w:rsid w:val="001C60E8"/>
    <w:rsid w:val="001C72D0"/>
    <w:rsid w:val="001C7640"/>
    <w:rsid w:val="001D0468"/>
    <w:rsid w:val="001D0694"/>
    <w:rsid w:val="001D0C8E"/>
    <w:rsid w:val="001D1DF1"/>
    <w:rsid w:val="001D22A3"/>
    <w:rsid w:val="001D2593"/>
    <w:rsid w:val="001D25B4"/>
    <w:rsid w:val="001D2717"/>
    <w:rsid w:val="001D2FBB"/>
    <w:rsid w:val="001D383B"/>
    <w:rsid w:val="001D414D"/>
    <w:rsid w:val="001D422E"/>
    <w:rsid w:val="001D43F9"/>
    <w:rsid w:val="001D4E10"/>
    <w:rsid w:val="001D540B"/>
    <w:rsid w:val="001D57F1"/>
    <w:rsid w:val="001D5A71"/>
    <w:rsid w:val="001D5BA0"/>
    <w:rsid w:val="001D5D2A"/>
    <w:rsid w:val="001D6365"/>
    <w:rsid w:val="001D663D"/>
    <w:rsid w:val="001D6782"/>
    <w:rsid w:val="001D739F"/>
    <w:rsid w:val="001D7745"/>
    <w:rsid w:val="001D784F"/>
    <w:rsid w:val="001D7A5C"/>
    <w:rsid w:val="001D7D81"/>
    <w:rsid w:val="001E039D"/>
    <w:rsid w:val="001E0ACF"/>
    <w:rsid w:val="001E0CC1"/>
    <w:rsid w:val="001E1166"/>
    <w:rsid w:val="001E15C3"/>
    <w:rsid w:val="001E19E8"/>
    <w:rsid w:val="001E2024"/>
    <w:rsid w:val="001E2335"/>
    <w:rsid w:val="001E25D9"/>
    <w:rsid w:val="001E2D13"/>
    <w:rsid w:val="001E2E86"/>
    <w:rsid w:val="001E39A9"/>
    <w:rsid w:val="001E39EE"/>
    <w:rsid w:val="001E3BCF"/>
    <w:rsid w:val="001E43B5"/>
    <w:rsid w:val="001E54BE"/>
    <w:rsid w:val="001E586A"/>
    <w:rsid w:val="001E5878"/>
    <w:rsid w:val="001E5CCD"/>
    <w:rsid w:val="001E6D95"/>
    <w:rsid w:val="001E760D"/>
    <w:rsid w:val="001E764C"/>
    <w:rsid w:val="001E7978"/>
    <w:rsid w:val="001E7B52"/>
    <w:rsid w:val="001E7CDA"/>
    <w:rsid w:val="001F0158"/>
    <w:rsid w:val="001F0356"/>
    <w:rsid w:val="001F0D5B"/>
    <w:rsid w:val="001F10BD"/>
    <w:rsid w:val="001F10DC"/>
    <w:rsid w:val="001F1296"/>
    <w:rsid w:val="001F1ECD"/>
    <w:rsid w:val="001F33E6"/>
    <w:rsid w:val="001F368E"/>
    <w:rsid w:val="001F51F0"/>
    <w:rsid w:val="001F54FE"/>
    <w:rsid w:val="001F55E0"/>
    <w:rsid w:val="001F5B18"/>
    <w:rsid w:val="001F5D6D"/>
    <w:rsid w:val="001F5F6F"/>
    <w:rsid w:val="001F6D38"/>
    <w:rsid w:val="001F727C"/>
    <w:rsid w:val="001F75AD"/>
    <w:rsid w:val="001F75C9"/>
    <w:rsid w:val="001F7C65"/>
    <w:rsid w:val="0020040D"/>
    <w:rsid w:val="00200E5A"/>
    <w:rsid w:val="00200E85"/>
    <w:rsid w:val="00200F94"/>
    <w:rsid w:val="00201BF0"/>
    <w:rsid w:val="00201E8E"/>
    <w:rsid w:val="0020205F"/>
    <w:rsid w:val="00203A65"/>
    <w:rsid w:val="00203DF6"/>
    <w:rsid w:val="00203F44"/>
    <w:rsid w:val="002046DA"/>
    <w:rsid w:val="00204856"/>
    <w:rsid w:val="002058BE"/>
    <w:rsid w:val="002058FE"/>
    <w:rsid w:val="00205A81"/>
    <w:rsid w:val="00206311"/>
    <w:rsid w:val="00207048"/>
    <w:rsid w:val="00207267"/>
    <w:rsid w:val="00207304"/>
    <w:rsid w:val="00207A1F"/>
    <w:rsid w:val="00207A7C"/>
    <w:rsid w:val="00207E24"/>
    <w:rsid w:val="00210626"/>
    <w:rsid w:val="002107A6"/>
    <w:rsid w:val="002109A3"/>
    <w:rsid w:val="00210EE0"/>
    <w:rsid w:val="002113BC"/>
    <w:rsid w:val="00211708"/>
    <w:rsid w:val="00211842"/>
    <w:rsid w:val="00212907"/>
    <w:rsid w:val="00212AE7"/>
    <w:rsid w:val="00212D24"/>
    <w:rsid w:val="002134BA"/>
    <w:rsid w:val="00213887"/>
    <w:rsid w:val="00213BAD"/>
    <w:rsid w:val="0021415F"/>
    <w:rsid w:val="002143F4"/>
    <w:rsid w:val="00214534"/>
    <w:rsid w:val="00214B23"/>
    <w:rsid w:val="00214CD5"/>
    <w:rsid w:val="002151CF"/>
    <w:rsid w:val="0021590D"/>
    <w:rsid w:val="00215935"/>
    <w:rsid w:val="00215A5D"/>
    <w:rsid w:val="00215C8A"/>
    <w:rsid w:val="00215CCB"/>
    <w:rsid w:val="00216805"/>
    <w:rsid w:val="00216847"/>
    <w:rsid w:val="00216E9B"/>
    <w:rsid w:val="0021767D"/>
    <w:rsid w:val="00217B89"/>
    <w:rsid w:val="00217BA9"/>
    <w:rsid w:val="00217C42"/>
    <w:rsid w:val="00220122"/>
    <w:rsid w:val="00220CCF"/>
    <w:rsid w:val="00221035"/>
    <w:rsid w:val="00221076"/>
    <w:rsid w:val="0022137C"/>
    <w:rsid w:val="002213D5"/>
    <w:rsid w:val="0022188E"/>
    <w:rsid w:val="00221B75"/>
    <w:rsid w:val="0022203B"/>
    <w:rsid w:val="00222742"/>
    <w:rsid w:val="00222811"/>
    <w:rsid w:val="002228E0"/>
    <w:rsid w:val="00222BDF"/>
    <w:rsid w:val="00223023"/>
    <w:rsid w:val="0022302B"/>
    <w:rsid w:val="00223597"/>
    <w:rsid w:val="00223D66"/>
    <w:rsid w:val="0022442B"/>
    <w:rsid w:val="00224A80"/>
    <w:rsid w:val="002251CE"/>
    <w:rsid w:val="002258B7"/>
    <w:rsid w:val="00225913"/>
    <w:rsid w:val="00225D17"/>
    <w:rsid w:val="00226488"/>
    <w:rsid w:val="0022657E"/>
    <w:rsid w:val="0022675A"/>
    <w:rsid w:val="00226A24"/>
    <w:rsid w:val="002270E9"/>
    <w:rsid w:val="0022755A"/>
    <w:rsid w:val="00227A0F"/>
    <w:rsid w:val="00227BDE"/>
    <w:rsid w:val="00227D95"/>
    <w:rsid w:val="00227FB1"/>
    <w:rsid w:val="00230138"/>
    <w:rsid w:val="00230547"/>
    <w:rsid w:val="002306CC"/>
    <w:rsid w:val="00230CF2"/>
    <w:rsid w:val="0023164E"/>
    <w:rsid w:val="002318A1"/>
    <w:rsid w:val="00231B0A"/>
    <w:rsid w:val="00232455"/>
    <w:rsid w:val="0023249F"/>
    <w:rsid w:val="00232BC3"/>
    <w:rsid w:val="00232E05"/>
    <w:rsid w:val="00233945"/>
    <w:rsid w:val="0023436B"/>
    <w:rsid w:val="002343EE"/>
    <w:rsid w:val="0023440B"/>
    <w:rsid w:val="00234A8F"/>
    <w:rsid w:val="00235A46"/>
    <w:rsid w:val="00235C7F"/>
    <w:rsid w:val="002365B5"/>
    <w:rsid w:val="00236AFB"/>
    <w:rsid w:val="00236B80"/>
    <w:rsid w:val="00236FF6"/>
    <w:rsid w:val="002370C6"/>
    <w:rsid w:val="0023722C"/>
    <w:rsid w:val="002373A9"/>
    <w:rsid w:val="00237476"/>
    <w:rsid w:val="00237AE3"/>
    <w:rsid w:val="002400B5"/>
    <w:rsid w:val="002400ED"/>
    <w:rsid w:val="002401E5"/>
    <w:rsid w:val="002401F6"/>
    <w:rsid w:val="00240917"/>
    <w:rsid w:val="0024168D"/>
    <w:rsid w:val="002422FE"/>
    <w:rsid w:val="002425AF"/>
    <w:rsid w:val="002428C8"/>
    <w:rsid w:val="00242D8C"/>
    <w:rsid w:val="0024311A"/>
    <w:rsid w:val="00243606"/>
    <w:rsid w:val="00243764"/>
    <w:rsid w:val="00243B75"/>
    <w:rsid w:val="0024417F"/>
    <w:rsid w:val="00244645"/>
    <w:rsid w:val="00244671"/>
    <w:rsid w:val="0024485E"/>
    <w:rsid w:val="00244B58"/>
    <w:rsid w:val="002451B1"/>
    <w:rsid w:val="00245B15"/>
    <w:rsid w:val="00245BC3"/>
    <w:rsid w:val="00245D93"/>
    <w:rsid w:val="00245FE4"/>
    <w:rsid w:val="00246101"/>
    <w:rsid w:val="0024633A"/>
    <w:rsid w:val="00246418"/>
    <w:rsid w:val="00246BEA"/>
    <w:rsid w:val="00246D1B"/>
    <w:rsid w:val="00246E39"/>
    <w:rsid w:val="00247329"/>
    <w:rsid w:val="00247B2D"/>
    <w:rsid w:val="00247F74"/>
    <w:rsid w:val="0025042A"/>
    <w:rsid w:val="00250475"/>
    <w:rsid w:val="00250550"/>
    <w:rsid w:val="00250ACA"/>
    <w:rsid w:val="0025127D"/>
    <w:rsid w:val="00251A6E"/>
    <w:rsid w:val="00251E93"/>
    <w:rsid w:val="00252469"/>
    <w:rsid w:val="002526EA"/>
    <w:rsid w:val="00252B7F"/>
    <w:rsid w:val="00253112"/>
    <w:rsid w:val="0025337E"/>
    <w:rsid w:val="002533BB"/>
    <w:rsid w:val="00253475"/>
    <w:rsid w:val="002535E8"/>
    <w:rsid w:val="00253D45"/>
    <w:rsid w:val="002549A0"/>
    <w:rsid w:val="0025511D"/>
    <w:rsid w:val="0025529E"/>
    <w:rsid w:val="00255523"/>
    <w:rsid w:val="002555CD"/>
    <w:rsid w:val="002556B5"/>
    <w:rsid w:val="00255BFE"/>
    <w:rsid w:val="00256969"/>
    <w:rsid w:val="00256D35"/>
    <w:rsid w:val="0025705D"/>
    <w:rsid w:val="002570E8"/>
    <w:rsid w:val="00257B13"/>
    <w:rsid w:val="00257BF1"/>
    <w:rsid w:val="00257C62"/>
    <w:rsid w:val="002608AF"/>
    <w:rsid w:val="00260A6B"/>
    <w:rsid w:val="00260C73"/>
    <w:rsid w:val="00260E30"/>
    <w:rsid w:val="0026117F"/>
    <w:rsid w:val="00261709"/>
    <w:rsid w:val="00261EFC"/>
    <w:rsid w:val="00261F78"/>
    <w:rsid w:val="0026262E"/>
    <w:rsid w:val="00262CF2"/>
    <w:rsid w:val="00263674"/>
    <w:rsid w:val="00263741"/>
    <w:rsid w:val="00263C7D"/>
    <w:rsid w:val="00263CCD"/>
    <w:rsid w:val="00263D04"/>
    <w:rsid w:val="00264097"/>
    <w:rsid w:val="002643DA"/>
    <w:rsid w:val="0026474F"/>
    <w:rsid w:val="00264A42"/>
    <w:rsid w:val="0026542D"/>
    <w:rsid w:val="0026600C"/>
    <w:rsid w:val="002665BB"/>
    <w:rsid w:val="00266968"/>
    <w:rsid w:val="00266D7E"/>
    <w:rsid w:val="00266F82"/>
    <w:rsid w:val="0026721B"/>
    <w:rsid w:val="002672DB"/>
    <w:rsid w:val="00267651"/>
    <w:rsid w:val="00267CA4"/>
    <w:rsid w:val="00270B05"/>
    <w:rsid w:val="00270D41"/>
    <w:rsid w:val="002713B7"/>
    <w:rsid w:val="002718D6"/>
    <w:rsid w:val="00271F73"/>
    <w:rsid w:val="00271F86"/>
    <w:rsid w:val="00272341"/>
    <w:rsid w:val="00272463"/>
    <w:rsid w:val="00272494"/>
    <w:rsid w:val="00272A52"/>
    <w:rsid w:val="00272C4F"/>
    <w:rsid w:val="0027340E"/>
    <w:rsid w:val="00274C3A"/>
    <w:rsid w:val="00274E8B"/>
    <w:rsid w:val="00274EB6"/>
    <w:rsid w:val="002752FE"/>
    <w:rsid w:val="00275418"/>
    <w:rsid w:val="00275506"/>
    <w:rsid w:val="0027569A"/>
    <w:rsid w:val="00275D9C"/>
    <w:rsid w:val="00275FF9"/>
    <w:rsid w:val="00276279"/>
    <w:rsid w:val="00276E2C"/>
    <w:rsid w:val="00276F9D"/>
    <w:rsid w:val="002771F5"/>
    <w:rsid w:val="0027758A"/>
    <w:rsid w:val="00277694"/>
    <w:rsid w:val="002777E8"/>
    <w:rsid w:val="00277875"/>
    <w:rsid w:val="002778A1"/>
    <w:rsid w:val="00277AD4"/>
    <w:rsid w:val="00277C13"/>
    <w:rsid w:val="00277F76"/>
    <w:rsid w:val="00280C38"/>
    <w:rsid w:val="002818D7"/>
    <w:rsid w:val="00281AEE"/>
    <w:rsid w:val="00281FF0"/>
    <w:rsid w:val="0028205D"/>
    <w:rsid w:val="0028246C"/>
    <w:rsid w:val="0028280C"/>
    <w:rsid w:val="00283141"/>
    <w:rsid w:val="002832E7"/>
    <w:rsid w:val="002838B1"/>
    <w:rsid w:val="002839F8"/>
    <w:rsid w:val="00283A8F"/>
    <w:rsid w:val="00284660"/>
    <w:rsid w:val="00284925"/>
    <w:rsid w:val="00284A87"/>
    <w:rsid w:val="0028536C"/>
    <w:rsid w:val="00285925"/>
    <w:rsid w:val="002859C5"/>
    <w:rsid w:val="00285B9C"/>
    <w:rsid w:val="00285BB1"/>
    <w:rsid w:val="00285FC1"/>
    <w:rsid w:val="0028603B"/>
    <w:rsid w:val="00286549"/>
    <w:rsid w:val="00286617"/>
    <w:rsid w:val="00286995"/>
    <w:rsid w:val="00286C60"/>
    <w:rsid w:val="00286C91"/>
    <w:rsid w:val="002873B6"/>
    <w:rsid w:val="002873E5"/>
    <w:rsid w:val="00287526"/>
    <w:rsid w:val="00287C67"/>
    <w:rsid w:val="00287D1C"/>
    <w:rsid w:val="00290093"/>
    <w:rsid w:val="00290099"/>
    <w:rsid w:val="002904D9"/>
    <w:rsid w:val="00290A54"/>
    <w:rsid w:val="002910CD"/>
    <w:rsid w:val="002917A9"/>
    <w:rsid w:val="0029181A"/>
    <w:rsid w:val="00291BB8"/>
    <w:rsid w:val="00291CC2"/>
    <w:rsid w:val="00291D79"/>
    <w:rsid w:val="002929C6"/>
    <w:rsid w:val="00292A1C"/>
    <w:rsid w:val="002942AC"/>
    <w:rsid w:val="00294737"/>
    <w:rsid w:val="00294800"/>
    <w:rsid w:val="002956DE"/>
    <w:rsid w:val="00295C46"/>
    <w:rsid w:val="00295E47"/>
    <w:rsid w:val="00297481"/>
    <w:rsid w:val="00297633"/>
    <w:rsid w:val="00297997"/>
    <w:rsid w:val="00297E44"/>
    <w:rsid w:val="002A0322"/>
    <w:rsid w:val="002A048A"/>
    <w:rsid w:val="002A0BC3"/>
    <w:rsid w:val="002A0C39"/>
    <w:rsid w:val="002A0D3A"/>
    <w:rsid w:val="002A0F6A"/>
    <w:rsid w:val="002A11F9"/>
    <w:rsid w:val="002A133C"/>
    <w:rsid w:val="002A2069"/>
    <w:rsid w:val="002A269E"/>
    <w:rsid w:val="002A3122"/>
    <w:rsid w:val="002A3683"/>
    <w:rsid w:val="002A3A13"/>
    <w:rsid w:val="002A3FF9"/>
    <w:rsid w:val="002A502B"/>
    <w:rsid w:val="002A5120"/>
    <w:rsid w:val="002A53D5"/>
    <w:rsid w:val="002A56B6"/>
    <w:rsid w:val="002A6AA5"/>
    <w:rsid w:val="002A6DD2"/>
    <w:rsid w:val="002A7084"/>
    <w:rsid w:val="002A7507"/>
    <w:rsid w:val="002A7AF3"/>
    <w:rsid w:val="002A7C78"/>
    <w:rsid w:val="002A7C79"/>
    <w:rsid w:val="002A7EEC"/>
    <w:rsid w:val="002B04F2"/>
    <w:rsid w:val="002B094C"/>
    <w:rsid w:val="002B0A28"/>
    <w:rsid w:val="002B0B39"/>
    <w:rsid w:val="002B11BE"/>
    <w:rsid w:val="002B15CF"/>
    <w:rsid w:val="002B196B"/>
    <w:rsid w:val="002B1A10"/>
    <w:rsid w:val="002B2347"/>
    <w:rsid w:val="002B2AE5"/>
    <w:rsid w:val="002B2B15"/>
    <w:rsid w:val="002B2CBA"/>
    <w:rsid w:val="002B308D"/>
    <w:rsid w:val="002B322F"/>
    <w:rsid w:val="002B32FF"/>
    <w:rsid w:val="002B35FE"/>
    <w:rsid w:val="002B38BC"/>
    <w:rsid w:val="002B3AB0"/>
    <w:rsid w:val="002B4381"/>
    <w:rsid w:val="002B440B"/>
    <w:rsid w:val="002B4B78"/>
    <w:rsid w:val="002B54CF"/>
    <w:rsid w:val="002B5697"/>
    <w:rsid w:val="002B6389"/>
    <w:rsid w:val="002B6A79"/>
    <w:rsid w:val="002B7E80"/>
    <w:rsid w:val="002C0038"/>
    <w:rsid w:val="002C0D8A"/>
    <w:rsid w:val="002C0F7D"/>
    <w:rsid w:val="002C13BA"/>
    <w:rsid w:val="002C1587"/>
    <w:rsid w:val="002C175A"/>
    <w:rsid w:val="002C1C22"/>
    <w:rsid w:val="002C1F44"/>
    <w:rsid w:val="002C23EE"/>
    <w:rsid w:val="002C28CA"/>
    <w:rsid w:val="002C29FC"/>
    <w:rsid w:val="002C2A37"/>
    <w:rsid w:val="002C2E2A"/>
    <w:rsid w:val="002C3176"/>
    <w:rsid w:val="002C317A"/>
    <w:rsid w:val="002C32D2"/>
    <w:rsid w:val="002C375A"/>
    <w:rsid w:val="002C4450"/>
    <w:rsid w:val="002C4A66"/>
    <w:rsid w:val="002C4B46"/>
    <w:rsid w:val="002C4C80"/>
    <w:rsid w:val="002C4D0A"/>
    <w:rsid w:val="002C5243"/>
    <w:rsid w:val="002C59FA"/>
    <w:rsid w:val="002C5A15"/>
    <w:rsid w:val="002C5BA2"/>
    <w:rsid w:val="002C5BAA"/>
    <w:rsid w:val="002C619F"/>
    <w:rsid w:val="002C6463"/>
    <w:rsid w:val="002C6688"/>
    <w:rsid w:val="002C702B"/>
    <w:rsid w:val="002C70F4"/>
    <w:rsid w:val="002C71EB"/>
    <w:rsid w:val="002C7381"/>
    <w:rsid w:val="002C77DC"/>
    <w:rsid w:val="002C7887"/>
    <w:rsid w:val="002C7961"/>
    <w:rsid w:val="002C7FDF"/>
    <w:rsid w:val="002D1DF2"/>
    <w:rsid w:val="002D1EF8"/>
    <w:rsid w:val="002D2126"/>
    <w:rsid w:val="002D2381"/>
    <w:rsid w:val="002D26F6"/>
    <w:rsid w:val="002D2E12"/>
    <w:rsid w:val="002D39DD"/>
    <w:rsid w:val="002D44D7"/>
    <w:rsid w:val="002D4E1C"/>
    <w:rsid w:val="002D4F9E"/>
    <w:rsid w:val="002D5084"/>
    <w:rsid w:val="002D527E"/>
    <w:rsid w:val="002D53A1"/>
    <w:rsid w:val="002D5942"/>
    <w:rsid w:val="002D6672"/>
    <w:rsid w:val="002D6A3F"/>
    <w:rsid w:val="002D76C7"/>
    <w:rsid w:val="002D7AEC"/>
    <w:rsid w:val="002D7BCA"/>
    <w:rsid w:val="002D7D0A"/>
    <w:rsid w:val="002D7F96"/>
    <w:rsid w:val="002E0708"/>
    <w:rsid w:val="002E0785"/>
    <w:rsid w:val="002E0F63"/>
    <w:rsid w:val="002E11C7"/>
    <w:rsid w:val="002E2124"/>
    <w:rsid w:val="002E2158"/>
    <w:rsid w:val="002E2389"/>
    <w:rsid w:val="002E24AC"/>
    <w:rsid w:val="002E26FA"/>
    <w:rsid w:val="002E2DDF"/>
    <w:rsid w:val="002E3513"/>
    <w:rsid w:val="002E42B9"/>
    <w:rsid w:val="002E4A3F"/>
    <w:rsid w:val="002E4DCD"/>
    <w:rsid w:val="002E4E84"/>
    <w:rsid w:val="002E4FA9"/>
    <w:rsid w:val="002E5193"/>
    <w:rsid w:val="002E51F4"/>
    <w:rsid w:val="002E56D4"/>
    <w:rsid w:val="002E5733"/>
    <w:rsid w:val="002E57A2"/>
    <w:rsid w:val="002E5893"/>
    <w:rsid w:val="002E6125"/>
    <w:rsid w:val="002E62A0"/>
    <w:rsid w:val="002E6C2E"/>
    <w:rsid w:val="002E6CBE"/>
    <w:rsid w:val="002E6D30"/>
    <w:rsid w:val="002E6E27"/>
    <w:rsid w:val="002E7290"/>
    <w:rsid w:val="002F042B"/>
    <w:rsid w:val="002F04A0"/>
    <w:rsid w:val="002F04B4"/>
    <w:rsid w:val="002F0660"/>
    <w:rsid w:val="002F07A2"/>
    <w:rsid w:val="002F08D2"/>
    <w:rsid w:val="002F096D"/>
    <w:rsid w:val="002F0ECA"/>
    <w:rsid w:val="002F0F44"/>
    <w:rsid w:val="002F1066"/>
    <w:rsid w:val="002F1374"/>
    <w:rsid w:val="002F14BA"/>
    <w:rsid w:val="002F17ED"/>
    <w:rsid w:val="002F1B98"/>
    <w:rsid w:val="002F1F90"/>
    <w:rsid w:val="002F229B"/>
    <w:rsid w:val="002F2325"/>
    <w:rsid w:val="002F2420"/>
    <w:rsid w:val="002F4414"/>
    <w:rsid w:val="002F46B8"/>
    <w:rsid w:val="002F4C33"/>
    <w:rsid w:val="002F4E09"/>
    <w:rsid w:val="002F5F52"/>
    <w:rsid w:val="002F64CC"/>
    <w:rsid w:val="002F6696"/>
    <w:rsid w:val="002F6DF6"/>
    <w:rsid w:val="002F73D0"/>
    <w:rsid w:val="002F74B2"/>
    <w:rsid w:val="003000F6"/>
    <w:rsid w:val="003004D9"/>
    <w:rsid w:val="003010F9"/>
    <w:rsid w:val="0030138C"/>
    <w:rsid w:val="00301AA3"/>
    <w:rsid w:val="00301FCC"/>
    <w:rsid w:val="003029C2"/>
    <w:rsid w:val="00302CBB"/>
    <w:rsid w:val="00303C61"/>
    <w:rsid w:val="00303D3F"/>
    <w:rsid w:val="00303D9E"/>
    <w:rsid w:val="0030403E"/>
    <w:rsid w:val="00304778"/>
    <w:rsid w:val="00304D20"/>
    <w:rsid w:val="00306EE5"/>
    <w:rsid w:val="0030738A"/>
    <w:rsid w:val="0030759E"/>
    <w:rsid w:val="00307D48"/>
    <w:rsid w:val="00310243"/>
    <w:rsid w:val="00311008"/>
    <w:rsid w:val="00311107"/>
    <w:rsid w:val="0031187A"/>
    <w:rsid w:val="00312586"/>
    <w:rsid w:val="00312CC9"/>
    <w:rsid w:val="00312F40"/>
    <w:rsid w:val="003133DD"/>
    <w:rsid w:val="00313439"/>
    <w:rsid w:val="00313562"/>
    <w:rsid w:val="003136B5"/>
    <w:rsid w:val="00313F9C"/>
    <w:rsid w:val="00314279"/>
    <w:rsid w:val="0031492D"/>
    <w:rsid w:val="003155E5"/>
    <w:rsid w:val="00315643"/>
    <w:rsid w:val="0031590F"/>
    <w:rsid w:val="00316100"/>
    <w:rsid w:val="003165B2"/>
    <w:rsid w:val="00316C69"/>
    <w:rsid w:val="003170DE"/>
    <w:rsid w:val="00317293"/>
    <w:rsid w:val="00317E78"/>
    <w:rsid w:val="00320F69"/>
    <w:rsid w:val="00320F71"/>
    <w:rsid w:val="00320FFF"/>
    <w:rsid w:val="00321469"/>
    <w:rsid w:val="003214D6"/>
    <w:rsid w:val="00321C98"/>
    <w:rsid w:val="0032245F"/>
    <w:rsid w:val="00322661"/>
    <w:rsid w:val="003228CB"/>
    <w:rsid w:val="00322AF2"/>
    <w:rsid w:val="00322D91"/>
    <w:rsid w:val="0032340F"/>
    <w:rsid w:val="00323715"/>
    <w:rsid w:val="00323873"/>
    <w:rsid w:val="0032389B"/>
    <w:rsid w:val="0032398B"/>
    <w:rsid w:val="0032398D"/>
    <w:rsid w:val="00323D96"/>
    <w:rsid w:val="003242AE"/>
    <w:rsid w:val="00324794"/>
    <w:rsid w:val="0032495A"/>
    <w:rsid w:val="00324982"/>
    <w:rsid w:val="0032513D"/>
    <w:rsid w:val="003254DF"/>
    <w:rsid w:val="00325D8D"/>
    <w:rsid w:val="00326154"/>
    <w:rsid w:val="00326487"/>
    <w:rsid w:val="0032650A"/>
    <w:rsid w:val="003266A4"/>
    <w:rsid w:val="003267CF"/>
    <w:rsid w:val="00326BCA"/>
    <w:rsid w:val="003279E9"/>
    <w:rsid w:val="00327CA1"/>
    <w:rsid w:val="00327EC4"/>
    <w:rsid w:val="0033002F"/>
    <w:rsid w:val="0033029C"/>
    <w:rsid w:val="003302E1"/>
    <w:rsid w:val="0033038C"/>
    <w:rsid w:val="00330679"/>
    <w:rsid w:val="00330721"/>
    <w:rsid w:val="00330BEF"/>
    <w:rsid w:val="003319C8"/>
    <w:rsid w:val="00331A4B"/>
    <w:rsid w:val="00332072"/>
    <w:rsid w:val="0033257A"/>
    <w:rsid w:val="00333429"/>
    <w:rsid w:val="00333BD6"/>
    <w:rsid w:val="00333D70"/>
    <w:rsid w:val="00333E8C"/>
    <w:rsid w:val="003346A7"/>
    <w:rsid w:val="00334BC7"/>
    <w:rsid w:val="00334FBA"/>
    <w:rsid w:val="0033502D"/>
    <w:rsid w:val="00335042"/>
    <w:rsid w:val="003358E0"/>
    <w:rsid w:val="00336079"/>
    <w:rsid w:val="0033681C"/>
    <w:rsid w:val="00336886"/>
    <w:rsid w:val="00336A78"/>
    <w:rsid w:val="00336AD5"/>
    <w:rsid w:val="00337556"/>
    <w:rsid w:val="00337752"/>
    <w:rsid w:val="00337757"/>
    <w:rsid w:val="00337794"/>
    <w:rsid w:val="003377E6"/>
    <w:rsid w:val="00337F97"/>
    <w:rsid w:val="0034011D"/>
    <w:rsid w:val="00340129"/>
    <w:rsid w:val="0034019E"/>
    <w:rsid w:val="00340E61"/>
    <w:rsid w:val="00340F30"/>
    <w:rsid w:val="00341156"/>
    <w:rsid w:val="00341213"/>
    <w:rsid w:val="00341373"/>
    <w:rsid w:val="00341520"/>
    <w:rsid w:val="00341797"/>
    <w:rsid w:val="00342235"/>
    <w:rsid w:val="003422A6"/>
    <w:rsid w:val="003424E6"/>
    <w:rsid w:val="00342A21"/>
    <w:rsid w:val="00342CB1"/>
    <w:rsid w:val="003431ED"/>
    <w:rsid w:val="00343569"/>
    <w:rsid w:val="00343887"/>
    <w:rsid w:val="003438B0"/>
    <w:rsid w:val="00343E1E"/>
    <w:rsid w:val="00344133"/>
    <w:rsid w:val="003442F7"/>
    <w:rsid w:val="00344632"/>
    <w:rsid w:val="00344EDA"/>
    <w:rsid w:val="00345121"/>
    <w:rsid w:val="003459BF"/>
    <w:rsid w:val="00346379"/>
    <w:rsid w:val="003464D3"/>
    <w:rsid w:val="003467EC"/>
    <w:rsid w:val="00346B9B"/>
    <w:rsid w:val="00347A2C"/>
    <w:rsid w:val="00347C00"/>
    <w:rsid w:val="00347FBC"/>
    <w:rsid w:val="0035294C"/>
    <w:rsid w:val="003538FA"/>
    <w:rsid w:val="00353D97"/>
    <w:rsid w:val="00353DC9"/>
    <w:rsid w:val="0035407E"/>
    <w:rsid w:val="003540D3"/>
    <w:rsid w:val="003542B4"/>
    <w:rsid w:val="003552C1"/>
    <w:rsid w:val="00355545"/>
    <w:rsid w:val="00355657"/>
    <w:rsid w:val="00355735"/>
    <w:rsid w:val="00356784"/>
    <w:rsid w:val="00356AEF"/>
    <w:rsid w:val="00356C16"/>
    <w:rsid w:val="00356E55"/>
    <w:rsid w:val="00357146"/>
    <w:rsid w:val="003579ED"/>
    <w:rsid w:val="00357AB4"/>
    <w:rsid w:val="00361064"/>
    <w:rsid w:val="003621E7"/>
    <w:rsid w:val="003627F3"/>
    <w:rsid w:val="003629C1"/>
    <w:rsid w:val="0036305A"/>
    <w:rsid w:val="00363060"/>
    <w:rsid w:val="003632C8"/>
    <w:rsid w:val="00363A43"/>
    <w:rsid w:val="00364044"/>
    <w:rsid w:val="003642DD"/>
    <w:rsid w:val="0036533E"/>
    <w:rsid w:val="00365B0A"/>
    <w:rsid w:val="00365BD2"/>
    <w:rsid w:val="003665BF"/>
    <w:rsid w:val="00367C0D"/>
    <w:rsid w:val="00367D43"/>
    <w:rsid w:val="00370334"/>
    <w:rsid w:val="00370616"/>
    <w:rsid w:val="003707F9"/>
    <w:rsid w:val="00370977"/>
    <w:rsid w:val="0037098A"/>
    <w:rsid w:val="00370C84"/>
    <w:rsid w:val="003719C3"/>
    <w:rsid w:val="00371E21"/>
    <w:rsid w:val="00372087"/>
    <w:rsid w:val="0037246F"/>
    <w:rsid w:val="00372C14"/>
    <w:rsid w:val="003730D6"/>
    <w:rsid w:val="0037329A"/>
    <w:rsid w:val="00373417"/>
    <w:rsid w:val="00374211"/>
    <w:rsid w:val="00375346"/>
    <w:rsid w:val="00375858"/>
    <w:rsid w:val="00375B63"/>
    <w:rsid w:val="00375CB9"/>
    <w:rsid w:val="00375E6C"/>
    <w:rsid w:val="003760E7"/>
    <w:rsid w:val="003761FB"/>
    <w:rsid w:val="00376283"/>
    <w:rsid w:val="003765FB"/>
    <w:rsid w:val="003775AB"/>
    <w:rsid w:val="003778E8"/>
    <w:rsid w:val="00377A25"/>
    <w:rsid w:val="00377D17"/>
    <w:rsid w:val="00380648"/>
    <w:rsid w:val="003808D0"/>
    <w:rsid w:val="00380D68"/>
    <w:rsid w:val="003811FF"/>
    <w:rsid w:val="003816EF"/>
    <w:rsid w:val="00381B51"/>
    <w:rsid w:val="00381E63"/>
    <w:rsid w:val="00382000"/>
    <w:rsid w:val="0038262C"/>
    <w:rsid w:val="00382668"/>
    <w:rsid w:val="00382B6D"/>
    <w:rsid w:val="003838B5"/>
    <w:rsid w:val="00383907"/>
    <w:rsid w:val="00384D0F"/>
    <w:rsid w:val="00384EAD"/>
    <w:rsid w:val="003852D6"/>
    <w:rsid w:val="00385C0F"/>
    <w:rsid w:val="00385F1A"/>
    <w:rsid w:val="003862F1"/>
    <w:rsid w:val="00386483"/>
    <w:rsid w:val="003864F3"/>
    <w:rsid w:val="0038694A"/>
    <w:rsid w:val="00386BEB"/>
    <w:rsid w:val="00386EDD"/>
    <w:rsid w:val="0038709A"/>
    <w:rsid w:val="00387B36"/>
    <w:rsid w:val="0039026B"/>
    <w:rsid w:val="00390622"/>
    <w:rsid w:val="003906A8"/>
    <w:rsid w:val="003909AB"/>
    <w:rsid w:val="00390E4E"/>
    <w:rsid w:val="00390FA4"/>
    <w:rsid w:val="003910E6"/>
    <w:rsid w:val="00391232"/>
    <w:rsid w:val="00391391"/>
    <w:rsid w:val="003917F9"/>
    <w:rsid w:val="00391D67"/>
    <w:rsid w:val="00391F7F"/>
    <w:rsid w:val="003929C7"/>
    <w:rsid w:val="0039316C"/>
    <w:rsid w:val="00393479"/>
    <w:rsid w:val="003935AA"/>
    <w:rsid w:val="0039374F"/>
    <w:rsid w:val="00393858"/>
    <w:rsid w:val="00393BC6"/>
    <w:rsid w:val="00394AB6"/>
    <w:rsid w:val="00394D8A"/>
    <w:rsid w:val="00394F31"/>
    <w:rsid w:val="0039505C"/>
    <w:rsid w:val="0039551A"/>
    <w:rsid w:val="00395599"/>
    <w:rsid w:val="003956BD"/>
    <w:rsid w:val="0039591B"/>
    <w:rsid w:val="00396A82"/>
    <w:rsid w:val="00397128"/>
    <w:rsid w:val="0039776B"/>
    <w:rsid w:val="003A011E"/>
    <w:rsid w:val="003A092A"/>
    <w:rsid w:val="003A0A69"/>
    <w:rsid w:val="003A1011"/>
    <w:rsid w:val="003A1497"/>
    <w:rsid w:val="003A224F"/>
    <w:rsid w:val="003A26C1"/>
    <w:rsid w:val="003A2DEA"/>
    <w:rsid w:val="003A2E82"/>
    <w:rsid w:val="003A3170"/>
    <w:rsid w:val="003A32BA"/>
    <w:rsid w:val="003A47F7"/>
    <w:rsid w:val="003A5493"/>
    <w:rsid w:val="003A55E7"/>
    <w:rsid w:val="003A5BE4"/>
    <w:rsid w:val="003A5CDB"/>
    <w:rsid w:val="003A64A1"/>
    <w:rsid w:val="003A698D"/>
    <w:rsid w:val="003A6E9E"/>
    <w:rsid w:val="003A7392"/>
    <w:rsid w:val="003A7676"/>
    <w:rsid w:val="003A7C08"/>
    <w:rsid w:val="003B05B9"/>
    <w:rsid w:val="003B07D8"/>
    <w:rsid w:val="003B0846"/>
    <w:rsid w:val="003B1144"/>
    <w:rsid w:val="003B16F6"/>
    <w:rsid w:val="003B1ACA"/>
    <w:rsid w:val="003B2456"/>
    <w:rsid w:val="003B2591"/>
    <w:rsid w:val="003B2B08"/>
    <w:rsid w:val="003B3661"/>
    <w:rsid w:val="003B3B71"/>
    <w:rsid w:val="003B474E"/>
    <w:rsid w:val="003B490D"/>
    <w:rsid w:val="003B4995"/>
    <w:rsid w:val="003B69EA"/>
    <w:rsid w:val="003B6BF8"/>
    <w:rsid w:val="003B6D93"/>
    <w:rsid w:val="003B735E"/>
    <w:rsid w:val="003B74BE"/>
    <w:rsid w:val="003B7883"/>
    <w:rsid w:val="003B7A5C"/>
    <w:rsid w:val="003B7BEC"/>
    <w:rsid w:val="003C03AD"/>
    <w:rsid w:val="003C05E0"/>
    <w:rsid w:val="003C0EA1"/>
    <w:rsid w:val="003C0F0A"/>
    <w:rsid w:val="003C1623"/>
    <w:rsid w:val="003C164F"/>
    <w:rsid w:val="003C1BE3"/>
    <w:rsid w:val="003C2609"/>
    <w:rsid w:val="003C2894"/>
    <w:rsid w:val="003C2CE3"/>
    <w:rsid w:val="003C3719"/>
    <w:rsid w:val="003C4139"/>
    <w:rsid w:val="003C47F6"/>
    <w:rsid w:val="003C4B1D"/>
    <w:rsid w:val="003C5068"/>
    <w:rsid w:val="003C519E"/>
    <w:rsid w:val="003C5C59"/>
    <w:rsid w:val="003C6CAF"/>
    <w:rsid w:val="003C72D7"/>
    <w:rsid w:val="003C77CC"/>
    <w:rsid w:val="003C7CEF"/>
    <w:rsid w:val="003C7FAE"/>
    <w:rsid w:val="003D17ED"/>
    <w:rsid w:val="003D1B1C"/>
    <w:rsid w:val="003D1BDD"/>
    <w:rsid w:val="003D2382"/>
    <w:rsid w:val="003D242D"/>
    <w:rsid w:val="003D253C"/>
    <w:rsid w:val="003D27AB"/>
    <w:rsid w:val="003D32F5"/>
    <w:rsid w:val="003D333D"/>
    <w:rsid w:val="003D36D3"/>
    <w:rsid w:val="003D36DC"/>
    <w:rsid w:val="003D3885"/>
    <w:rsid w:val="003D3C9B"/>
    <w:rsid w:val="003D4868"/>
    <w:rsid w:val="003D4DA6"/>
    <w:rsid w:val="003D6259"/>
    <w:rsid w:val="003D6698"/>
    <w:rsid w:val="003D672F"/>
    <w:rsid w:val="003D6925"/>
    <w:rsid w:val="003D725B"/>
    <w:rsid w:val="003D75C2"/>
    <w:rsid w:val="003D7880"/>
    <w:rsid w:val="003D7A02"/>
    <w:rsid w:val="003D7B4D"/>
    <w:rsid w:val="003E0D27"/>
    <w:rsid w:val="003E0FF0"/>
    <w:rsid w:val="003E1839"/>
    <w:rsid w:val="003E1C93"/>
    <w:rsid w:val="003E293E"/>
    <w:rsid w:val="003E2FDE"/>
    <w:rsid w:val="003E2FF3"/>
    <w:rsid w:val="003E4628"/>
    <w:rsid w:val="003E474F"/>
    <w:rsid w:val="003E4C32"/>
    <w:rsid w:val="003E50AA"/>
    <w:rsid w:val="003E5151"/>
    <w:rsid w:val="003E5424"/>
    <w:rsid w:val="003E5BE7"/>
    <w:rsid w:val="003E5D57"/>
    <w:rsid w:val="003E62CE"/>
    <w:rsid w:val="003E6F1C"/>
    <w:rsid w:val="003E7021"/>
    <w:rsid w:val="003E7695"/>
    <w:rsid w:val="003E77A2"/>
    <w:rsid w:val="003E7DFC"/>
    <w:rsid w:val="003E7FF7"/>
    <w:rsid w:val="003F0E0E"/>
    <w:rsid w:val="003F1040"/>
    <w:rsid w:val="003F207D"/>
    <w:rsid w:val="003F2A7F"/>
    <w:rsid w:val="003F347D"/>
    <w:rsid w:val="003F35CC"/>
    <w:rsid w:val="003F3FB2"/>
    <w:rsid w:val="003F4717"/>
    <w:rsid w:val="003F49E9"/>
    <w:rsid w:val="003F4E9D"/>
    <w:rsid w:val="003F518D"/>
    <w:rsid w:val="003F524B"/>
    <w:rsid w:val="003F52C6"/>
    <w:rsid w:val="003F5344"/>
    <w:rsid w:val="003F5DCE"/>
    <w:rsid w:val="003F5EA0"/>
    <w:rsid w:val="003F5FDF"/>
    <w:rsid w:val="003F66F0"/>
    <w:rsid w:val="003F74FC"/>
    <w:rsid w:val="003F78A0"/>
    <w:rsid w:val="003F7936"/>
    <w:rsid w:val="00400B45"/>
    <w:rsid w:val="00400FE6"/>
    <w:rsid w:val="004011D3"/>
    <w:rsid w:val="004012DC"/>
    <w:rsid w:val="00401324"/>
    <w:rsid w:val="00402876"/>
    <w:rsid w:val="00402ADE"/>
    <w:rsid w:val="00402B41"/>
    <w:rsid w:val="00403119"/>
    <w:rsid w:val="00403357"/>
    <w:rsid w:val="004039BC"/>
    <w:rsid w:val="004044D5"/>
    <w:rsid w:val="00404548"/>
    <w:rsid w:val="00404590"/>
    <w:rsid w:val="00404C8B"/>
    <w:rsid w:val="00404D5B"/>
    <w:rsid w:val="0040537A"/>
    <w:rsid w:val="004055F0"/>
    <w:rsid w:val="004057D8"/>
    <w:rsid w:val="00405894"/>
    <w:rsid w:val="00406AD3"/>
    <w:rsid w:val="004073EE"/>
    <w:rsid w:val="00407454"/>
    <w:rsid w:val="0040756D"/>
    <w:rsid w:val="004077B7"/>
    <w:rsid w:val="004077FD"/>
    <w:rsid w:val="00407ECD"/>
    <w:rsid w:val="00410438"/>
    <w:rsid w:val="00410A4F"/>
    <w:rsid w:val="00410B81"/>
    <w:rsid w:val="00410D13"/>
    <w:rsid w:val="00410D20"/>
    <w:rsid w:val="00410D3E"/>
    <w:rsid w:val="00411383"/>
    <w:rsid w:val="0041164A"/>
    <w:rsid w:val="00411D4B"/>
    <w:rsid w:val="00411F0E"/>
    <w:rsid w:val="00412222"/>
    <w:rsid w:val="0041270C"/>
    <w:rsid w:val="00412A5B"/>
    <w:rsid w:val="00412E95"/>
    <w:rsid w:val="00413091"/>
    <w:rsid w:val="00413615"/>
    <w:rsid w:val="00413622"/>
    <w:rsid w:val="0041374B"/>
    <w:rsid w:val="004137BF"/>
    <w:rsid w:val="004138A1"/>
    <w:rsid w:val="00413A33"/>
    <w:rsid w:val="004144D3"/>
    <w:rsid w:val="00415500"/>
    <w:rsid w:val="00415D1E"/>
    <w:rsid w:val="00416A9F"/>
    <w:rsid w:val="00416B72"/>
    <w:rsid w:val="00416C68"/>
    <w:rsid w:val="00416EE0"/>
    <w:rsid w:val="00417060"/>
    <w:rsid w:val="004170E1"/>
    <w:rsid w:val="00417BB5"/>
    <w:rsid w:val="00420DAF"/>
    <w:rsid w:val="00421012"/>
    <w:rsid w:val="004215E7"/>
    <w:rsid w:val="00421EF9"/>
    <w:rsid w:val="00422CE2"/>
    <w:rsid w:val="00422D51"/>
    <w:rsid w:val="00422EA7"/>
    <w:rsid w:val="00422FFD"/>
    <w:rsid w:val="00423776"/>
    <w:rsid w:val="00423874"/>
    <w:rsid w:val="00423E45"/>
    <w:rsid w:val="00424068"/>
    <w:rsid w:val="004246AB"/>
    <w:rsid w:val="00424A57"/>
    <w:rsid w:val="00424B38"/>
    <w:rsid w:val="00424FAF"/>
    <w:rsid w:val="0042555F"/>
    <w:rsid w:val="004266A0"/>
    <w:rsid w:val="004272C6"/>
    <w:rsid w:val="004274A6"/>
    <w:rsid w:val="004275FB"/>
    <w:rsid w:val="00427D34"/>
    <w:rsid w:val="004300CD"/>
    <w:rsid w:val="004301EC"/>
    <w:rsid w:val="0043091B"/>
    <w:rsid w:val="00430960"/>
    <w:rsid w:val="00430BED"/>
    <w:rsid w:val="00431608"/>
    <w:rsid w:val="00431649"/>
    <w:rsid w:val="004317D3"/>
    <w:rsid w:val="0043184C"/>
    <w:rsid w:val="00431AF7"/>
    <w:rsid w:val="00431C87"/>
    <w:rsid w:val="00431D6C"/>
    <w:rsid w:val="00432557"/>
    <w:rsid w:val="004326FC"/>
    <w:rsid w:val="0043312B"/>
    <w:rsid w:val="0043325D"/>
    <w:rsid w:val="0043331E"/>
    <w:rsid w:val="00433589"/>
    <w:rsid w:val="004335C7"/>
    <w:rsid w:val="004339C1"/>
    <w:rsid w:val="00434235"/>
    <w:rsid w:val="004342CB"/>
    <w:rsid w:val="00434550"/>
    <w:rsid w:val="00435274"/>
    <w:rsid w:val="004356AC"/>
    <w:rsid w:val="00435BC5"/>
    <w:rsid w:val="00435BE9"/>
    <w:rsid w:val="00435D2C"/>
    <w:rsid w:val="0043644E"/>
    <w:rsid w:val="00436B2F"/>
    <w:rsid w:val="00436CA9"/>
    <w:rsid w:val="00436F08"/>
    <w:rsid w:val="00437014"/>
    <w:rsid w:val="004371A7"/>
    <w:rsid w:val="0043776B"/>
    <w:rsid w:val="00437779"/>
    <w:rsid w:val="00437824"/>
    <w:rsid w:val="00437CCC"/>
    <w:rsid w:val="00437DC6"/>
    <w:rsid w:val="00440123"/>
    <w:rsid w:val="00440288"/>
    <w:rsid w:val="00440B3C"/>
    <w:rsid w:val="00440B51"/>
    <w:rsid w:val="00440C00"/>
    <w:rsid w:val="00441A31"/>
    <w:rsid w:val="00442102"/>
    <w:rsid w:val="004426F8"/>
    <w:rsid w:val="00443CB9"/>
    <w:rsid w:val="004443DE"/>
    <w:rsid w:val="004446EB"/>
    <w:rsid w:val="00444D9F"/>
    <w:rsid w:val="00444EBB"/>
    <w:rsid w:val="00445C50"/>
    <w:rsid w:val="00445CF7"/>
    <w:rsid w:val="00445CFC"/>
    <w:rsid w:val="004465D1"/>
    <w:rsid w:val="00446857"/>
    <w:rsid w:val="004471F8"/>
    <w:rsid w:val="00447406"/>
    <w:rsid w:val="004478D0"/>
    <w:rsid w:val="00447960"/>
    <w:rsid w:val="00447974"/>
    <w:rsid w:val="00447F2F"/>
    <w:rsid w:val="00447F8B"/>
    <w:rsid w:val="004509B4"/>
    <w:rsid w:val="0045137E"/>
    <w:rsid w:val="00451815"/>
    <w:rsid w:val="00451B0E"/>
    <w:rsid w:val="00451D94"/>
    <w:rsid w:val="00452364"/>
    <w:rsid w:val="00452450"/>
    <w:rsid w:val="00452705"/>
    <w:rsid w:val="0045330E"/>
    <w:rsid w:val="004536DF"/>
    <w:rsid w:val="00453873"/>
    <w:rsid w:val="00454275"/>
    <w:rsid w:val="00454486"/>
    <w:rsid w:val="0045455F"/>
    <w:rsid w:val="00455785"/>
    <w:rsid w:val="00455AC0"/>
    <w:rsid w:val="00455D86"/>
    <w:rsid w:val="00455F12"/>
    <w:rsid w:val="00456C07"/>
    <w:rsid w:val="00457209"/>
    <w:rsid w:val="004578FA"/>
    <w:rsid w:val="00460CA3"/>
    <w:rsid w:val="00460CC4"/>
    <w:rsid w:val="00460D80"/>
    <w:rsid w:val="00460E85"/>
    <w:rsid w:val="004613CB"/>
    <w:rsid w:val="00461D42"/>
    <w:rsid w:val="004620FD"/>
    <w:rsid w:val="00462892"/>
    <w:rsid w:val="00463362"/>
    <w:rsid w:val="0046358E"/>
    <w:rsid w:val="004645D8"/>
    <w:rsid w:val="00464ECA"/>
    <w:rsid w:val="0046563D"/>
    <w:rsid w:val="004656C4"/>
    <w:rsid w:val="004656E7"/>
    <w:rsid w:val="00465780"/>
    <w:rsid w:val="0046592A"/>
    <w:rsid w:val="00465C26"/>
    <w:rsid w:val="00465CA2"/>
    <w:rsid w:val="00465DED"/>
    <w:rsid w:val="004667CE"/>
    <w:rsid w:val="00466825"/>
    <w:rsid w:val="00466D4D"/>
    <w:rsid w:val="00466D83"/>
    <w:rsid w:val="0046710A"/>
    <w:rsid w:val="004679AB"/>
    <w:rsid w:val="00467E90"/>
    <w:rsid w:val="00467EBB"/>
    <w:rsid w:val="00470232"/>
    <w:rsid w:val="0047035C"/>
    <w:rsid w:val="00470656"/>
    <w:rsid w:val="004707E6"/>
    <w:rsid w:val="00470890"/>
    <w:rsid w:val="00470E7D"/>
    <w:rsid w:val="004714C4"/>
    <w:rsid w:val="00471936"/>
    <w:rsid w:val="00471EE3"/>
    <w:rsid w:val="0047208C"/>
    <w:rsid w:val="004725F4"/>
    <w:rsid w:val="0047269E"/>
    <w:rsid w:val="00472914"/>
    <w:rsid w:val="00472A62"/>
    <w:rsid w:val="00472B28"/>
    <w:rsid w:val="00473879"/>
    <w:rsid w:val="00473978"/>
    <w:rsid w:val="00473A94"/>
    <w:rsid w:val="00473D54"/>
    <w:rsid w:val="004745FF"/>
    <w:rsid w:val="00474932"/>
    <w:rsid w:val="00474B52"/>
    <w:rsid w:val="00474B97"/>
    <w:rsid w:val="00474BCB"/>
    <w:rsid w:val="00474F25"/>
    <w:rsid w:val="00475C74"/>
    <w:rsid w:val="00475DAA"/>
    <w:rsid w:val="00475EC4"/>
    <w:rsid w:val="00475ED4"/>
    <w:rsid w:val="0047639E"/>
    <w:rsid w:val="00476BA5"/>
    <w:rsid w:val="00476CA0"/>
    <w:rsid w:val="00476ED5"/>
    <w:rsid w:val="00477478"/>
    <w:rsid w:val="00477B29"/>
    <w:rsid w:val="00477BB6"/>
    <w:rsid w:val="00480483"/>
    <w:rsid w:val="0048076C"/>
    <w:rsid w:val="004809C3"/>
    <w:rsid w:val="00480A9B"/>
    <w:rsid w:val="00480D00"/>
    <w:rsid w:val="004819AF"/>
    <w:rsid w:val="00481A63"/>
    <w:rsid w:val="0048229A"/>
    <w:rsid w:val="0048233D"/>
    <w:rsid w:val="00482988"/>
    <w:rsid w:val="004830C8"/>
    <w:rsid w:val="0048377D"/>
    <w:rsid w:val="0048378E"/>
    <w:rsid w:val="004841F8"/>
    <w:rsid w:val="00484A45"/>
    <w:rsid w:val="00484BE7"/>
    <w:rsid w:val="00485608"/>
    <w:rsid w:val="004857A6"/>
    <w:rsid w:val="004859FE"/>
    <w:rsid w:val="004865AC"/>
    <w:rsid w:val="0048664F"/>
    <w:rsid w:val="00486780"/>
    <w:rsid w:val="0048688B"/>
    <w:rsid w:val="00486D36"/>
    <w:rsid w:val="00487283"/>
    <w:rsid w:val="00487984"/>
    <w:rsid w:val="00487EC8"/>
    <w:rsid w:val="00487F7A"/>
    <w:rsid w:val="0049082D"/>
    <w:rsid w:val="00491578"/>
    <w:rsid w:val="00491585"/>
    <w:rsid w:val="00491A03"/>
    <w:rsid w:val="00491B73"/>
    <w:rsid w:val="00492657"/>
    <w:rsid w:val="00492765"/>
    <w:rsid w:val="00492B10"/>
    <w:rsid w:val="00492C04"/>
    <w:rsid w:val="00492CA3"/>
    <w:rsid w:val="00492F64"/>
    <w:rsid w:val="0049337B"/>
    <w:rsid w:val="0049355B"/>
    <w:rsid w:val="004939D9"/>
    <w:rsid w:val="0049474A"/>
    <w:rsid w:val="00494D2F"/>
    <w:rsid w:val="004951BF"/>
    <w:rsid w:val="00496A7A"/>
    <w:rsid w:val="00496F0E"/>
    <w:rsid w:val="004971E3"/>
    <w:rsid w:val="0049754B"/>
    <w:rsid w:val="004978FC"/>
    <w:rsid w:val="00497B60"/>
    <w:rsid w:val="004A0207"/>
    <w:rsid w:val="004A1E00"/>
    <w:rsid w:val="004A1F10"/>
    <w:rsid w:val="004A226D"/>
    <w:rsid w:val="004A22E2"/>
    <w:rsid w:val="004A23C5"/>
    <w:rsid w:val="004A257A"/>
    <w:rsid w:val="004A26AB"/>
    <w:rsid w:val="004A2A69"/>
    <w:rsid w:val="004A2B97"/>
    <w:rsid w:val="004A30B9"/>
    <w:rsid w:val="004A3249"/>
    <w:rsid w:val="004A35D8"/>
    <w:rsid w:val="004A45BD"/>
    <w:rsid w:val="004A4797"/>
    <w:rsid w:val="004A482F"/>
    <w:rsid w:val="004A4A5B"/>
    <w:rsid w:val="004A4F57"/>
    <w:rsid w:val="004A544C"/>
    <w:rsid w:val="004A550C"/>
    <w:rsid w:val="004A56BE"/>
    <w:rsid w:val="004A5982"/>
    <w:rsid w:val="004A607B"/>
    <w:rsid w:val="004A60F8"/>
    <w:rsid w:val="004A6139"/>
    <w:rsid w:val="004A62F2"/>
    <w:rsid w:val="004A6609"/>
    <w:rsid w:val="004A6D0B"/>
    <w:rsid w:val="004A79D2"/>
    <w:rsid w:val="004A7CCD"/>
    <w:rsid w:val="004A7E32"/>
    <w:rsid w:val="004A7EA8"/>
    <w:rsid w:val="004B0434"/>
    <w:rsid w:val="004B07D1"/>
    <w:rsid w:val="004B0804"/>
    <w:rsid w:val="004B0F3A"/>
    <w:rsid w:val="004B117F"/>
    <w:rsid w:val="004B1AE2"/>
    <w:rsid w:val="004B25D8"/>
    <w:rsid w:val="004B2E1B"/>
    <w:rsid w:val="004B2E60"/>
    <w:rsid w:val="004B3422"/>
    <w:rsid w:val="004B3D27"/>
    <w:rsid w:val="004B4168"/>
    <w:rsid w:val="004B4718"/>
    <w:rsid w:val="004B47F9"/>
    <w:rsid w:val="004B4B14"/>
    <w:rsid w:val="004B4FC6"/>
    <w:rsid w:val="004B5319"/>
    <w:rsid w:val="004B57BB"/>
    <w:rsid w:val="004B5DEB"/>
    <w:rsid w:val="004B66D1"/>
    <w:rsid w:val="004B72D1"/>
    <w:rsid w:val="004B737C"/>
    <w:rsid w:val="004B77EB"/>
    <w:rsid w:val="004B7C48"/>
    <w:rsid w:val="004C0867"/>
    <w:rsid w:val="004C0EFC"/>
    <w:rsid w:val="004C1494"/>
    <w:rsid w:val="004C177A"/>
    <w:rsid w:val="004C1A1C"/>
    <w:rsid w:val="004C1D0C"/>
    <w:rsid w:val="004C1FF8"/>
    <w:rsid w:val="004C2222"/>
    <w:rsid w:val="004C23B0"/>
    <w:rsid w:val="004C2609"/>
    <w:rsid w:val="004C29BD"/>
    <w:rsid w:val="004C2AE4"/>
    <w:rsid w:val="004C2F58"/>
    <w:rsid w:val="004C372C"/>
    <w:rsid w:val="004C525B"/>
    <w:rsid w:val="004C56A6"/>
    <w:rsid w:val="004C580E"/>
    <w:rsid w:val="004C59E9"/>
    <w:rsid w:val="004C5A40"/>
    <w:rsid w:val="004C64EF"/>
    <w:rsid w:val="004C66B5"/>
    <w:rsid w:val="004C6B1B"/>
    <w:rsid w:val="004C6B93"/>
    <w:rsid w:val="004C6DE8"/>
    <w:rsid w:val="004C762F"/>
    <w:rsid w:val="004C7F1F"/>
    <w:rsid w:val="004D0BB3"/>
    <w:rsid w:val="004D1062"/>
    <w:rsid w:val="004D1A22"/>
    <w:rsid w:val="004D1F70"/>
    <w:rsid w:val="004D21CD"/>
    <w:rsid w:val="004D2DFF"/>
    <w:rsid w:val="004D350D"/>
    <w:rsid w:val="004D363C"/>
    <w:rsid w:val="004D37BF"/>
    <w:rsid w:val="004D3A40"/>
    <w:rsid w:val="004D3A47"/>
    <w:rsid w:val="004D3C4C"/>
    <w:rsid w:val="004D3E22"/>
    <w:rsid w:val="004D3E54"/>
    <w:rsid w:val="004D4489"/>
    <w:rsid w:val="004D47CA"/>
    <w:rsid w:val="004D5834"/>
    <w:rsid w:val="004D659F"/>
    <w:rsid w:val="004D6A54"/>
    <w:rsid w:val="004D71A2"/>
    <w:rsid w:val="004D7653"/>
    <w:rsid w:val="004E0137"/>
    <w:rsid w:val="004E0CF6"/>
    <w:rsid w:val="004E1CE5"/>
    <w:rsid w:val="004E21A9"/>
    <w:rsid w:val="004E21E6"/>
    <w:rsid w:val="004E2263"/>
    <w:rsid w:val="004E22D0"/>
    <w:rsid w:val="004E27D6"/>
    <w:rsid w:val="004E281C"/>
    <w:rsid w:val="004E2B95"/>
    <w:rsid w:val="004E2D4F"/>
    <w:rsid w:val="004E318C"/>
    <w:rsid w:val="004E457C"/>
    <w:rsid w:val="004E4D26"/>
    <w:rsid w:val="004E504B"/>
    <w:rsid w:val="004E5226"/>
    <w:rsid w:val="004E567F"/>
    <w:rsid w:val="004E5A81"/>
    <w:rsid w:val="004E5B55"/>
    <w:rsid w:val="004E5F28"/>
    <w:rsid w:val="004E5F32"/>
    <w:rsid w:val="004E664F"/>
    <w:rsid w:val="004E6888"/>
    <w:rsid w:val="004E735F"/>
    <w:rsid w:val="004E797C"/>
    <w:rsid w:val="004E7C86"/>
    <w:rsid w:val="004F02AB"/>
    <w:rsid w:val="004F0B93"/>
    <w:rsid w:val="004F119F"/>
    <w:rsid w:val="004F1FF9"/>
    <w:rsid w:val="004F2F1F"/>
    <w:rsid w:val="004F30A0"/>
    <w:rsid w:val="004F3565"/>
    <w:rsid w:val="004F38C2"/>
    <w:rsid w:val="004F3E77"/>
    <w:rsid w:val="004F4756"/>
    <w:rsid w:val="004F4A59"/>
    <w:rsid w:val="004F4AA5"/>
    <w:rsid w:val="004F4C3E"/>
    <w:rsid w:val="004F4DF4"/>
    <w:rsid w:val="004F531D"/>
    <w:rsid w:val="004F532B"/>
    <w:rsid w:val="004F5331"/>
    <w:rsid w:val="004F56B8"/>
    <w:rsid w:val="004F572C"/>
    <w:rsid w:val="004F5FE8"/>
    <w:rsid w:val="004F6559"/>
    <w:rsid w:val="004F65DA"/>
    <w:rsid w:val="004F6B8C"/>
    <w:rsid w:val="004F6D87"/>
    <w:rsid w:val="004F70AA"/>
    <w:rsid w:val="004F7191"/>
    <w:rsid w:val="004F73F0"/>
    <w:rsid w:val="004F7680"/>
    <w:rsid w:val="004F7F99"/>
    <w:rsid w:val="0050090F"/>
    <w:rsid w:val="00500FA9"/>
    <w:rsid w:val="005013EC"/>
    <w:rsid w:val="00501ABD"/>
    <w:rsid w:val="005020AA"/>
    <w:rsid w:val="00502A99"/>
    <w:rsid w:val="00502AC4"/>
    <w:rsid w:val="005030F6"/>
    <w:rsid w:val="005035CE"/>
    <w:rsid w:val="005038B8"/>
    <w:rsid w:val="00503C92"/>
    <w:rsid w:val="00504275"/>
    <w:rsid w:val="0050476B"/>
    <w:rsid w:val="00504AB2"/>
    <w:rsid w:val="00504EDC"/>
    <w:rsid w:val="005056DE"/>
    <w:rsid w:val="00505CC8"/>
    <w:rsid w:val="00505F20"/>
    <w:rsid w:val="00506187"/>
    <w:rsid w:val="0050639A"/>
    <w:rsid w:val="005073B6"/>
    <w:rsid w:val="0050769F"/>
    <w:rsid w:val="0050772D"/>
    <w:rsid w:val="00507782"/>
    <w:rsid w:val="00507D34"/>
    <w:rsid w:val="00507D7A"/>
    <w:rsid w:val="00507F90"/>
    <w:rsid w:val="00510047"/>
    <w:rsid w:val="00510502"/>
    <w:rsid w:val="00510CDD"/>
    <w:rsid w:val="00510FB7"/>
    <w:rsid w:val="0051114C"/>
    <w:rsid w:val="0051117C"/>
    <w:rsid w:val="0051146F"/>
    <w:rsid w:val="00511C17"/>
    <w:rsid w:val="005126A9"/>
    <w:rsid w:val="00512D65"/>
    <w:rsid w:val="00513380"/>
    <w:rsid w:val="00513C52"/>
    <w:rsid w:val="00513E41"/>
    <w:rsid w:val="0051402E"/>
    <w:rsid w:val="005144D5"/>
    <w:rsid w:val="00514816"/>
    <w:rsid w:val="00514F33"/>
    <w:rsid w:val="005164CA"/>
    <w:rsid w:val="00517140"/>
    <w:rsid w:val="00517234"/>
    <w:rsid w:val="00517405"/>
    <w:rsid w:val="005174F8"/>
    <w:rsid w:val="00517556"/>
    <w:rsid w:val="0051782A"/>
    <w:rsid w:val="005178DF"/>
    <w:rsid w:val="00517939"/>
    <w:rsid w:val="00517B83"/>
    <w:rsid w:val="00517DEF"/>
    <w:rsid w:val="00517E1D"/>
    <w:rsid w:val="00517FBA"/>
    <w:rsid w:val="00520E71"/>
    <w:rsid w:val="00520EC4"/>
    <w:rsid w:val="00520EE6"/>
    <w:rsid w:val="00520FD0"/>
    <w:rsid w:val="005211F6"/>
    <w:rsid w:val="005213E5"/>
    <w:rsid w:val="005215DA"/>
    <w:rsid w:val="00521664"/>
    <w:rsid w:val="00521EC3"/>
    <w:rsid w:val="00522B58"/>
    <w:rsid w:val="00522BF6"/>
    <w:rsid w:val="00523170"/>
    <w:rsid w:val="00523294"/>
    <w:rsid w:val="005232DD"/>
    <w:rsid w:val="005238E0"/>
    <w:rsid w:val="005239FF"/>
    <w:rsid w:val="00523AA0"/>
    <w:rsid w:val="005241CE"/>
    <w:rsid w:val="00524437"/>
    <w:rsid w:val="00525365"/>
    <w:rsid w:val="00525521"/>
    <w:rsid w:val="005256A5"/>
    <w:rsid w:val="005257D0"/>
    <w:rsid w:val="00525A08"/>
    <w:rsid w:val="00525B59"/>
    <w:rsid w:val="00525C86"/>
    <w:rsid w:val="00525EE8"/>
    <w:rsid w:val="005264DB"/>
    <w:rsid w:val="00526E81"/>
    <w:rsid w:val="00527A81"/>
    <w:rsid w:val="00527C26"/>
    <w:rsid w:val="00530D51"/>
    <w:rsid w:val="00530E48"/>
    <w:rsid w:val="00531228"/>
    <w:rsid w:val="00531A8C"/>
    <w:rsid w:val="00531EBE"/>
    <w:rsid w:val="00531F25"/>
    <w:rsid w:val="0053212B"/>
    <w:rsid w:val="00532C3E"/>
    <w:rsid w:val="005332CC"/>
    <w:rsid w:val="005337C7"/>
    <w:rsid w:val="00533AF8"/>
    <w:rsid w:val="00533C54"/>
    <w:rsid w:val="00534095"/>
    <w:rsid w:val="005341E2"/>
    <w:rsid w:val="00534715"/>
    <w:rsid w:val="005349A1"/>
    <w:rsid w:val="005352BB"/>
    <w:rsid w:val="0053530B"/>
    <w:rsid w:val="005355CD"/>
    <w:rsid w:val="005356D9"/>
    <w:rsid w:val="005361B1"/>
    <w:rsid w:val="00536618"/>
    <w:rsid w:val="0053684B"/>
    <w:rsid w:val="0054014B"/>
    <w:rsid w:val="00540676"/>
    <w:rsid w:val="00540762"/>
    <w:rsid w:val="0054093C"/>
    <w:rsid w:val="00540BB0"/>
    <w:rsid w:val="00541300"/>
    <w:rsid w:val="0054133C"/>
    <w:rsid w:val="00541F6D"/>
    <w:rsid w:val="00542002"/>
    <w:rsid w:val="005421C5"/>
    <w:rsid w:val="0054258F"/>
    <w:rsid w:val="005431D5"/>
    <w:rsid w:val="00543898"/>
    <w:rsid w:val="0054396F"/>
    <w:rsid w:val="00543AFA"/>
    <w:rsid w:val="00543FFA"/>
    <w:rsid w:val="00544908"/>
    <w:rsid w:val="00544EDA"/>
    <w:rsid w:val="0054528D"/>
    <w:rsid w:val="00545ABB"/>
    <w:rsid w:val="00545FA7"/>
    <w:rsid w:val="005461E7"/>
    <w:rsid w:val="005464FB"/>
    <w:rsid w:val="005465D6"/>
    <w:rsid w:val="00546854"/>
    <w:rsid w:val="005469A4"/>
    <w:rsid w:val="00546EC9"/>
    <w:rsid w:val="00547071"/>
    <w:rsid w:val="00547097"/>
    <w:rsid w:val="00547174"/>
    <w:rsid w:val="00547BBF"/>
    <w:rsid w:val="00547ECB"/>
    <w:rsid w:val="00550093"/>
    <w:rsid w:val="005505AD"/>
    <w:rsid w:val="00550615"/>
    <w:rsid w:val="00550861"/>
    <w:rsid w:val="00550DC3"/>
    <w:rsid w:val="00550E9F"/>
    <w:rsid w:val="00550F27"/>
    <w:rsid w:val="005512A8"/>
    <w:rsid w:val="00551343"/>
    <w:rsid w:val="00551557"/>
    <w:rsid w:val="00551838"/>
    <w:rsid w:val="00552A13"/>
    <w:rsid w:val="0055325B"/>
    <w:rsid w:val="005532AC"/>
    <w:rsid w:val="00553902"/>
    <w:rsid w:val="00554336"/>
    <w:rsid w:val="0055473C"/>
    <w:rsid w:val="00554A64"/>
    <w:rsid w:val="00554C1C"/>
    <w:rsid w:val="00554C5E"/>
    <w:rsid w:val="00555B62"/>
    <w:rsid w:val="00555BFC"/>
    <w:rsid w:val="00556046"/>
    <w:rsid w:val="00556C8A"/>
    <w:rsid w:val="00556F60"/>
    <w:rsid w:val="005575F4"/>
    <w:rsid w:val="0055783D"/>
    <w:rsid w:val="00557B67"/>
    <w:rsid w:val="00557E64"/>
    <w:rsid w:val="00560849"/>
    <w:rsid w:val="00560B89"/>
    <w:rsid w:val="00560C30"/>
    <w:rsid w:val="00560F60"/>
    <w:rsid w:val="00561089"/>
    <w:rsid w:val="00561093"/>
    <w:rsid w:val="0056166A"/>
    <w:rsid w:val="00561992"/>
    <w:rsid w:val="00561E21"/>
    <w:rsid w:val="00561E47"/>
    <w:rsid w:val="00562691"/>
    <w:rsid w:val="00562B49"/>
    <w:rsid w:val="005633B0"/>
    <w:rsid w:val="0056394F"/>
    <w:rsid w:val="00563A91"/>
    <w:rsid w:val="00563D83"/>
    <w:rsid w:val="005647CF"/>
    <w:rsid w:val="00564FE2"/>
    <w:rsid w:val="005655BD"/>
    <w:rsid w:val="00565BDF"/>
    <w:rsid w:val="00565D40"/>
    <w:rsid w:val="00565D9B"/>
    <w:rsid w:val="00565E0D"/>
    <w:rsid w:val="00565FBA"/>
    <w:rsid w:val="00566053"/>
    <w:rsid w:val="00566CD1"/>
    <w:rsid w:val="00566FE3"/>
    <w:rsid w:val="005671D9"/>
    <w:rsid w:val="00567946"/>
    <w:rsid w:val="00567963"/>
    <w:rsid w:val="00567B6B"/>
    <w:rsid w:val="0056E82B"/>
    <w:rsid w:val="00570079"/>
    <w:rsid w:val="00570487"/>
    <w:rsid w:val="0057064C"/>
    <w:rsid w:val="00571446"/>
    <w:rsid w:val="005718A2"/>
    <w:rsid w:val="00571E6C"/>
    <w:rsid w:val="00571F9D"/>
    <w:rsid w:val="005726CA"/>
    <w:rsid w:val="005727F9"/>
    <w:rsid w:val="00572E86"/>
    <w:rsid w:val="0057369C"/>
    <w:rsid w:val="005736C7"/>
    <w:rsid w:val="00573C7F"/>
    <w:rsid w:val="00574195"/>
    <w:rsid w:val="00574379"/>
    <w:rsid w:val="00574414"/>
    <w:rsid w:val="00574AE7"/>
    <w:rsid w:val="00574D1B"/>
    <w:rsid w:val="00574D76"/>
    <w:rsid w:val="00574FE9"/>
    <w:rsid w:val="00575350"/>
    <w:rsid w:val="00575AFB"/>
    <w:rsid w:val="00575E02"/>
    <w:rsid w:val="00576C25"/>
    <w:rsid w:val="00576DB3"/>
    <w:rsid w:val="00577455"/>
    <w:rsid w:val="0057781D"/>
    <w:rsid w:val="0057798B"/>
    <w:rsid w:val="00577C01"/>
    <w:rsid w:val="00577F1C"/>
    <w:rsid w:val="00577FA7"/>
    <w:rsid w:val="0058038C"/>
    <w:rsid w:val="00580A86"/>
    <w:rsid w:val="00581084"/>
    <w:rsid w:val="005819DB"/>
    <w:rsid w:val="005820D9"/>
    <w:rsid w:val="0058242D"/>
    <w:rsid w:val="00582B18"/>
    <w:rsid w:val="00582C51"/>
    <w:rsid w:val="00582CE1"/>
    <w:rsid w:val="00582DBE"/>
    <w:rsid w:val="005830A9"/>
    <w:rsid w:val="005831F3"/>
    <w:rsid w:val="00583A5E"/>
    <w:rsid w:val="0058478B"/>
    <w:rsid w:val="005847B1"/>
    <w:rsid w:val="00584E46"/>
    <w:rsid w:val="00584F46"/>
    <w:rsid w:val="00585D71"/>
    <w:rsid w:val="00585EE1"/>
    <w:rsid w:val="0058602C"/>
    <w:rsid w:val="005860A6"/>
    <w:rsid w:val="005862B1"/>
    <w:rsid w:val="0058739A"/>
    <w:rsid w:val="005877C6"/>
    <w:rsid w:val="005879C7"/>
    <w:rsid w:val="0059024D"/>
    <w:rsid w:val="0059040F"/>
    <w:rsid w:val="00590601"/>
    <w:rsid w:val="00590856"/>
    <w:rsid w:val="00590A6D"/>
    <w:rsid w:val="00590D0F"/>
    <w:rsid w:val="00590EF3"/>
    <w:rsid w:val="00590F37"/>
    <w:rsid w:val="00591690"/>
    <w:rsid w:val="0059197D"/>
    <w:rsid w:val="00591C51"/>
    <w:rsid w:val="00592AA3"/>
    <w:rsid w:val="00592BFC"/>
    <w:rsid w:val="00592EEF"/>
    <w:rsid w:val="00593316"/>
    <w:rsid w:val="00593FD1"/>
    <w:rsid w:val="00594286"/>
    <w:rsid w:val="00594B12"/>
    <w:rsid w:val="005958E4"/>
    <w:rsid w:val="00595B02"/>
    <w:rsid w:val="00595D32"/>
    <w:rsid w:val="00595EF0"/>
    <w:rsid w:val="0059604C"/>
    <w:rsid w:val="005962D4"/>
    <w:rsid w:val="00596451"/>
    <w:rsid w:val="00596597"/>
    <w:rsid w:val="0059680B"/>
    <w:rsid w:val="0059682D"/>
    <w:rsid w:val="00596ACF"/>
    <w:rsid w:val="00596C7B"/>
    <w:rsid w:val="00596ED7"/>
    <w:rsid w:val="00597BE4"/>
    <w:rsid w:val="005A001F"/>
    <w:rsid w:val="005A02AA"/>
    <w:rsid w:val="005A062B"/>
    <w:rsid w:val="005A0BF6"/>
    <w:rsid w:val="005A129E"/>
    <w:rsid w:val="005A1670"/>
    <w:rsid w:val="005A1D13"/>
    <w:rsid w:val="005A2157"/>
    <w:rsid w:val="005A27A0"/>
    <w:rsid w:val="005A2EB2"/>
    <w:rsid w:val="005A3CBF"/>
    <w:rsid w:val="005A4C61"/>
    <w:rsid w:val="005A5CCC"/>
    <w:rsid w:val="005A5D90"/>
    <w:rsid w:val="005A62B4"/>
    <w:rsid w:val="005A68D0"/>
    <w:rsid w:val="005A6D5F"/>
    <w:rsid w:val="005A74A3"/>
    <w:rsid w:val="005A7532"/>
    <w:rsid w:val="005A760C"/>
    <w:rsid w:val="005A77AA"/>
    <w:rsid w:val="005A7D68"/>
    <w:rsid w:val="005A7ECC"/>
    <w:rsid w:val="005B02C4"/>
    <w:rsid w:val="005B046E"/>
    <w:rsid w:val="005B09FA"/>
    <w:rsid w:val="005B0E7C"/>
    <w:rsid w:val="005B0F6D"/>
    <w:rsid w:val="005B1104"/>
    <w:rsid w:val="005B1B02"/>
    <w:rsid w:val="005B24DC"/>
    <w:rsid w:val="005B26DF"/>
    <w:rsid w:val="005B299B"/>
    <w:rsid w:val="005B30E5"/>
    <w:rsid w:val="005B36E0"/>
    <w:rsid w:val="005B3A02"/>
    <w:rsid w:val="005B3B83"/>
    <w:rsid w:val="005B40BB"/>
    <w:rsid w:val="005B41FD"/>
    <w:rsid w:val="005B428B"/>
    <w:rsid w:val="005B4E22"/>
    <w:rsid w:val="005B531E"/>
    <w:rsid w:val="005B6194"/>
    <w:rsid w:val="005B67C9"/>
    <w:rsid w:val="005B67E0"/>
    <w:rsid w:val="005B6926"/>
    <w:rsid w:val="005B6E1A"/>
    <w:rsid w:val="005B6EAF"/>
    <w:rsid w:val="005C09C6"/>
    <w:rsid w:val="005C0C61"/>
    <w:rsid w:val="005C0D0F"/>
    <w:rsid w:val="005C1140"/>
    <w:rsid w:val="005C17A0"/>
    <w:rsid w:val="005C19C6"/>
    <w:rsid w:val="005C1B69"/>
    <w:rsid w:val="005C209D"/>
    <w:rsid w:val="005C223F"/>
    <w:rsid w:val="005C37CC"/>
    <w:rsid w:val="005C4152"/>
    <w:rsid w:val="005C4CF3"/>
    <w:rsid w:val="005C52E6"/>
    <w:rsid w:val="005C548F"/>
    <w:rsid w:val="005C549A"/>
    <w:rsid w:val="005C5577"/>
    <w:rsid w:val="005C60D7"/>
    <w:rsid w:val="005C6816"/>
    <w:rsid w:val="005C690A"/>
    <w:rsid w:val="005C6F27"/>
    <w:rsid w:val="005C71DC"/>
    <w:rsid w:val="005C79A8"/>
    <w:rsid w:val="005C7CE4"/>
    <w:rsid w:val="005D00AA"/>
    <w:rsid w:val="005D0392"/>
    <w:rsid w:val="005D060C"/>
    <w:rsid w:val="005D0AA1"/>
    <w:rsid w:val="005D0F0D"/>
    <w:rsid w:val="005D1000"/>
    <w:rsid w:val="005D14D6"/>
    <w:rsid w:val="005D1E67"/>
    <w:rsid w:val="005D2A27"/>
    <w:rsid w:val="005D2A9F"/>
    <w:rsid w:val="005D2C3F"/>
    <w:rsid w:val="005D30C2"/>
    <w:rsid w:val="005D3303"/>
    <w:rsid w:val="005D34DB"/>
    <w:rsid w:val="005D37AD"/>
    <w:rsid w:val="005D46F9"/>
    <w:rsid w:val="005D5279"/>
    <w:rsid w:val="005D5458"/>
    <w:rsid w:val="005D5474"/>
    <w:rsid w:val="005D5F4F"/>
    <w:rsid w:val="005D6739"/>
    <w:rsid w:val="005D74FC"/>
    <w:rsid w:val="005D7E8A"/>
    <w:rsid w:val="005D7EC4"/>
    <w:rsid w:val="005E0008"/>
    <w:rsid w:val="005E0197"/>
    <w:rsid w:val="005E052B"/>
    <w:rsid w:val="005E05B5"/>
    <w:rsid w:val="005E0AD4"/>
    <w:rsid w:val="005E0AE3"/>
    <w:rsid w:val="005E0B7E"/>
    <w:rsid w:val="005E0C73"/>
    <w:rsid w:val="005E19BB"/>
    <w:rsid w:val="005E1B36"/>
    <w:rsid w:val="005E1D8F"/>
    <w:rsid w:val="005E2343"/>
    <w:rsid w:val="005E24DD"/>
    <w:rsid w:val="005E2C8F"/>
    <w:rsid w:val="005E3071"/>
    <w:rsid w:val="005E3320"/>
    <w:rsid w:val="005E339D"/>
    <w:rsid w:val="005E3595"/>
    <w:rsid w:val="005E35C6"/>
    <w:rsid w:val="005E35DC"/>
    <w:rsid w:val="005E37E2"/>
    <w:rsid w:val="005E37F3"/>
    <w:rsid w:val="005E38AC"/>
    <w:rsid w:val="005E3A28"/>
    <w:rsid w:val="005E3D0A"/>
    <w:rsid w:val="005E414A"/>
    <w:rsid w:val="005E449C"/>
    <w:rsid w:val="005E49A6"/>
    <w:rsid w:val="005E4DF3"/>
    <w:rsid w:val="005E56EC"/>
    <w:rsid w:val="005E5766"/>
    <w:rsid w:val="005E5B74"/>
    <w:rsid w:val="005E5F52"/>
    <w:rsid w:val="005E617D"/>
    <w:rsid w:val="005E6845"/>
    <w:rsid w:val="005E7300"/>
    <w:rsid w:val="005E74C2"/>
    <w:rsid w:val="005F0253"/>
    <w:rsid w:val="005F03F3"/>
    <w:rsid w:val="005F0419"/>
    <w:rsid w:val="005F0497"/>
    <w:rsid w:val="005F0AE2"/>
    <w:rsid w:val="005F0CB6"/>
    <w:rsid w:val="005F0E92"/>
    <w:rsid w:val="005F1520"/>
    <w:rsid w:val="005F2162"/>
    <w:rsid w:val="005F2451"/>
    <w:rsid w:val="005F2B23"/>
    <w:rsid w:val="005F2C25"/>
    <w:rsid w:val="005F2EEF"/>
    <w:rsid w:val="005F3384"/>
    <w:rsid w:val="005F410D"/>
    <w:rsid w:val="005F42A2"/>
    <w:rsid w:val="005F4527"/>
    <w:rsid w:val="005F457B"/>
    <w:rsid w:val="005F480D"/>
    <w:rsid w:val="005F4F17"/>
    <w:rsid w:val="005F50E7"/>
    <w:rsid w:val="005F55AD"/>
    <w:rsid w:val="005F5953"/>
    <w:rsid w:val="005F5C90"/>
    <w:rsid w:val="005F5F81"/>
    <w:rsid w:val="005F6E89"/>
    <w:rsid w:val="005F6F3D"/>
    <w:rsid w:val="005F6FEB"/>
    <w:rsid w:val="005F76FD"/>
    <w:rsid w:val="005F7D4D"/>
    <w:rsid w:val="005F7DA8"/>
    <w:rsid w:val="006003E1"/>
    <w:rsid w:val="00600537"/>
    <w:rsid w:val="006013A4"/>
    <w:rsid w:val="0060215C"/>
    <w:rsid w:val="006026D5"/>
    <w:rsid w:val="00602C4C"/>
    <w:rsid w:val="00602F5E"/>
    <w:rsid w:val="00603342"/>
    <w:rsid w:val="006033C1"/>
    <w:rsid w:val="0060388C"/>
    <w:rsid w:val="006039A4"/>
    <w:rsid w:val="00603CCC"/>
    <w:rsid w:val="00604554"/>
    <w:rsid w:val="0060477B"/>
    <w:rsid w:val="00604AA8"/>
    <w:rsid w:val="00604EC3"/>
    <w:rsid w:val="0060546B"/>
    <w:rsid w:val="00605919"/>
    <w:rsid w:val="00605ACE"/>
    <w:rsid w:val="00605D7C"/>
    <w:rsid w:val="00606451"/>
    <w:rsid w:val="006064C4"/>
    <w:rsid w:val="0060667F"/>
    <w:rsid w:val="00606B13"/>
    <w:rsid w:val="00606DB6"/>
    <w:rsid w:val="00606E9E"/>
    <w:rsid w:val="0060732B"/>
    <w:rsid w:val="00607338"/>
    <w:rsid w:val="006073F4"/>
    <w:rsid w:val="00607A4C"/>
    <w:rsid w:val="00610165"/>
    <w:rsid w:val="0061042A"/>
    <w:rsid w:val="00610881"/>
    <w:rsid w:val="006108DB"/>
    <w:rsid w:val="00610AF7"/>
    <w:rsid w:val="00610E57"/>
    <w:rsid w:val="0061188B"/>
    <w:rsid w:val="0061189F"/>
    <w:rsid w:val="00611A7C"/>
    <w:rsid w:val="00611F64"/>
    <w:rsid w:val="00612509"/>
    <w:rsid w:val="00612E2B"/>
    <w:rsid w:val="00614907"/>
    <w:rsid w:val="00614962"/>
    <w:rsid w:val="00614965"/>
    <w:rsid w:val="00614D12"/>
    <w:rsid w:val="00614D90"/>
    <w:rsid w:val="00614F03"/>
    <w:rsid w:val="00615F7C"/>
    <w:rsid w:val="006161E9"/>
    <w:rsid w:val="00617800"/>
    <w:rsid w:val="00617B8A"/>
    <w:rsid w:val="006207BD"/>
    <w:rsid w:val="00621684"/>
    <w:rsid w:val="00621FB9"/>
    <w:rsid w:val="0062201E"/>
    <w:rsid w:val="0062259C"/>
    <w:rsid w:val="00622865"/>
    <w:rsid w:val="0062288F"/>
    <w:rsid w:val="00622FE5"/>
    <w:rsid w:val="006231FE"/>
    <w:rsid w:val="00623826"/>
    <w:rsid w:val="00623909"/>
    <w:rsid w:val="006247E1"/>
    <w:rsid w:val="00624EAC"/>
    <w:rsid w:val="00624EEF"/>
    <w:rsid w:val="0062622E"/>
    <w:rsid w:val="00626333"/>
    <w:rsid w:val="0062666B"/>
    <w:rsid w:val="006269B6"/>
    <w:rsid w:val="00626E3D"/>
    <w:rsid w:val="00627064"/>
    <w:rsid w:val="00627A99"/>
    <w:rsid w:val="00630060"/>
    <w:rsid w:val="006309A9"/>
    <w:rsid w:val="00631005"/>
    <w:rsid w:val="00631029"/>
    <w:rsid w:val="00631D1B"/>
    <w:rsid w:val="006322A0"/>
    <w:rsid w:val="00632BDA"/>
    <w:rsid w:val="00632D15"/>
    <w:rsid w:val="00632D1E"/>
    <w:rsid w:val="00632F53"/>
    <w:rsid w:val="006330E8"/>
    <w:rsid w:val="00633492"/>
    <w:rsid w:val="00633EB6"/>
    <w:rsid w:val="00633FA6"/>
    <w:rsid w:val="006340D8"/>
    <w:rsid w:val="00634584"/>
    <w:rsid w:val="0063461F"/>
    <w:rsid w:val="00634B0D"/>
    <w:rsid w:val="0063517B"/>
    <w:rsid w:val="006352CF"/>
    <w:rsid w:val="00635D75"/>
    <w:rsid w:val="00636474"/>
    <w:rsid w:val="006368EC"/>
    <w:rsid w:val="00637558"/>
    <w:rsid w:val="0063772C"/>
    <w:rsid w:val="006378FE"/>
    <w:rsid w:val="00637DBA"/>
    <w:rsid w:val="00637E3A"/>
    <w:rsid w:val="006404AC"/>
    <w:rsid w:val="00640671"/>
    <w:rsid w:val="00640C72"/>
    <w:rsid w:val="00640EE6"/>
    <w:rsid w:val="0064145C"/>
    <w:rsid w:val="006418C2"/>
    <w:rsid w:val="0064192C"/>
    <w:rsid w:val="00641933"/>
    <w:rsid w:val="00642130"/>
    <w:rsid w:val="006424D8"/>
    <w:rsid w:val="00642596"/>
    <w:rsid w:val="006425D6"/>
    <w:rsid w:val="00642BC4"/>
    <w:rsid w:val="00642DEB"/>
    <w:rsid w:val="006430B7"/>
    <w:rsid w:val="006433B2"/>
    <w:rsid w:val="00643472"/>
    <w:rsid w:val="00643ED4"/>
    <w:rsid w:val="00644F6A"/>
    <w:rsid w:val="00646718"/>
    <w:rsid w:val="006469E7"/>
    <w:rsid w:val="00646AE8"/>
    <w:rsid w:val="0064704C"/>
    <w:rsid w:val="00647A9B"/>
    <w:rsid w:val="00647ADA"/>
    <w:rsid w:val="00647EDD"/>
    <w:rsid w:val="006502C9"/>
    <w:rsid w:val="006502F5"/>
    <w:rsid w:val="0065086D"/>
    <w:rsid w:val="00650B14"/>
    <w:rsid w:val="00650D72"/>
    <w:rsid w:val="00651067"/>
    <w:rsid w:val="006512C6"/>
    <w:rsid w:val="00651918"/>
    <w:rsid w:val="00651BC2"/>
    <w:rsid w:val="00651F01"/>
    <w:rsid w:val="00651F1D"/>
    <w:rsid w:val="0065317A"/>
    <w:rsid w:val="00653B4C"/>
    <w:rsid w:val="006553B3"/>
    <w:rsid w:val="006557AB"/>
    <w:rsid w:val="006557FB"/>
    <w:rsid w:val="006559D5"/>
    <w:rsid w:val="00656022"/>
    <w:rsid w:val="0065603B"/>
    <w:rsid w:val="00656ABC"/>
    <w:rsid w:val="00656E15"/>
    <w:rsid w:val="0066037E"/>
    <w:rsid w:val="00660BBC"/>
    <w:rsid w:val="006613C1"/>
    <w:rsid w:val="00661D6B"/>
    <w:rsid w:val="00661FF4"/>
    <w:rsid w:val="0066202E"/>
    <w:rsid w:val="006624E6"/>
    <w:rsid w:val="006629F0"/>
    <w:rsid w:val="00663080"/>
    <w:rsid w:val="006636CD"/>
    <w:rsid w:val="006639A3"/>
    <w:rsid w:val="00663A5A"/>
    <w:rsid w:val="00664799"/>
    <w:rsid w:val="006648A0"/>
    <w:rsid w:val="006650D3"/>
    <w:rsid w:val="00665683"/>
    <w:rsid w:val="00665742"/>
    <w:rsid w:val="00665E70"/>
    <w:rsid w:val="00665F17"/>
    <w:rsid w:val="006660DD"/>
    <w:rsid w:val="00666C0A"/>
    <w:rsid w:val="006672D5"/>
    <w:rsid w:val="00667398"/>
    <w:rsid w:val="00670CA7"/>
    <w:rsid w:val="00671B4D"/>
    <w:rsid w:val="006720A5"/>
    <w:rsid w:val="00672466"/>
    <w:rsid w:val="00672570"/>
    <w:rsid w:val="0067293E"/>
    <w:rsid w:val="00672F2F"/>
    <w:rsid w:val="00673002"/>
    <w:rsid w:val="006735DF"/>
    <w:rsid w:val="0067366C"/>
    <w:rsid w:val="006736DE"/>
    <w:rsid w:val="00673EB4"/>
    <w:rsid w:val="0067421F"/>
    <w:rsid w:val="0067427C"/>
    <w:rsid w:val="006742A1"/>
    <w:rsid w:val="006746FA"/>
    <w:rsid w:val="006748B5"/>
    <w:rsid w:val="0067499D"/>
    <w:rsid w:val="00674EF3"/>
    <w:rsid w:val="00674FD6"/>
    <w:rsid w:val="00675636"/>
    <w:rsid w:val="00675BAE"/>
    <w:rsid w:val="00676AD4"/>
    <w:rsid w:val="00677614"/>
    <w:rsid w:val="00677647"/>
    <w:rsid w:val="00677847"/>
    <w:rsid w:val="00677C02"/>
    <w:rsid w:val="00680549"/>
    <w:rsid w:val="00680B55"/>
    <w:rsid w:val="00681463"/>
    <w:rsid w:val="00681CE2"/>
    <w:rsid w:val="00682AD4"/>
    <w:rsid w:val="00683231"/>
    <w:rsid w:val="006834E9"/>
    <w:rsid w:val="006840D9"/>
    <w:rsid w:val="006858C1"/>
    <w:rsid w:val="006867B5"/>
    <w:rsid w:val="00686B55"/>
    <w:rsid w:val="00686C1A"/>
    <w:rsid w:val="00687700"/>
    <w:rsid w:val="00687B49"/>
    <w:rsid w:val="00687EC8"/>
    <w:rsid w:val="00690A70"/>
    <w:rsid w:val="00690BF8"/>
    <w:rsid w:val="00690D38"/>
    <w:rsid w:val="00690F8E"/>
    <w:rsid w:val="006919FD"/>
    <w:rsid w:val="00691D30"/>
    <w:rsid w:val="00691F65"/>
    <w:rsid w:val="00692277"/>
    <w:rsid w:val="006928B9"/>
    <w:rsid w:val="00692CF3"/>
    <w:rsid w:val="00692DB5"/>
    <w:rsid w:val="00693292"/>
    <w:rsid w:val="00693499"/>
    <w:rsid w:val="00693C1E"/>
    <w:rsid w:val="006945CC"/>
    <w:rsid w:val="006945FD"/>
    <w:rsid w:val="006946CE"/>
    <w:rsid w:val="006958A6"/>
    <w:rsid w:val="006962F9"/>
    <w:rsid w:val="00696677"/>
    <w:rsid w:val="0069671B"/>
    <w:rsid w:val="006968EE"/>
    <w:rsid w:val="00696B0F"/>
    <w:rsid w:val="0069713B"/>
    <w:rsid w:val="0069797A"/>
    <w:rsid w:val="00697DBD"/>
    <w:rsid w:val="00697EAC"/>
    <w:rsid w:val="006A016C"/>
    <w:rsid w:val="006A03EE"/>
    <w:rsid w:val="006A17B5"/>
    <w:rsid w:val="006A202E"/>
    <w:rsid w:val="006A26BE"/>
    <w:rsid w:val="006A28AC"/>
    <w:rsid w:val="006A28E5"/>
    <w:rsid w:val="006A32D5"/>
    <w:rsid w:val="006A33F1"/>
    <w:rsid w:val="006A3ECE"/>
    <w:rsid w:val="006A45C9"/>
    <w:rsid w:val="006A4743"/>
    <w:rsid w:val="006A4877"/>
    <w:rsid w:val="006A4A6B"/>
    <w:rsid w:val="006A4AD7"/>
    <w:rsid w:val="006A51C2"/>
    <w:rsid w:val="006A54EF"/>
    <w:rsid w:val="006A58C9"/>
    <w:rsid w:val="006A5FF9"/>
    <w:rsid w:val="006A64C3"/>
    <w:rsid w:val="006A6623"/>
    <w:rsid w:val="006A7B4E"/>
    <w:rsid w:val="006B0293"/>
    <w:rsid w:val="006B0367"/>
    <w:rsid w:val="006B043C"/>
    <w:rsid w:val="006B086C"/>
    <w:rsid w:val="006B10D3"/>
    <w:rsid w:val="006B1DAF"/>
    <w:rsid w:val="006B1FE1"/>
    <w:rsid w:val="006B203A"/>
    <w:rsid w:val="006B2354"/>
    <w:rsid w:val="006B265A"/>
    <w:rsid w:val="006B28B8"/>
    <w:rsid w:val="006B2B9C"/>
    <w:rsid w:val="006B2F59"/>
    <w:rsid w:val="006B3323"/>
    <w:rsid w:val="006B3519"/>
    <w:rsid w:val="006B4154"/>
    <w:rsid w:val="006B441A"/>
    <w:rsid w:val="006B4624"/>
    <w:rsid w:val="006B498C"/>
    <w:rsid w:val="006B5179"/>
    <w:rsid w:val="006B51C4"/>
    <w:rsid w:val="006B5569"/>
    <w:rsid w:val="006B5650"/>
    <w:rsid w:val="006B5E30"/>
    <w:rsid w:val="006B5E65"/>
    <w:rsid w:val="006B603B"/>
    <w:rsid w:val="006B630C"/>
    <w:rsid w:val="006B6652"/>
    <w:rsid w:val="006B6BE1"/>
    <w:rsid w:val="006B7267"/>
    <w:rsid w:val="006B72DA"/>
    <w:rsid w:val="006B781E"/>
    <w:rsid w:val="006B7A06"/>
    <w:rsid w:val="006B7D0A"/>
    <w:rsid w:val="006B7D41"/>
    <w:rsid w:val="006B7E37"/>
    <w:rsid w:val="006B7F97"/>
    <w:rsid w:val="006C0954"/>
    <w:rsid w:val="006C0FA5"/>
    <w:rsid w:val="006C15C5"/>
    <w:rsid w:val="006C27FF"/>
    <w:rsid w:val="006C28A0"/>
    <w:rsid w:val="006C2BDD"/>
    <w:rsid w:val="006C2C00"/>
    <w:rsid w:val="006C2E21"/>
    <w:rsid w:val="006C35C5"/>
    <w:rsid w:val="006C3999"/>
    <w:rsid w:val="006C3AAF"/>
    <w:rsid w:val="006C3BDF"/>
    <w:rsid w:val="006C47C1"/>
    <w:rsid w:val="006C4986"/>
    <w:rsid w:val="006C4C0B"/>
    <w:rsid w:val="006C4F43"/>
    <w:rsid w:val="006C5048"/>
    <w:rsid w:val="006C50D6"/>
    <w:rsid w:val="006C528B"/>
    <w:rsid w:val="006C546E"/>
    <w:rsid w:val="006C59ED"/>
    <w:rsid w:val="006C59FD"/>
    <w:rsid w:val="006C5E97"/>
    <w:rsid w:val="006C68D2"/>
    <w:rsid w:val="006C6D76"/>
    <w:rsid w:val="006C7A83"/>
    <w:rsid w:val="006C7AFA"/>
    <w:rsid w:val="006D03B1"/>
    <w:rsid w:val="006D0485"/>
    <w:rsid w:val="006D04C3"/>
    <w:rsid w:val="006D093C"/>
    <w:rsid w:val="006D0D65"/>
    <w:rsid w:val="006D0D9C"/>
    <w:rsid w:val="006D10E5"/>
    <w:rsid w:val="006D1B50"/>
    <w:rsid w:val="006D1D37"/>
    <w:rsid w:val="006D1E5D"/>
    <w:rsid w:val="006D1F8C"/>
    <w:rsid w:val="006D25F7"/>
    <w:rsid w:val="006D293C"/>
    <w:rsid w:val="006D2FEE"/>
    <w:rsid w:val="006D31E3"/>
    <w:rsid w:val="006D3228"/>
    <w:rsid w:val="006D35A3"/>
    <w:rsid w:val="006D3DBC"/>
    <w:rsid w:val="006D40F5"/>
    <w:rsid w:val="006D419F"/>
    <w:rsid w:val="006D467B"/>
    <w:rsid w:val="006D4B47"/>
    <w:rsid w:val="006D5134"/>
    <w:rsid w:val="006D546C"/>
    <w:rsid w:val="006D5576"/>
    <w:rsid w:val="006D613B"/>
    <w:rsid w:val="006D695F"/>
    <w:rsid w:val="006D7416"/>
    <w:rsid w:val="006D7454"/>
    <w:rsid w:val="006D7F52"/>
    <w:rsid w:val="006E00B7"/>
    <w:rsid w:val="006E0156"/>
    <w:rsid w:val="006E06B8"/>
    <w:rsid w:val="006E07D9"/>
    <w:rsid w:val="006E0994"/>
    <w:rsid w:val="006E09DC"/>
    <w:rsid w:val="006E1B16"/>
    <w:rsid w:val="006E23EB"/>
    <w:rsid w:val="006E3182"/>
    <w:rsid w:val="006E37ED"/>
    <w:rsid w:val="006E4130"/>
    <w:rsid w:val="006E48F5"/>
    <w:rsid w:val="006E590E"/>
    <w:rsid w:val="006E5A51"/>
    <w:rsid w:val="006E67FF"/>
    <w:rsid w:val="006E68FD"/>
    <w:rsid w:val="006E6CE0"/>
    <w:rsid w:val="006E6E6F"/>
    <w:rsid w:val="006E74C7"/>
    <w:rsid w:val="006F026B"/>
    <w:rsid w:val="006F027E"/>
    <w:rsid w:val="006F0CF9"/>
    <w:rsid w:val="006F0DF3"/>
    <w:rsid w:val="006F0E6B"/>
    <w:rsid w:val="006F2783"/>
    <w:rsid w:val="006F32C2"/>
    <w:rsid w:val="006F32C4"/>
    <w:rsid w:val="006F341E"/>
    <w:rsid w:val="006F377D"/>
    <w:rsid w:val="006F40B5"/>
    <w:rsid w:val="006F450C"/>
    <w:rsid w:val="006F4988"/>
    <w:rsid w:val="006F5060"/>
    <w:rsid w:val="006F53C2"/>
    <w:rsid w:val="006F5618"/>
    <w:rsid w:val="006F577B"/>
    <w:rsid w:val="006F605C"/>
    <w:rsid w:val="006F635D"/>
    <w:rsid w:val="006F657B"/>
    <w:rsid w:val="006F6606"/>
    <w:rsid w:val="006F6BE8"/>
    <w:rsid w:val="006F6E3A"/>
    <w:rsid w:val="006F707D"/>
    <w:rsid w:val="006F714F"/>
    <w:rsid w:val="006F7430"/>
    <w:rsid w:val="006F79A1"/>
    <w:rsid w:val="0070003C"/>
    <w:rsid w:val="00700FE4"/>
    <w:rsid w:val="0070107F"/>
    <w:rsid w:val="00701112"/>
    <w:rsid w:val="00701869"/>
    <w:rsid w:val="00701D3F"/>
    <w:rsid w:val="007020B0"/>
    <w:rsid w:val="0070239B"/>
    <w:rsid w:val="0070251D"/>
    <w:rsid w:val="0070256C"/>
    <w:rsid w:val="007028FA"/>
    <w:rsid w:val="00703AA2"/>
    <w:rsid w:val="00703BAA"/>
    <w:rsid w:val="00704099"/>
    <w:rsid w:val="00704B8F"/>
    <w:rsid w:val="007059D4"/>
    <w:rsid w:val="00705A53"/>
    <w:rsid w:val="00705AED"/>
    <w:rsid w:val="00705F0C"/>
    <w:rsid w:val="00706433"/>
    <w:rsid w:val="00706695"/>
    <w:rsid w:val="00706E7C"/>
    <w:rsid w:val="00707E60"/>
    <w:rsid w:val="00710165"/>
    <w:rsid w:val="0071016C"/>
    <w:rsid w:val="00710517"/>
    <w:rsid w:val="007106A0"/>
    <w:rsid w:val="00710B56"/>
    <w:rsid w:val="00710C5E"/>
    <w:rsid w:val="00711125"/>
    <w:rsid w:val="0071133C"/>
    <w:rsid w:val="00711E15"/>
    <w:rsid w:val="00712286"/>
    <w:rsid w:val="00712979"/>
    <w:rsid w:val="00712D55"/>
    <w:rsid w:val="00712E5D"/>
    <w:rsid w:val="00713427"/>
    <w:rsid w:val="00713A35"/>
    <w:rsid w:val="0071429D"/>
    <w:rsid w:val="00714592"/>
    <w:rsid w:val="0071491B"/>
    <w:rsid w:val="007150EE"/>
    <w:rsid w:val="00715765"/>
    <w:rsid w:val="00715B5B"/>
    <w:rsid w:val="00715DA4"/>
    <w:rsid w:val="00715E46"/>
    <w:rsid w:val="00715EE2"/>
    <w:rsid w:val="00715F59"/>
    <w:rsid w:val="0071670D"/>
    <w:rsid w:val="00716950"/>
    <w:rsid w:val="007179AB"/>
    <w:rsid w:val="00717BCF"/>
    <w:rsid w:val="00720629"/>
    <w:rsid w:val="007209B5"/>
    <w:rsid w:val="00720D61"/>
    <w:rsid w:val="00720DEE"/>
    <w:rsid w:val="00721219"/>
    <w:rsid w:val="0072180D"/>
    <w:rsid w:val="00721A55"/>
    <w:rsid w:val="00721A71"/>
    <w:rsid w:val="00721DC5"/>
    <w:rsid w:val="00722588"/>
    <w:rsid w:val="00723163"/>
    <w:rsid w:val="00723329"/>
    <w:rsid w:val="007237F9"/>
    <w:rsid w:val="00723899"/>
    <w:rsid w:val="00723D9E"/>
    <w:rsid w:val="00724CEB"/>
    <w:rsid w:val="00724D1E"/>
    <w:rsid w:val="007257F0"/>
    <w:rsid w:val="00725B22"/>
    <w:rsid w:val="00726709"/>
    <w:rsid w:val="00726CF4"/>
    <w:rsid w:val="0072760D"/>
    <w:rsid w:val="00727ADD"/>
    <w:rsid w:val="00727CC4"/>
    <w:rsid w:val="00727D3C"/>
    <w:rsid w:val="00727EF1"/>
    <w:rsid w:val="0073040B"/>
    <w:rsid w:val="00730CC3"/>
    <w:rsid w:val="00730EDD"/>
    <w:rsid w:val="0073145F"/>
    <w:rsid w:val="00732560"/>
    <w:rsid w:val="00732F6F"/>
    <w:rsid w:val="00733067"/>
    <w:rsid w:val="00733222"/>
    <w:rsid w:val="00733774"/>
    <w:rsid w:val="0073394E"/>
    <w:rsid w:val="00733C34"/>
    <w:rsid w:val="00733CD3"/>
    <w:rsid w:val="0073489A"/>
    <w:rsid w:val="00734F93"/>
    <w:rsid w:val="007351A8"/>
    <w:rsid w:val="00735539"/>
    <w:rsid w:val="0073561E"/>
    <w:rsid w:val="00735715"/>
    <w:rsid w:val="00735839"/>
    <w:rsid w:val="00735932"/>
    <w:rsid w:val="007367A1"/>
    <w:rsid w:val="00736A5E"/>
    <w:rsid w:val="0073739E"/>
    <w:rsid w:val="007373D7"/>
    <w:rsid w:val="00737FF3"/>
    <w:rsid w:val="00740395"/>
    <w:rsid w:val="00740C18"/>
    <w:rsid w:val="00740F8E"/>
    <w:rsid w:val="007411D3"/>
    <w:rsid w:val="00741413"/>
    <w:rsid w:val="00741440"/>
    <w:rsid w:val="00743C77"/>
    <w:rsid w:val="00744123"/>
    <w:rsid w:val="007443D8"/>
    <w:rsid w:val="00744401"/>
    <w:rsid w:val="00744A3D"/>
    <w:rsid w:val="00744C6A"/>
    <w:rsid w:val="00745152"/>
    <w:rsid w:val="0074578D"/>
    <w:rsid w:val="00745CF9"/>
    <w:rsid w:val="00746007"/>
    <w:rsid w:val="00746887"/>
    <w:rsid w:val="00746926"/>
    <w:rsid w:val="00746E71"/>
    <w:rsid w:val="007475BD"/>
    <w:rsid w:val="007477FC"/>
    <w:rsid w:val="0074789D"/>
    <w:rsid w:val="00747B8A"/>
    <w:rsid w:val="00750228"/>
    <w:rsid w:val="00750375"/>
    <w:rsid w:val="0075042B"/>
    <w:rsid w:val="00750825"/>
    <w:rsid w:val="007508BA"/>
    <w:rsid w:val="00750A0F"/>
    <w:rsid w:val="00750DB1"/>
    <w:rsid w:val="00751331"/>
    <w:rsid w:val="00751730"/>
    <w:rsid w:val="00751900"/>
    <w:rsid w:val="00751BBA"/>
    <w:rsid w:val="0075243D"/>
    <w:rsid w:val="00752444"/>
    <w:rsid w:val="00752FC9"/>
    <w:rsid w:val="00753221"/>
    <w:rsid w:val="0075371F"/>
    <w:rsid w:val="0075386F"/>
    <w:rsid w:val="007539F2"/>
    <w:rsid w:val="00753E01"/>
    <w:rsid w:val="00754064"/>
    <w:rsid w:val="00754533"/>
    <w:rsid w:val="00754A3A"/>
    <w:rsid w:val="00754A58"/>
    <w:rsid w:val="00754ED8"/>
    <w:rsid w:val="0075503F"/>
    <w:rsid w:val="00755234"/>
    <w:rsid w:val="00755C81"/>
    <w:rsid w:val="00756048"/>
    <w:rsid w:val="00756071"/>
    <w:rsid w:val="007564BF"/>
    <w:rsid w:val="00756D82"/>
    <w:rsid w:val="0075703A"/>
    <w:rsid w:val="00757FD0"/>
    <w:rsid w:val="007614D0"/>
    <w:rsid w:val="00761CEE"/>
    <w:rsid w:val="00761FCB"/>
    <w:rsid w:val="00762125"/>
    <w:rsid w:val="007623BC"/>
    <w:rsid w:val="00762741"/>
    <w:rsid w:val="00762BB3"/>
    <w:rsid w:val="007631C1"/>
    <w:rsid w:val="00763214"/>
    <w:rsid w:val="007632FC"/>
    <w:rsid w:val="00763830"/>
    <w:rsid w:val="00763ACC"/>
    <w:rsid w:val="00763C0E"/>
    <w:rsid w:val="00763FDF"/>
    <w:rsid w:val="007647DC"/>
    <w:rsid w:val="00764D9E"/>
    <w:rsid w:val="00764E1F"/>
    <w:rsid w:val="00765222"/>
    <w:rsid w:val="0076586F"/>
    <w:rsid w:val="00765947"/>
    <w:rsid w:val="00765A27"/>
    <w:rsid w:val="00765A88"/>
    <w:rsid w:val="007662E5"/>
    <w:rsid w:val="0076632B"/>
    <w:rsid w:val="0076643F"/>
    <w:rsid w:val="00766522"/>
    <w:rsid w:val="00766AFB"/>
    <w:rsid w:val="0076747B"/>
    <w:rsid w:val="007675E8"/>
    <w:rsid w:val="007675F7"/>
    <w:rsid w:val="00767F2D"/>
    <w:rsid w:val="00770C11"/>
    <w:rsid w:val="00770D15"/>
    <w:rsid w:val="0077131E"/>
    <w:rsid w:val="007716D0"/>
    <w:rsid w:val="007716D6"/>
    <w:rsid w:val="007718CC"/>
    <w:rsid w:val="00771A83"/>
    <w:rsid w:val="00771E6E"/>
    <w:rsid w:val="00772526"/>
    <w:rsid w:val="0077266E"/>
    <w:rsid w:val="0077267B"/>
    <w:rsid w:val="00772870"/>
    <w:rsid w:val="007736E3"/>
    <w:rsid w:val="00773777"/>
    <w:rsid w:val="007740C2"/>
    <w:rsid w:val="007749D1"/>
    <w:rsid w:val="00774C67"/>
    <w:rsid w:val="007750DD"/>
    <w:rsid w:val="00775291"/>
    <w:rsid w:val="00775773"/>
    <w:rsid w:val="0077588A"/>
    <w:rsid w:val="007758AD"/>
    <w:rsid w:val="007758DA"/>
    <w:rsid w:val="00775D1C"/>
    <w:rsid w:val="00775D53"/>
    <w:rsid w:val="007763CA"/>
    <w:rsid w:val="00776551"/>
    <w:rsid w:val="00776626"/>
    <w:rsid w:val="00776962"/>
    <w:rsid w:val="00776C5C"/>
    <w:rsid w:val="007772E8"/>
    <w:rsid w:val="0077753A"/>
    <w:rsid w:val="00777822"/>
    <w:rsid w:val="0077794C"/>
    <w:rsid w:val="00777BC1"/>
    <w:rsid w:val="00777FF0"/>
    <w:rsid w:val="007803A6"/>
    <w:rsid w:val="007806E0"/>
    <w:rsid w:val="0078094D"/>
    <w:rsid w:val="00780AD8"/>
    <w:rsid w:val="007818F4"/>
    <w:rsid w:val="007822E1"/>
    <w:rsid w:val="00782B58"/>
    <w:rsid w:val="00782BE0"/>
    <w:rsid w:val="00782D18"/>
    <w:rsid w:val="00782F73"/>
    <w:rsid w:val="0078382B"/>
    <w:rsid w:val="007839D7"/>
    <w:rsid w:val="00783D08"/>
    <w:rsid w:val="00783E3F"/>
    <w:rsid w:val="007844EF"/>
    <w:rsid w:val="0078471D"/>
    <w:rsid w:val="007847C7"/>
    <w:rsid w:val="0078481B"/>
    <w:rsid w:val="00784DA6"/>
    <w:rsid w:val="00784E22"/>
    <w:rsid w:val="00784F7D"/>
    <w:rsid w:val="00785096"/>
    <w:rsid w:val="007863DE"/>
    <w:rsid w:val="00787030"/>
    <w:rsid w:val="00787238"/>
    <w:rsid w:val="00787A65"/>
    <w:rsid w:val="00787C65"/>
    <w:rsid w:val="007901CB"/>
    <w:rsid w:val="007902D9"/>
    <w:rsid w:val="00791257"/>
    <w:rsid w:val="0079186A"/>
    <w:rsid w:val="00791A1D"/>
    <w:rsid w:val="00792102"/>
    <w:rsid w:val="00792617"/>
    <w:rsid w:val="0079278B"/>
    <w:rsid w:val="00793904"/>
    <w:rsid w:val="00793E82"/>
    <w:rsid w:val="007942F6"/>
    <w:rsid w:val="00794522"/>
    <w:rsid w:val="007948D1"/>
    <w:rsid w:val="00794B07"/>
    <w:rsid w:val="00794EE1"/>
    <w:rsid w:val="00794FE5"/>
    <w:rsid w:val="00795074"/>
    <w:rsid w:val="00795F3E"/>
    <w:rsid w:val="00796328"/>
    <w:rsid w:val="007964EC"/>
    <w:rsid w:val="007968FB"/>
    <w:rsid w:val="00796EA3"/>
    <w:rsid w:val="00796FC1"/>
    <w:rsid w:val="00797017"/>
    <w:rsid w:val="00797315"/>
    <w:rsid w:val="00797403"/>
    <w:rsid w:val="0079752F"/>
    <w:rsid w:val="007A01C1"/>
    <w:rsid w:val="007A021F"/>
    <w:rsid w:val="007A056E"/>
    <w:rsid w:val="007A08B3"/>
    <w:rsid w:val="007A0DC0"/>
    <w:rsid w:val="007A0EA6"/>
    <w:rsid w:val="007A0F13"/>
    <w:rsid w:val="007A1026"/>
    <w:rsid w:val="007A17A6"/>
    <w:rsid w:val="007A1D70"/>
    <w:rsid w:val="007A2E97"/>
    <w:rsid w:val="007A3996"/>
    <w:rsid w:val="007A3F86"/>
    <w:rsid w:val="007A40A5"/>
    <w:rsid w:val="007A4A62"/>
    <w:rsid w:val="007A4BA7"/>
    <w:rsid w:val="007A4C91"/>
    <w:rsid w:val="007A5357"/>
    <w:rsid w:val="007A5361"/>
    <w:rsid w:val="007A5A2C"/>
    <w:rsid w:val="007A5B63"/>
    <w:rsid w:val="007A5D74"/>
    <w:rsid w:val="007A60C0"/>
    <w:rsid w:val="007A6177"/>
    <w:rsid w:val="007A7580"/>
    <w:rsid w:val="007A7724"/>
    <w:rsid w:val="007A7831"/>
    <w:rsid w:val="007A7F2F"/>
    <w:rsid w:val="007B003A"/>
    <w:rsid w:val="007B011D"/>
    <w:rsid w:val="007B0244"/>
    <w:rsid w:val="007B043E"/>
    <w:rsid w:val="007B04C6"/>
    <w:rsid w:val="007B0918"/>
    <w:rsid w:val="007B0C37"/>
    <w:rsid w:val="007B10A0"/>
    <w:rsid w:val="007B10C4"/>
    <w:rsid w:val="007B14A9"/>
    <w:rsid w:val="007B1750"/>
    <w:rsid w:val="007B2686"/>
    <w:rsid w:val="007B2900"/>
    <w:rsid w:val="007B2F94"/>
    <w:rsid w:val="007B33CC"/>
    <w:rsid w:val="007B3E5F"/>
    <w:rsid w:val="007B438E"/>
    <w:rsid w:val="007B47DD"/>
    <w:rsid w:val="007B4D95"/>
    <w:rsid w:val="007B5271"/>
    <w:rsid w:val="007B5336"/>
    <w:rsid w:val="007B54B4"/>
    <w:rsid w:val="007B54B6"/>
    <w:rsid w:val="007B5BAB"/>
    <w:rsid w:val="007B5FD3"/>
    <w:rsid w:val="007B6BA3"/>
    <w:rsid w:val="007B6F00"/>
    <w:rsid w:val="007B7141"/>
    <w:rsid w:val="007B7208"/>
    <w:rsid w:val="007B7235"/>
    <w:rsid w:val="007B749C"/>
    <w:rsid w:val="007C0371"/>
    <w:rsid w:val="007C05E5"/>
    <w:rsid w:val="007C0840"/>
    <w:rsid w:val="007C0E99"/>
    <w:rsid w:val="007C11A8"/>
    <w:rsid w:val="007C11FE"/>
    <w:rsid w:val="007C1730"/>
    <w:rsid w:val="007C22EB"/>
    <w:rsid w:val="007C2446"/>
    <w:rsid w:val="007C2462"/>
    <w:rsid w:val="007C24F9"/>
    <w:rsid w:val="007C3121"/>
    <w:rsid w:val="007C322A"/>
    <w:rsid w:val="007C3233"/>
    <w:rsid w:val="007C3269"/>
    <w:rsid w:val="007C32BE"/>
    <w:rsid w:val="007C39BD"/>
    <w:rsid w:val="007C3BB5"/>
    <w:rsid w:val="007C3D88"/>
    <w:rsid w:val="007C3EF9"/>
    <w:rsid w:val="007C4958"/>
    <w:rsid w:val="007C49A5"/>
    <w:rsid w:val="007C4B34"/>
    <w:rsid w:val="007C55C4"/>
    <w:rsid w:val="007C571A"/>
    <w:rsid w:val="007C5A38"/>
    <w:rsid w:val="007C66BC"/>
    <w:rsid w:val="007C681F"/>
    <w:rsid w:val="007C70F0"/>
    <w:rsid w:val="007C71E4"/>
    <w:rsid w:val="007C73D7"/>
    <w:rsid w:val="007C7C86"/>
    <w:rsid w:val="007D0732"/>
    <w:rsid w:val="007D16B0"/>
    <w:rsid w:val="007D1C1E"/>
    <w:rsid w:val="007D246E"/>
    <w:rsid w:val="007D3229"/>
    <w:rsid w:val="007D39B6"/>
    <w:rsid w:val="007D3F31"/>
    <w:rsid w:val="007D4AF2"/>
    <w:rsid w:val="007D503A"/>
    <w:rsid w:val="007D51D3"/>
    <w:rsid w:val="007D52A4"/>
    <w:rsid w:val="007D53AD"/>
    <w:rsid w:val="007D5E4B"/>
    <w:rsid w:val="007D5E97"/>
    <w:rsid w:val="007D62A9"/>
    <w:rsid w:val="007D63D6"/>
    <w:rsid w:val="007D642E"/>
    <w:rsid w:val="007D653D"/>
    <w:rsid w:val="007D6C21"/>
    <w:rsid w:val="007D6D0F"/>
    <w:rsid w:val="007D6D55"/>
    <w:rsid w:val="007D6F61"/>
    <w:rsid w:val="007D76CE"/>
    <w:rsid w:val="007E0A2A"/>
    <w:rsid w:val="007E0C92"/>
    <w:rsid w:val="007E1425"/>
    <w:rsid w:val="007E1674"/>
    <w:rsid w:val="007E24EC"/>
    <w:rsid w:val="007E2CC1"/>
    <w:rsid w:val="007E2D2B"/>
    <w:rsid w:val="007E2E4D"/>
    <w:rsid w:val="007E307E"/>
    <w:rsid w:val="007E357B"/>
    <w:rsid w:val="007E35F9"/>
    <w:rsid w:val="007E3695"/>
    <w:rsid w:val="007E36CA"/>
    <w:rsid w:val="007E3CDB"/>
    <w:rsid w:val="007E41DC"/>
    <w:rsid w:val="007E431F"/>
    <w:rsid w:val="007E43DC"/>
    <w:rsid w:val="007E44B9"/>
    <w:rsid w:val="007E539A"/>
    <w:rsid w:val="007E56EC"/>
    <w:rsid w:val="007E5753"/>
    <w:rsid w:val="007E588F"/>
    <w:rsid w:val="007E5B52"/>
    <w:rsid w:val="007E6450"/>
    <w:rsid w:val="007E6DFE"/>
    <w:rsid w:val="007E6FA7"/>
    <w:rsid w:val="007E7B78"/>
    <w:rsid w:val="007F05AD"/>
    <w:rsid w:val="007F0DF2"/>
    <w:rsid w:val="007F0EB1"/>
    <w:rsid w:val="007F0EEE"/>
    <w:rsid w:val="007F137D"/>
    <w:rsid w:val="007F1511"/>
    <w:rsid w:val="007F1C87"/>
    <w:rsid w:val="007F1F4B"/>
    <w:rsid w:val="007F2694"/>
    <w:rsid w:val="007F27C7"/>
    <w:rsid w:val="007F28FC"/>
    <w:rsid w:val="007F2C6D"/>
    <w:rsid w:val="007F2E09"/>
    <w:rsid w:val="007F3575"/>
    <w:rsid w:val="007F36B0"/>
    <w:rsid w:val="007F38C7"/>
    <w:rsid w:val="007F3EC4"/>
    <w:rsid w:val="007F4AAC"/>
    <w:rsid w:val="007F541A"/>
    <w:rsid w:val="007F59B9"/>
    <w:rsid w:val="007F5B17"/>
    <w:rsid w:val="007F5E46"/>
    <w:rsid w:val="007F7CA8"/>
    <w:rsid w:val="008003E3"/>
    <w:rsid w:val="00800D02"/>
    <w:rsid w:val="00800D59"/>
    <w:rsid w:val="00800D6B"/>
    <w:rsid w:val="00800DC8"/>
    <w:rsid w:val="0080108E"/>
    <w:rsid w:val="0080131C"/>
    <w:rsid w:val="008016CA"/>
    <w:rsid w:val="00801A56"/>
    <w:rsid w:val="00801C4D"/>
    <w:rsid w:val="00801E5F"/>
    <w:rsid w:val="00801E74"/>
    <w:rsid w:val="008020A7"/>
    <w:rsid w:val="008020BE"/>
    <w:rsid w:val="00802178"/>
    <w:rsid w:val="00802999"/>
    <w:rsid w:val="0080299E"/>
    <w:rsid w:val="00802F50"/>
    <w:rsid w:val="0080353B"/>
    <w:rsid w:val="008036AD"/>
    <w:rsid w:val="008039FA"/>
    <w:rsid w:val="00803EC1"/>
    <w:rsid w:val="00804AC8"/>
    <w:rsid w:val="00805083"/>
    <w:rsid w:val="00805556"/>
    <w:rsid w:val="0080558F"/>
    <w:rsid w:val="0080583D"/>
    <w:rsid w:val="00805B24"/>
    <w:rsid w:val="00805D9E"/>
    <w:rsid w:val="00806020"/>
    <w:rsid w:val="008060ED"/>
    <w:rsid w:val="00807AC1"/>
    <w:rsid w:val="00807C95"/>
    <w:rsid w:val="00807D6A"/>
    <w:rsid w:val="00807E7F"/>
    <w:rsid w:val="0081017E"/>
    <w:rsid w:val="00810290"/>
    <w:rsid w:val="00810A1D"/>
    <w:rsid w:val="00810B47"/>
    <w:rsid w:val="00810DEF"/>
    <w:rsid w:val="0081123D"/>
    <w:rsid w:val="008113DA"/>
    <w:rsid w:val="008116FF"/>
    <w:rsid w:val="00811D3F"/>
    <w:rsid w:val="0081211A"/>
    <w:rsid w:val="008121A6"/>
    <w:rsid w:val="008125B2"/>
    <w:rsid w:val="0081269C"/>
    <w:rsid w:val="00812779"/>
    <w:rsid w:val="008131A9"/>
    <w:rsid w:val="00813326"/>
    <w:rsid w:val="0081337D"/>
    <w:rsid w:val="00813411"/>
    <w:rsid w:val="0081358C"/>
    <w:rsid w:val="00813BF8"/>
    <w:rsid w:val="0081424C"/>
    <w:rsid w:val="008143A2"/>
    <w:rsid w:val="00814959"/>
    <w:rsid w:val="00815029"/>
    <w:rsid w:val="0081570E"/>
    <w:rsid w:val="00815DD4"/>
    <w:rsid w:val="00816001"/>
    <w:rsid w:val="008167B8"/>
    <w:rsid w:val="00816B57"/>
    <w:rsid w:val="00817080"/>
    <w:rsid w:val="0081717D"/>
    <w:rsid w:val="0081749B"/>
    <w:rsid w:val="00817744"/>
    <w:rsid w:val="00820097"/>
    <w:rsid w:val="00820126"/>
    <w:rsid w:val="00820233"/>
    <w:rsid w:val="00820A4A"/>
    <w:rsid w:val="00820BC8"/>
    <w:rsid w:val="00820E98"/>
    <w:rsid w:val="00820EF2"/>
    <w:rsid w:val="00820F65"/>
    <w:rsid w:val="00821029"/>
    <w:rsid w:val="00821320"/>
    <w:rsid w:val="00821386"/>
    <w:rsid w:val="0082195A"/>
    <w:rsid w:val="00822742"/>
    <w:rsid w:val="00822B3F"/>
    <w:rsid w:val="00823009"/>
    <w:rsid w:val="008231E7"/>
    <w:rsid w:val="008231FF"/>
    <w:rsid w:val="0082348D"/>
    <w:rsid w:val="00823E6F"/>
    <w:rsid w:val="0082433F"/>
    <w:rsid w:val="008247B2"/>
    <w:rsid w:val="008251FD"/>
    <w:rsid w:val="00825327"/>
    <w:rsid w:val="00825859"/>
    <w:rsid w:val="00825D6E"/>
    <w:rsid w:val="00825E52"/>
    <w:rsid w:val="00825EDB"/>
    <w:rsid w:val="008260DF"/>
    <w:rsid w:val="00826C93"/>
    <w:rsid w:val="00826D97"/>
    <w:rsid w:val="008271B0"/>
    <w:rsid w:val="008275D9"/>
    <w:rsid w:val="008279A5"/>
    <w:rsid w:val="008302A9"/>
    <w:rsid w:val="008304D8"/>
    <w:rsid w:val="00830901"/>
    <w:rsid w:val="00830903"/>
    <w:rsid w:val="008318A8"/>
    <w:rsid w:val="008319B3"/>
    <w:rsid w:val="00831FFB"/>
    <w:rsid w:val="00832071"/>
    <w:rsid w:val="008325CD"/>
    <w:rsid w:val="00832AB8"/>
    <w:rsid w:val="00832D89"/>
    <w:rsid w:val="00832DFE"/>
    <w:rsid w:val="0083347D"/>
    <w:rsid w:val="0083376D"/>
    <w:rsid w:val="008338BB"/>
    <w:rsid w:val="008339CF"/>
    <w:rsid w:val="00833B79"/>
    <w:rsid w:val="0083408B"/>
    <w:rsid w:val="00834643"/>
    <w:rsid w:val="00834A0F"/>
    <w:rsid w:val="00834BCB"/>
    <w:rsid w:val="0083503B"/>
    <w:rsid w:val="008352D5"/>
    <w:rsid w:val="00835351"/>
    <w:rsid w:val="0083541B"/>
    <w:rsid w:val="00835740"/>
    <w:rsid w:val="00835766"/>
    <w:rsid w:val="008359E9"/>
    <w:rsid w:val="008367B4"/>
    <w:rsid w:val="00836817"/>
    <w:rsid w:val="008375C6"/>
    <w:rsid w:val="0083774D"/>
    <w:rsid w:val="00837C0E"/>
    <w:rsid w:val="00837ECD"/>
    <w:rsid w:val="008401B9"/>
    <w:rsid w:val="008408A1"/>
    <w:rsid w:val="008408F2"/>
    <w:rsid w:val="00840DC6"/>
    <w:rsid w:val="00840E9C"/>
    <w:rsid w:val="00841686"/>
    <w:rsid w:val="00841E63"/>
    <w:rsid w:val="00841FF8"/>
    <w:rsid w:val="00842339"/>
    <w:rsid w:val="0084288D"/>
    <w:rsid w:val="00842E2E"/>
    <w:rsid w:val="0084354E"/>
    <w:rsid w:val="0084358A"/>
    <w:rsid w:val="00843692"/>
    <w:rsid w:val="008436E6"/>
    <w:rsid w:val="00843A28"/>
    <w:rsid w:val="00843B9C"/>
    <w:rsid w:val="00843C86"/>
    <w:rsid w:val="0084409F"/>
    <w:rsid w:val="0084415D"/>
    <w:rsid w:val="0084499D"/>
    <w:rsid w:val="008449BA"/>
    <w:rsid w:val="00844A8E"/>
    <w:rsid w:val="00844C4C"/>
    <w:rsid w:val="00845CBD"/>
    <w:rsid w:val="00845E4F"/>
    <w:rsid w:val="00846327"/>
    <w:rsid w:val="0084645F"/>
    <w:rsid w:val="0084677D"/>
    <w:rsid w:val="008469FF"/>
    <w:rsid w:val="008472FC"/>
    <w:rsid w:val="00847582"/>
    <w:rsid w:val="00847A1E"/>
    <w:rsid w:val="00847B53"/>
    <w:rsid w:val="00847E25"/>
    <w:rsid w:val="008505CA"/>
    <w:rsid w:val="00850C3F"/>
    <w:rsid w:val="00851B2F"/>
    <w:rsid w:val="00851FEE"/>
    <w:rsid w:val="00852A30"/>
    <w:rsid w:val="00852ADF"/>
    <w:rsid w:val="00852BEB"/>
    <w:rsid w:val="00852C59"/>
    <w:rsid w:val="00852DFF"/>
    <w:rsid w:val="00852FB4"/>
    <w:rsid w:val="00853A27"/>
    <w:rsid w:val="00853BB4"/>
    <w:rsid w:val="00853D95"/>
    <w:rsid w:val="0085409E"/>
    <w:rsid w:val="00854863"/>
    <w:rsid w:val="008556A9"/>
    <w:rsid w:val="00855CFA"/>
    <w:rsid w:val="008565B4"/>
    <w:rsid w:val="00856855"/>
    <w:rsid w:val="00856D1B"/>
    <w:rsid w:val="00856E12"/>
    <w:rsid w:val="00856E35"/>
    <w:rsid w:val="00857079"/>
    <w:rsid w:val="008571F3"/>
    <w:rsid w:val="008575F4"/>
    <w:rsid w:val="0086080B"/>
    <w:rsid w:val="00860891"/>
    <w:rsid w:val="008613C1"/>
    <w:rsid w:val="0086182C"/>
    <w:rsid w:val="008620C2"/>
    <w:rsid w:val="0086224D"/>
    <w:rsid w:val="00862887"/>
    <w:rsid w:val="00863418"/>
    <w:rsid w:val="00863576"/>
    <w:rsid w:val="008635A1"/>
    <w:rsid w:val="0086379F"/>
    <w:rsid w:val="008638BB"/>
    <w:rsid w:val="00863B67"/>
    <w:rsid w:val="00863C3F"/>
    <w:rsid w:val="00863D3D"/>
    <w:rsid w:val="00863DE7"/>
    <w:rsid w:val="00863F4E"/>
    <w:rsid w:val="008644EB"/>
    <w:rsid w:val="008648E6"/>
    <w:rsid w:val="00864CBD"/>
    <w:rsid w:val="0086553B"/>
    <w:rsid w:val="008655D7"/>
    <w:rsid w:val="00866B91"/>
    <w:rsid w:val="00866C34"/>
    <w:rsid w:val="0086704B"/>
    <w:rsid w:val="00867230"/>
    <w:rsid w:val="0086743A"/>
    <w:rsid w:val="008674FE"/>
    <w:rsid w:val="00867626"/>
    <w:rsid w:val="00867740"/>
    <w:rsid w:val="00867877"/>
    <w:rsid w:val="0086797F"/>
    <w:rsid w:val="008679FA"/>
    <w:rsid w:val="00867AC1"/>
    <w:rsid w:val="00870066"/>
    <w:rsid w:val="0087042E"/>
    <w:rsid w:val="00871117"/>
    <w:rsid w:val="00871193"/>
    <w:rsid w:val="00871548"/>
    <w:rsid w:val="00871EC3"/>
    <w:rsid w:val="00871FA3"/>
    <w:rsid w:val="00871FB6"/>
    <w:rsid w:val="008720AA"/>
    <w:rsid w:val="00872C4D"/>
    <w:rsid w:val="0087327C"/>
    <w:rsid w:val="008732F0"/>
    <w:rsid w:val="00873B4C"/>
    <w:rsid w:val="0087401D"/>
    <w:rsid w:val="00874144"/>
    <w:rsid w:val="00874217"/>
    <w:rsid w:val="008742BE"/>
    <w:rsid w:val="0087459C"/>
    <w:rsid w:val="00874669"/>
    <w:rsid w:val="0087511B"/>
    <w:rsid w:val="00875BDB"/>
    <w:rsid w:val="00875F8F"/>
    <w:rsid w:val="00876C1E"/>
    <w:rsid w:val="00876D82"/>
    <w:rsid w:val="00877D28"/>
    <w:rsid w:val="00877FBF"/>
    <w:rsid w:val="008805EE"/>
    <w:rsid w:val="00880B4A"/>
    <w:rsid w:val="00880C08"/>
    <w:rsid w:val="00880E5E"/>
    <w:rsid w:val="00881065"/>
    <w:rsid w:val="008814D6"/>
    <w:rsid w:val="008817D2"/>
    <w:rsid w:val="008819A1"/>
    <w:rsid w:val="00882782"/>
    <w:rsid w:val="008831F9"/>
    <w:rsid w:val="008835DF"/>
    <w:rsid w:val="00883780"/>
    <w:rsid w:val="00883D6C"/>
    <w:rsid w:val="008840BB"/>
    <w:rsid w:val="0088428F"/>
    <w:rsid w:val="00884BCA"/>
    <w:rsid w:val="008850B2"/>
    <w:rsid w:val="00885108"/>
    <w:rsid w:val="00885182"/>
    <w:rsid w:val="008854FC"/>
    <w:rsid w:val="008858C1"/>
    <w:rsid w:val="00885A40"/>
    <w:rsid w:val="00885F77"/>
    <w:rsid w:val="00886009"/>
    <w:rsid w:val="0088608E"/>
    <w:rsid w:val="0088653D"/>
    <w:rsid w:val="0088694B"/>
    <w:rsid w:val="00886F3C"/>
    <w:rsid w:val="00887634"/>
    <w:rsid w:val="008879AD"/>
    <w:rsid w:val="00890056"/>
    <w:rsid w:val="00890369"/>
    <w:rsid w:val="00890845"/>
    <w:rsid w:val="00890F88"/>
    <w:rsid w:val="00891260"/>
    <w:rsid w:val="008913BA"/>
    <w:rsid w:val="00891721"/>
    <w:rsid w:val="00891895"/>
    <w:rsid w:val="00891CE9"/>
    <w:rsid w:val="00891CFA"/>
    <w:rsid w:val="008921B5"/>
    <w:rsid w:val="008926EF"/>
    <w:rsid w:val="00892A13"/>
    <w:rsid w:val="00892E3A"/>
    <w:rsid w:val="0089332D"/>
    <w:rsid w:val="00893CA1"/>
    <w:rsid w:val="008941DC"/>
    <w:rsid w:val="008943A9"/>
    <w:rsid w:val="008943C9"/>
    <w:rsid w:val="00894522"/>
    <w:rsid w:val="00894550"/>
    <w:rsid w:val="00894B6D"/>
    <w:rsid w:val="00894FF0"/>
    <w:rsid w:val="0089558D"/>
    <w:rsid w:val="0089578B"/>
    <w:rsid w:val="0089676A"/>
    <w:rsid w:val="00896E2D"/>
    <w:rsid w:val="00897210"/>
    <w:rsid w:val="00897341"/>
    <w:rsid w:val="0089749D"/>
    <w:rsid w:val="00897848"/>
    <w:rsid w:val="008A070E"/>
    <w:rsid w:val="008A076C"/>
    <w:rsid w:val="008A0A1F"/>
    <w:rsid w:val="008A0AC8"/>
    <w:rsid w:val="008A0C3D"/>
    <w:rsid w:val="008A0C4F"/>
    <w:rsid w:val="008A16D2"/>
    <w:rsid w:val="008A1EF2"/>
    <w:rsid w:val="008A23C6"/>
    <w:rsid w:val="008A2A29"/>
    <w:rsid w:val="008A2D51"/>
    <w:rsid w:val="008A3075"/>
    <w:rsid w:val="008A3411"/>
    <w:rsid w:val="008A3621"/>
    <w:rsid w:val="008A39AB"/>
    <w:rsid w:val="008A45BE"/>
    <w:rsid w:val="008A4693"/>
    <w:rsid w:val="008A5361"/>
    <w:rsid w:val="008A6478"/>
    <w:rsid w:val="008A65A6"/>
    <w:rsid w:val="008A6859"/>
    <w:rsid w:val="008A698E"/>
    <w:rsid w:val="008A69D5"/>
    <w:rsid w:val="008A69EF"/>
    <w:rsid w:val="008A6B6B"/>
    <w:rsid w:val="008A6BBA"/>
    <w:rsid w:val="008A785E"/>
    <w:rsid w:val="008A78A9"/>
    <w:rsid w:val="008A7B86"/>
    <w:rsid w:val="008A7CD1"/>
    <w:rsid w:val="008A7D99"/>
    <w:rsid w:val="008A7E20"/>
    <w:rsid w:val="008B01D2"/>
    <w:rsid w:val="008B0682"/>
    <w:rsid w:val="008B0C93"/>
    <w:rsid w:val="008B11D6"/>
    <w:rsid w:val="008B1992"/>
    <w:rsid w:val="008B1C0C"/>
    <w:rsid w:val="008B1C95"/>
    <w:rsid w:val="008B2C75"/>
    <w:rsid w:val="008B2C76"/>
    <w:rsid w:val="008B32A0"/>
    <w:rsid w:val="008B3AF6"/>
    <w:rsid w:val="008B3C1C"/>
    <w:rsid w:val="008B3F7F"/>
    <w:rsid w:val="008B3FA0"/>
    <w:rsid w:val="008B4228"/>
    <w:rsid w:val="008B4C90"/>
    <w:rsid w:val="008B4D2B"/>
    <w:rsid w:val="008B4F3E"/>
    <w:rsid w:val="008B4F73"/>
    <w:rsid w:val="008B5419"/>
    <w:rsid w:val="008B5458"/>
    <w:rsid w:val="008B58F1"/>
    <w:rsid w:val="008B5C3D"/>
    <w:rsid w:val="008B5E74"/>
    <w:rsid w:val="008B60A8"/>
    <w:rsid w:val="008B618D"/>
    <w:rsid w:val="008B61B5"/>
    <w:rsid w:val="008B7145"/>
    <w:rsid w:val="008B745C"/>
    <w:rsid w:val="008B7D01"/>
    <w:rsid w:val="008C0AED"/>
    <w:rsid w:val="008C0B1D"/>
    <w:rsid w:val="008C0E8D"/>
    <w:rsid w:val="008C0EB2"/>
    <w:rsid w:val="008C13D5"/>
    <w:rsid w:val="008C18DA"/>
    <w:rsid w:val="008C1D98"/>
    <w:rsid w:val="008C1E19"/>
    <w:rsid w:val="008C24FC"/>
    <w:rsid w:val="008C281F"/>
    <w:rsid w:val="008C287E"/>
    <w:rsid w:val="008C2A5F"/>
    <w:rsid w:val="008C2A68"/>
    <w:rsid w:val="008C2DA0"/>
    <w:rsid w:val="008C3128"/>
    <w:rsid w:val="008C345D"/>
    <w:rsid w:val="008C3C20"/>
    <w:rsid w:val="008C3C54"/>
    <w:rsid w:val="008C3DEB"/>
    <w:rsid w:val="008C42E6"/>
    <w:rsid w:val="008C4932"/>
    <w:rsid w:val="008C5528"/>
    <w:rsid w:val="008C58D3"/>
    <w:rsid w:val="008C5A0A"/>
    <w:rsid w:val="008C5E29"/>
    <w:rsid w:val="008C6392"/>
    <w:rsid w:val="008C6FFE"/>
    <w:rsid w:val="008C70D1"/>
    <w:rsid w:val="008C78CE"/>
    <w:rsid w:val="008C7C4C"/>
    <w:rsid w:val="008D00E5"/>
    <w:rsid w:val="008D094B"/>
    <w:rsid w:val="008D09F0"/>
    <w:rsid w:val="008D0AD4"/>
    <w:rsid w:val="008D0B41"/>
    <w:rsid w:val="008D1051"/>
    <w:rsid w:val="008D1236"/>
    <w:rsid w:val="008D1BBD"/>
    <w:rsid w:val="008D3D83"/>
    <w:rsid w:val="008D3ECB"/>
    <w:rsid w:val="008D3F80"/>
    <w:rsid w:val="008D41EB"/>
    <w:rsid w:val="008D423E"/>
    <w:rsid w:val="008D438E"/>
    <w:rsid w:val="008D4408"/>
    <w:rsid w:val="008D470E"/>
    <w:rsid w:val="008D4E79"/>
    <w:rsid w:val="008D5690"/>
    <w:rsid w:val="008D591E"/>
    <w:rsid w:val="008D5A36"/>
    <w:rsid w:val="008D5ABD"/>
    <w:rsid w:val="008D5AE2"/>
    <w:rsid w:val="008D5AE8"/>
    <w:rsid w:val="008D6295"/>
    <w:rsid w:val="008D62E6"/>
    <w:rsid w:val="008D6488"/>
    <w:rsid w:val="008D6D8B"/>
    <w:rsid w:val="008D6ECB"/>
    <w:rsid w:val="008D7918"/>
    <w:rsid w:val="008D7F8E"/>
    <w:rsid w:val="008E0A68"/>
    <w:rsid w:val="008E0CC0"/>
    <w:rsid w:val="008E110B"/>
    <w:rsid w:val="008E13CF"/>
    <w:rsid w:val="008E1691"/>
    <w:rsid w:val="008E1A50"/>
    <w:rsid w:val="008E1A85"/>
    <w:rsid w:val="008E1D06"/>
    <w:rsid w:val="008E1E67"/>
    <w:rsid w:val="008E22B3"/>
    <w:rsid w:val="008E2C76"/>
    <w:rsid w:val="008E3965"/>
    <w:rsid w:val="008E3B79"/>
    <w:rsid w:val="008E3CAE"/>
    <w:rsid w:val="008E5084"/>
    <w:rsid w:val="008E572A"/>
    <w:rsid w:val="008E583D"/>
    <w:rsid w:val="008E5BD5"/>
    <w:rsid w:val="008E5E98"/>
    <w:rsid w:val="008E5EA5"/>
    <w:rsid w:val="008E65D4"/>
    <w:rsid w:val="008E6A2A"/>
    <w:rsid w:val="008E6AB6"/>
    <w:rsid w:val="008F015C"/>
    <w:rsid w:val="008F021E"/>
    <w:rsid w:val="008F068E"/>
    <w:rsid w:val="008F15BF"/>
    <w:rsid w:val="008F22FB"/>
    <w:rsid w:val="008F2CB7"/>
    <w:rsid w:val="008F2E82"/>
    <w:rsid w:val="008F30E6"/>
    <w:rsid w:val="008F3262"/>
    <w:rsid w:val="008F3779"/>
    <w:rsid w:val="008F3EF1"/>
    <w:rsid w:val="008F4372"/>
    <w:rsid w:val="008F48B5"/>
    <w:rsid w:val="008F4932"/>
    <w:rsid w:val="008F5208"/>
    <w:rsid w:val="008F521F"/>
    <w:rsid w:val="008F5917"/>
    <w:rsid w:val="008F5C4D"/>
    <w:rsid w:val="008F5EC8"/>
    <w:rsid w:val="008F6194"/>
    <w:rsid w:val="008F66A5"/>
    <w:rsid w:val="008F6F5D"/>
    <w:rsid w:val="008F744F"/>
    <w:rsid w:val="008F74FE"/>
    <w:rsid w:val="008F7902"/>
    <w:rsid w:val="009001FF"/>
    <w:rsid w:val="009003C5"/>
    <w:rsid w:val="009008E0"/>
    <w:rsid w:val="009010A7"/>
    <w:rsid w:val="0090180C"/>
    <w:rsid w:val="0090189E"/>
    <w:rsid w:val="00902066"/>
    <w:rsid w:val="00903348"/>
    <w:rsid w:val="00903522"/>
    <w:rsid w:val="009038D7"/>
    <w:rsid w:val="00903F4C"/>
    <w:rsid w:val="009046B1"/>
    <w:rsid w:val="009049F8"/>
    <w:rsid w:val="009055A5"/>
    <w:rsid w:val="00905603"/>
    <w:rsid w:val="00905F82"/>
    <w:rsid w:val="0090639A"/>
    <w:rsid w:val="0090667A"/>
    <w:rsid w:val="00906C48"/>
    <w:rsid w:val="00906C4B"/>
    <w:rsid w:val="0090719E"/>
    <w:rsid w:val="009077BB"/>
    <w:rsid w:val="0091026F"/>
    <w:rsid w:val="00910473"/>
    <w:rsid w:val="00910877"/>
    <w:rsid w:val="00910894"/>
    <w:rsid w:val="00910A21"/>
    <w:rsid w:val="00910E56"/>
    <w:rsid w:val="009115B4"/>
    <w:rsid w:val="00911AF5"/>
    <w:rsid w:val="00911B1D"/>
    <w:rsid w:val="00911DCC"/>
    <w:rsid w:val="009128BC"/>
    <w:rsid w:val="0091298B"/>
    <w:rsid w:val="00912E96"/>
    <w:rsid w:val="00913723"/>
    <w:rsid w:val="00913F9A"/>
    <w:rsid w:val="009144B0"/>
    <w:rsid w:val="00914601"/>
    <w:rsid w:val="00914616"/>
    <w:rsid w:val="009147AF"/>
    <w:rsid w:val="009148A4"/>
    <w:rsid w:val="00915BB7"/>
    <w:rsid w:val="00915E0F"/>
    <w:rsid w:val="00915EFF"/>
    <w:rsid w:val="00915F27"/>
    <w:rsid w:val="00916077"/>
    <w:rsid w:val="0091621B"/>
    <w:rsid w:val="0091659A"/>
    <w:rsid w:val="00916791"/>
    <w:rsid w:val="00916A66"/>
    <w:rsid w:val="00917311"/>
    <w:rsid w:val="00917A83"/>
    <w:rsid w:val="00917F8C"/>
    <w:rsid w:val="009200D0"/>
    <w:rsid w:val="009201E3"/>
    <w:rsid w:val="00920300"/>
    <w:rsid w:val="009206FC"/>
    <w:rsid w:val="00920766"/>
    <w:rsid w:val="00920DF4"/>
    <w:rsid w:val="00921863"/>
    <w:rsid w:val="00921EBE"/>
    <w:rsid w:val="009220AE"/>
    <w:rsid w:val="009221F7"/>
    <w:rsid w:val="009225D4"/>
    <w:rsid w:val="009245B1"/>
    <w:rsid w:val="0092473B"/>
    <w:rsid w:val="0092487B"/>
    <w:rsid w:val="00924B6E"/>
    <w:rsid w:val="00924FD9"/>
    <w:rsid w:val="009257CD"/>
    <w:rsid w:val="00925DD5"/>
    <w:rsid w:val="00926491"/>
    <w:rsid w:val="00926640"/>
    <w:rsid w:val="0092682C"/>
    <w:rsid w:val="00926BDE"/>
    <w:rsid w:val="0092704C"/>
    <w:rsid w:val="00927118"/>
    <w:rsid w:val="009278E6"/>
    <w:rsid w:val="00927AB1"/>
    <w:rsid w:val="0093017F"/>
    <w:rsid w:val="00930325"/>
    <w:rsid w:val="009303EE"/>
    <w:rsid w:val="00931595"/>
    <w:rsid w:val="00931787"/>
    <w:rsid w:val="00931E32"/>
    <w:rsid w:val="00932068"/>
    <w:rsid w:val="0093245F"/>
    <w:rsid w:val="009328D4"/>
    <w:rsid w:val="009329CD"/>
    <w:rsid w:val="00932AA2"/>
    <w:rsid w:val="00932CD5"/>
    <w:rsid w:val="00932D5D"/>
    <w:rsid w:val="00932D78"/>
    <w:rsid w:val="009336E4"/>
    <w:rsid w:val="00933BDA"/>
    <w:rsid w:val="0093424A"/>
    <w:rsid w:val="0093474D"/>
    <w:rsid w:val="00934887"/>
    <w:rsid w:val="00935209"/>
    <w:rsid w:val="00935336"/>
    <w:rsid w:val="009354A9"/>
    <w:rsid w:val="009354F3"/>
    <w:rsid w:val="00935B3C"/>
    <w:rsid w:val="00935CD5"/>
    <w:rsid w:val="009365A5"/>
    <w:rsid w:val="009368DF"/>
    <w:rsid w:val="00936A7E"/>
    <w:rsid w:val="00936FFF"/>
    <w:rsid w:val="00937333"/>
    <w:rsid w:val="009375AC"/>
    <w:rsid w:val="00937847"/>
    <w:rsid w:val="00937E6C"/>
    <w:rsid w:val="00940639"/>
    <w:rsid w:val="0094068B"/>
    <w:rsid w:val="009408B0"/>
    <w:rsid w:val="00941C15"/>
    <w:rsid w:val="00942A13"/>
    <w:rsid w:val="00942D93"/>
    <w:rsid w:val="0094308C"/>
    <w:rsid w:val="00943C3B"/>
    <w:rsid w:val="00943EF6"/>
    <w:rsid w:val="00943F3B"/>
    <w:rsid w:val="009440DF"/>
    <w:rsid w:val="0094425B"/>
    <w:rsid w:val="00944513"/>
    <w:rsid w:val="00944952"/>
    <w:rsid w:val="00944F27"/>
    <w:rsid w:val="00945845"/>
    <w:rsid w:val="00945AA9"/>
    <w:rsid w:val="00945B2E"/>
    <w:rsid w:val="00945CFA"/>
    <w:rsid w:val="009462DC"/>
    <w:rsid w:val="009464AA"/>
    <w:rsid w:val="00946C04"/>
    <w:rsid w:val="00946DF6"/>
    <w:rsid w:val="00947245"/>
    <w:rsid w:val="00950B85"/>
    <w:rsid w:val="00951130"/>
    <w:rsid w:val="0095155C"/>
    <w:rsid w:val="00951623"/>
    <w:rsid w:val="00952402"/>
    <w:rsid w:val="009524DB"/>
    <w:rsid w:val="0095255F"/>
    <w:rsid w:val="009529D0"/>
    <w:rsid w:val="00953ABC"/>
    <w:rsid w:val="00953DB1"/>
    <w:rsid w:val="00954240"/>
    <w:rsid w:val="009542D3"/>
    <w:rsid w:val="00954328"/>
    <w:rsid w:val="00954329"/>
    <w:rsid w:val="009545D3"/>
    <w:rsid w:val="00954830"/>
    <w:rsid w:val="00955E51"/>
    <w:rsid w:val="00955FD5"/>
    <w:rsid w:val="00956AEB"/>
    <w:rsid w:val="0095702D"/>
    <w:rsid w:val="009572DA"/>
    <w:rsid w:val="009574CC"/>
    <w:rsid w:val="009575FF"/>
    <w:rsid w:val="00957762"/>
    <w:rsid w:val="009577B7"/>
    <w:rsid w:val="00957AB5"/>
    <w:rsid w:val="00957C10"/>
    <w:rsid w:val="00957FA3"/>
    <w:rsid w:val="009601A7"/>
    <w:rsid w:val="00960347"/>
    <w:rsid w:val="0096056A"/>
    <w:rsid w:val="00960A0F"/>
    <w:rsid w:val="00961348"/>
    <w:rsid w:val="0096191C"/>
    <w:rsid w:val="00961A82"/>
    <w:rsid w:val="00961B7D"/>
    <w:rsid w:val="00961E63"/>
    <w:rsid w:val="00962D3B"/>
    <w:rsid w:val="00963330"/>
    <w:rsid w:val="00963A50"/>
    <w:rsid w:val="009647FC"/>
    <w:rsid w:val="00964A03"/>
    <w:rsid w:val="00964F59"/>
    <w:rsid w:val="0096521A"/>
    <w:rsid w:val="00965734"/>
    <w:rsid w:val="00965EC4"/>
    <w:rsid w:val="009663ED"/>
    <w:rsid w:val="00966486"/>
    <w:rsid w:val="009666C6"/>
    <w:rsid w:val="00966C48"/>
    <w:rsid w:val="00966D5E"/>
    <w:rsid w:val="00967503"/>
    <w:rsid w:val="00967675"/>
    <w:rsid w:val="00967ADF"/>
    <w:rsid w:val="00967AF1"/>
    <w:rsid w:val="00970935"/>
    <w:rsid w:val="00970C39"/>
    <w:rsid w:val="00970CE1"/>
    <w:rsid w:val="009711BD"/>
    <w:rsid w:val="00971439"/>
    <w:rsid w:val="00971900"/>
    <w:rsid w:val="009719B6"/>
    <w:rsid w:val="00971E21"/>
    <w:rsid w:val="00971F6D"/>
    <w:rsid w:val="009720B6"/>
    <w:rsid w:val="009722B1"/>
    <w:rsid w:val="00972EA2"/>
    <w:rsid w:val="00972F76"/>
    <w:rsid w:val="009730D5"/>
    <w:rsid w:val="00973736"/>
    <w:rsid w:val="00974429"/>
    <w:rsid w:val="00974AAA"/>
    <w:rsid w:val="00974C08"/>
    <w:rsid w:val="00974FA0"/>
    <w:rsid w:val="00975008"/>
    <w:rsid w:val="00975DE5"/>
    <w:rsid w:val="00976605"/>
    <w:rsid w:val="00976804"/>
    <w:rsid w:val="00976937"/>
    <w:rsid w:val="009769AF"/>
    <w:rsid w:val="00976D1E"/>
    <w:rsid w:val="00977713"/>
    <w:rsid w:val="009778B6"/>
    <w:rsid w:val="009801DD"/>
    <w:rsid w:val="00980806"/>
    <w:rsid w:val="00980B2F"/>
    <w:rsid w:val="00980D05"/>
    <w:rsid w:val="00980E26"/>
    <w:rsid w:val="00981ABE"/>
    <w:rsid w:val="00981EA2"/>
    <w:rsid w:val="00982262"/>
    <w:rsid w:val="00982B80"/>
    <w:rsid w:val="00982DAA"/>
    <w:rsid w:val="00982FD6"/>
    <w:rsid w:val="009833E3"/>
    <w:rsid w:val="00983A81"/>
    <w:rsid w:val="00983DFE"/>
    <w:rsid w:val="00983E10"/>
    <w:rsid w:val="009847CA"/>
    <w:rsid w:val="00984FDA"/>
    <w:rsid w:val="00986536"/>
    <w:rsid w:val="0098672F"/>
    <w:rsid w:val="009867B4"/>
    <w:rsid w:val="00986CAA"/>
    <w:rsid w:val="00987772"/>
    <w:rsid w:val="00987AA1"/>
    <w:rsid w:val="0099006C"/>
    <w:rsid w:val="00990786"/>
    <w:rsid w:val="0099102C"/>
    <w:rsid w:val="00991096"/>
    <w:rsid w:val="00991C26"/>
    <w:rsid w:val="00991C27"/>
    <w:rsid w:val="00992613"/>
    <w:rsid w:val="00992615"/>
    <w:rsid w:val="00992BDA"/>
    <w:rsid w:val="00992DE0"/>
    <w:rsid w:val="009930EE"/>
    <w:rsid w:val="00993778"/>
    <w:rsid w:val="00994256"/>
    <w:rsid w:val="00994891"/>
    <w:rsid w:val="00994A3E"/>
    <w:rsid w:val="00994F12"/>
    <w:rsid w:val="00995198"/>
    <w:rsid w:val="0099561C"/>
    <w:rsid w:val="0099563E"/>
    <w:rsid w:val="00995A3D"/>
    <w:rsid w:val="00995AD5"/>
    <w:rsid w:val="00995D75"/>
    <w:rsid w:val="00996A37"/>
    <w:rsid w:val="00996D4C"/>
    <w:rsid w:val="00996F57"/>
    <w:rsid w:val="0099782B"/>
    <w:rsid w:val="00997E77"/>
    <w:rsid w:val="009A0036"/>
    <w:rsid w:val="009A0195"/>
    <w:rsid w:val="009A05DE"/>
    <w:rsid w:val="009A05ED"/>
    <w:rsid w:val="009A1018"/>
    <w:rsid w:val="009A14C2"/>
    <w:rsid w:val="009A1695"/>
    <w:rsid w:val="009A19DD"/>
    <w:rsid w:val="009A1A1B"/>
    <w:rsid w:val="009A26C0"/>
    <w:rsid w:val="009A36CC"/>
    <w:rsid w:val="009A481C"/>
    <w:rsid w:val="009A4C85"/>
    <w:rsid w:val="009A4F2E"/>
    <w:rsid w:val="009A55F4"/>
    <w:rsid w:val="009A5F75"/>
    <w:rsid w:val="009A606E"/>
    <w:rsid w:val="009A63B3"/>
    <w:rsid w:val="009A643C"/>
    <w:rsid w:val="009A6794"/>
    <w:rsid w:val="009A67E4"/>
    <w:rsid w:val="009A693C"/>
    <w:rsid w:val="009A6F35"/>
    <w:rsid w:val="009A7698"/>
    <w:rsid w:val="009A78A9"/>
    <w:rsid w:val="009B055C"/>
    <w:rsid w:val="009B1653"/>
    <w:rsid w:val="009B1D4D"/>
    <w:rsid w:val="009B1E36"/>
    <w:rsid w:val="009B246C"/>
    <w:rsid w:val="009B2D68"/>
    <w:rsid w:val="009B2DA5"/>
    <w:rsid w:val="009B3777"/>
    <w:rsid w:val="009B3B87"/>
    <w:rsid w:val="009B3BDF"/>
    <w:rsid w:val="009B40C2"/>
    <w:rsid w:val="009B452D"/>
    <w:rsid w:val="009B4E6A"/>
    <w:rsid w:val="009B5CAD"/>
    <w:rsid w:val="009B5D6C"/>
    <w:rsid w:val="009B63CE"/>
    <w:rsid w:val="009B676A"/>
    <w:rsid w:val="009B6ADD"/>
    <w:rsid w:val="009B6D8F"/>
    <w:rsid w:val="009B72F8"/>
    <w:rsid w:val="009B7602"/>
    <w:rsid w:val="009B7D5C"/>
    <w:rsid w:val="009B7E78"/>
    <w:rsid w:val="009C07AE"/>
    <w:rsid w:val="009C0810"/>
    <w:rsid w:val="009C14A4"/>
    <w:rsid w:val="009C19BA"/>
    <w:rsid w:val="009C2606"/>
    <w:rsid w:val="009C2910"/>
    <w:rsid w:val="009C2ACE"/>
    <w:rsid w:val="009C3418"/>
    <w:rsid w:val="009C3727"/>
    <w:rsid w:val="009C37F2"/>
    <w:rsid w:val="009C3E2B"/>
    <w:rsid w:val="009C416A"/>
    <w:rsid w:val="009C4216"/>
    <w:rsid w:val="009C4465"/>
    <w:rsid w:val="009C4490"/>
    <w:rsid w:val="009C47DD"/>
    <w:rsid w:val="009C514E"/>
    <w:rsid w:val="009C5688"/>
    <w:rsid w:val="009C6245"/>
    <w:rsid w:val="009C6878"/>
    <w:rsid w:val="009C77A3"/>
    <w:rsid w:val="009C7A14"/>
    <w:rsid w:val="009C7D2D"/>
    <w:rsid w:val="009C7EC2"/>
    <w:rsid w:val="009D1004"/>
    <w:rsid w:val="009D118C"/>
    <w:rsid w:val="009D1264"/>
    <w:rsid w:val="009D1344"/>
    <w:rsid w:val="009D18C7"/>
    <w:rsid w:val="009D20E0"/>
    <w:rsid w:val="009D21A3"/>
    <w:rsid w:val="009D2266"/>
    <w:rsid w:val="009D248A"/>
    <w:rsid w:val="009D28FA"/>
    <w:rsid w:val="009D2A3B"/>
    <w:rsid w:val="009D2B53"/>
    <w:rsid w:val="009D303E"/>
    <w:rsid w:val="009D3395"/>
    <w:rsid w:val="009D35B7"/>
    <w:rsid w:val="009D3E98"/>
    <w:rsid w:val="009D4044"/>
    <w:rsid w:val="009D4709"/>
    <w:rsid w:val="009D481B"/>
    <w:rsid w:val="009D4A95"/>
    <w:rsid w:val="009D4D50"/>
    <w:rsid w:val="009D4D64"/>
    <w:rsid w:val="009D4FA6"/>
    <w:rsid w:val="009D5035"/>
    <w:rsid w:val="009D5310"/>
    <w:rsid w:val="009D57D0"/>
    <w:rsid w:val="009D5ADB"/>
    <w:rsid w:val="009D5B2B"/>
    <w:rsid w:val="009D61CA"/>
    <w:rsid w:val="009D6563"/>
    <w:rsid w:val="009D6AC4"/>
    <w:rsid w:val="009D6B0A"/>
    <w:rsid w:val="009D6B27"/>
    <w:rsid w:val="009D6EBD"/>
    <w:rsid w:val="009D6F9F"/>
    <w:rsid w:val="009D70E5"/>
    <w:rsid w:val="009D7111"/>
    <w:rsid w:val="009D7AFB"/>
    <w:rsid w:val="009E06BF"/>
    <w:rsid w:val="009E099D"/>
    <w:rsid w:val="009E0A69"/>
    <w:rsid w:val="009E116C"/>
    <w:rsid w:val="009E2377"/>
    <w:rsid w:val="009E2989"/>
    <w:rsid w:val="009E2CA8"/>
    <w:rsid w:val="009E30A2"/>
    <w:rsid w:val="009E34B2"/>
    <w:rsid w:val="009E38BD"/>
    <w:rsid w:val="009E4133"/>
    <w:rsid w:val="009E4262"/>
    <w:rsid w:val="009E47AE"/>
    <w:rsid w:val="009E4B20"/>
    <w:rsid w:val="009E51FD"/>
    <w:rsid w:val="009E528B"/>
    <w:rsid w:val="009E5360"/>
    <w:rsid w:val="009E543A"/>
    <w:rsid w:val="009E58F8"/>
    <w:rsid w:val="009E6BD1"/>
    <w:rsid w:val="009E7B76"/>
    <w:rsid w:val="009E7B78"/>
    <w:rsid w:val="009F0CB8"/>
    <w:rsid w:val="009F12EF"/>
    <w:rsid w:val="009F1E1F"/>
    <w:rsid w:val="009F262C"/>
    <w:rsid w:val="009F3413"/>
    <w:rsid w:val="009F342D"/>
    <w:rsid w:val="009F3976"/>
    <w:rsid w:val="009F3C87"/>
    <w:rsid w:val="009F4415"/>
    <w:rsid w:val="009F4E32"/>
    <w:rsid w:val="009F541F"/>
    <w:rsid w:val="009F606C"/>
    <w:rsid w:val="009F61FE"/>
    <w:rsid w:val="009F6A1E"/>
    <w:rsid w:val="009F6C42"/>
    <w:rsid w:val="009F7733"/>
    <w:rsid w:val="009F7C8A"/>
    <w:rsid w:val="009F7D34"/>
    <w:rsid w:val="00A0018B"/>
    <w:rsid w:val="00A0021E"/>
    <w:rsid w:val="00A00566"/>
    <w:rsid w:val="00A00BE8"/>
    <w:rsid w:val="00A00C68"/>
    <w:rsid w:val="00A00DD8"/>
    <w:rsid w:val="00A00F8E"/>
    <w:rsid w:val="00A00FDB"/>
    <w:rsid w:val="00A01006"/>
    <w:rsid w:val="00A01198"/>
    <w:rsid w:val="00A023AE"/>
    <w:rsid w:val="00A03F1F"/>
    <w:rsid w:val="00A03F72"/>
    <w:rsid w:val="00A041FF"/>
    <w:rsid w:val="00A0449E"/>
    <w:rsid w:val="00A045DC"/>
    <w:rsid w:val="00A04614"/>
    <w:rsid w:val="00A0467A"/>
    <w:rsid w:val="00A047BF"/>
    <w:rsid w:val="00A0493C"/>
    <w:rsid w:val="00A04BD4"/>
    <w:rsid w:val="00A050E9"/>
    <w:rsid w:val="00A05B1D"/>
    <w:rsid w:val="00A0613E"/>
    <w:rsid w:val="00A06253"/>
    <w:rsid w:val="00A06444"/>
    <w:rsid w:val="00A064CA"/>
    <w:rsid w:val="00A0660E"/>
    <w:rsid w:val="00A068E6"/>
    <w:rsid w:val="00A068F7"/>
    <w:rsid w:val="00A07426"/>
    <w:rsid w:val="00A075B5"/>
    <w:rsid w:val="00A10582"/>
    <w:rsid w:val="00A1123E"/>
    <w:rsid w:val="00A114E6"/>
    <w:rsid w:val="00A11537"/>
    <w:rsid w:val="00A11E89"/>
    <w:rsid w:val="00A11EC4"/>
    <w:rsid w:val="00A12BD2"/>
    <w:rsid w:val="00A1300E"/>
    <w:rsid w:val="00A13CDE"/>
    <w:rsid w:val="00A140EA"/>
    <w:rsid w:val="00A1454D"/>
    <w:rsid w:val="00A14B2F"/>
    <w:rsid w:val="00A14C0A"/>
    <w:rsid w:val="00A1518C"/>
    <w:rsid w:val="00A1529A"/>
    <w:rsid w:val="00A155D7"/>
    <w:rsid w:val="00A1577F"/>
    <w:rsid w:val="00A15796"/>
    <w:rsid w:val="00A15C25"/>
    <w:rsid w:val="00A16085"/>
    <w:rsid w:val="00A16428"/>
    <w:rsid w:val="00A164DF"/>
    <w:rsid w:val="00A173A7"/>
    <w:rsid w:val="00A17BD6"/>
    <w:rsid w:val="00A17DB5"/>
    <w:rsid w:val="00A17F39"/>
    <w:rsid w:val="00A20123"/>
    <w:rsid w:val="00A20B75"/>
    <w:rsid w:val="00A20B99"/>
    <w:rsid w:val="00A20D61"/>
    <w:rsid w:val="00A20D77"/>
    <w:rsid w:val="00A20EC2"/>
    <w:rsid w:val="00A21319"/>
    <w:rsid w:val="00A2165F"/>
    <w:rsid w:val="00A216CC"/>
    <w:rsid w:val="00A22236"/>
    <w:rsid w:val="00A223B2"/>
    <w:rsid w:val="00A2248D"/>
    <w:rsid w:val="00A23016"/>
    <w:rsid w:val="00A23A47"/>
    <w:rsid w:val="00A243B9"/>
    <w:rsid w:val="00A249D1"/>
    <w:rsid w:val="00A255A1"/>
    <w:rsid w:val="00A2578A"/>
    <w:rsid w:val="00A25973"/>
    <w:rsid w:val="00A25A45"/>
    <w:rsid w:val="00A25C67"/>
    <w:rsid w:val="00A25CD6"/>
    <w:rsid w:val="00A261D7"/>
    <w:rsid w:val="00A26599"/>
    <w:rsid w:val="00A27240"/>
    <w:rsid w:val="00A273BA"/>
    <w:rsid w:val="00A27506"/>
    <w:rsid w:val="00A27928"/>
    <w:rsid w:val="00A27C3E"/>
    <w:rsid w:val="00A3000C"/>
    <w:rsid w:val="00A30D08"/>
    <w:rsid w:val="00A314F0"/>
    <w:rsid w:val="00A31669"/>
    <w:rsid w:val="00A31E1C"/>
    <w:rsid w:val="00A31ED4"/>
    <w:rsid w:val="00A31FA5"/>
    <w:rsid w:val="00A32B91"/>
    <w:rsid w:val="00A32CF2"/>
    <w:rsid w:val="00A330BD"/>
    <w:rsid w:val="00A33B57"/>
    <w:rsid w:val="00A33BCB"/>
    <w:rsid w:val="00A33D88"/>
    <w:rsid w:val="00A33D8A"/>
    <w:rsid w:val="00A34B04"/>
    <w:rsid w:val="00A366F3"/>
    <w:rsid w:val="00A36FD2"/>
    <w:rsid w:val="00A375FC"/>
    <w:rsid w:val="00A37862"/>
    <w:rsid w:val="00A378C9"/>
    <w:rsid w:val="00A37900"/>
    <w:rsid w:val="00A37BFA"/>
    <w:rsid w:val="00A40003"/>
    <w:rsid w:val="00A40062"/>
    <w:rsid w:val="00A403FF"/>
    <w:rsid w:val="00A4079D"/>
    <w:rsid w:val="00A40CFA"/>
    <w:rsid w:val="00A40F85"/>
    <w:rsid w:val="00A41321"/>
    <w:rsid w:val="00A413F7"/>
    <w:rsid w:val="00A4164C"/>
    <w:rsid w:val="00A4258E"/>
    <w:rsid w:val="00A42AA9"/>
    <w:rsid w:val="00A42BF6"/>
    <w:rsid w:val="00A43182"/>
    <w:rsid w:val="00A431A9"/>
    <w:rsid w:val="00A43631"/>
    <w:rsid w:val="00A43675"/>
    <w:rsid w:val="00A43966"/>
    <w:rsid w:val="00A43C76"/>
    <w:rsid w:val="00A44130"/>
    <w:rsid w:val="00A443DD"/>
    <w:rsid w:val="00A4528C"/>
    <w:rsid w:val="00A4543A"/>
    <w:rsid w:val="00A45AB2"/>
    <w:rsid w:val="00A46C46"/>
    <w:rsid w:val="00A4702B"/>
    <w:rsid w:val="00A4712E"/>
    <w:rsid w:val="00A47678"/>
    <w:rsid w:val="00A47A4B"/>
    <w:rsid w:val="00A47EC0"/>
    <w:rsid w:val="00A50FB1"/>
    <w:rsid w:val="00A51ABB"/>
    <w:rsid w:val="00A51DF0"/>
    <w:rsid w:val="00A52109"/>
    <w:rsid w:val="00A52428"/>
    <w:rsid w:val="00A526CA"/>
    <w:rsid w:val="00A526D1"/>
    <w:rsid w:val="00A5305C"/>
    <w:rsid w:val="00A530FB"/>
    <w:rsid w:val="00A5311C"/>
    <w:rsid w:val="00A532BB"/>
    <w:rsid w:val="00A5391E"/>
    <w:rsid w:val="00A541FA"/>
    <w:rsid w:val="00A552FB"/>
    <w:rsid w:val="00A55397"/>
    <w:rsid w:val="00A5582D"/>
    <w:rsid w:val="00A55C4E"/>
    <w:rsid w:val="00A55F16"/>
    <w:rsid w:val="00A5618A"/>
    <w:rsid w:val="00A56208"/>
    <w:rsid w:val="00A56F66"/>
    <w:rsid w:val="00A571EE"/>
    <w:rsid w:val="00A57ACC"/>
    <w:rsid w:val="00A57D32"/>
    <w:rsid w:val="00A57DE5"/>
    <w:rsid w:val="00A57E27"/>
    <w:rsid w:val="00A60CCB"/>
    <w:rsid w:val="00A60DE1"/>
    <w:rsid w:val="00A619B3"/>
    <w:rsid w:val="00A61AFC"/>
    <w:rsid w:val="00A61CF6"/>
    <w:rsid w:val="00A62428"/>
    <w:rsid w:val="00A62587"/>
    <w:rsid w:val="00A62758"/>
    <w:rsid w:val="00A62761"/>
    <w:rsid w:val="00A628B7"/>
    <w:rsid w:val="00A628EE"/>
    <w:rsid w:val="00A62A29"/>
    <w:rsid w:val="00A62D38"/>
    <w:rsid w:val="00A63A81"/>
    <w:rsid w:val="00A63B39"/>
    <w:rsid w:val="00A63BA8"/>
    <w:rsid w:val="00A63C5B"/>
    <w:rsid w:val="00A6458B"/>
    <w:rsid w:val="00A6474A"/>
    <w:rsid w:val="00A64EDF"/>
    <w:rsid w:val="00A65337"/>
    <w:rsid w:val="00A65D33"/>
    <w:rsid w:val="00A661CF"/>
    <w:rsid w:val="00A67436"/>
    <w:rsid w:val="00A67D11"/>
    <w:rsid w:val="00A67F12"/>
    <w:rsid w:val="00A70002"/>
    <w:rsid w:val="00A701EC"/>
    <w:rsid w:val="00A70224"/>
    <w:rsid w:val="00A70460"/>
    <w:rsid w:val="00A7055B"/>
    <w:rsid w:val="00A707BF"/>
    <w:rsid w:val="00A70827"/>
    <w:rsid w:val="00A70865"/>
    <w:rsid w:val="00A70BFE"/>
    <w:rsid w:val="00A70E0A"/>
    <w:rsid w:val="00A70E4B"/>
    <w:rsid w:val="00A71953"/>
    <w:rsid w:val="00A71C11"/>
    <w:rsid w:val="00A721CE"/>
    <w:rsid w:val="00A730A4"/>
    <w:rsid w:val="00A732E4"/>
    <w:rsid w:val="00A73563"/>
    <w:rsid w:val="00A735F0"/>
    <w:rsid w:val="00A7384B"/>
    <w:rsid w:val="00A73AFC"/>
    <w:rsid w:val="00A73D98"/>
    <w:rsid w:val="00A741EB"/>
    <w:rsid w:val="00A74331"/>
    <w:rsid w:val="00A746F2"/>
    <w:rsid w:val="00A74AEE"/>
    <w:rsid w:val="00A74E42"/>
    <w:rsid w:val="00A75160"/>
    <w:rsid w:val="00A751DE"/>
    <w:rsid w:val="00A7533B"/>
    <w:rsid w:val="00A75793"/>
    <w:rsid w:val="00A7614E"/>
    <w:rsid w:val="00A7720E"/>
    <w:rsid w:val="00A7797A"/>
    <w:rsid w:val="00A77A13"/>
    <w:rsid w:val="00A77B2D"/>
    <w:rsid w:val="00A77CA8"/>
    <w:rsid w:val="00A77D36"/>
    <w:rsid w:val="00A800C2"/>
    <w:rsid w:val="00A80246"/>
    <w:rsid w:val="00A80659"/>
    <w:rsid w:val="00A80C5F"/>
    <w:rsid w:val="00A80F64"/>
    <w:rsid w:val="00A81585"/>
    <w:rsid w:val="00A816B5"/>
    <w:rsid w:val="00A817A2"/>
    <w:rsid w:val="00A817BE"/>
    <w:rsid w:val="00A81ADD"/>
    <w:rsid w:val="00A81C32"/>
    <w:rsid w:val="00A8246D"/>
    <w:rsid w:val="00A8262F"/>
    <w:rsid w:val="00A82A1C"/>
    <w:rsid w:val="00A83313"/>
    <w:rsid w:val="00A8337B"/>
    <w:rsid w:val="00A841A8"/>
    <w:rsid w:val="00A84902"/>
    <w:rsid w:val="00A84DFA"/>
    <w:rsid w:val="00A84F0C"/>
    <w:rsid w:val="00A84FC4"/>
    <w:rsid w:val="00A8502B"/>
    <w:rsid w:val="00A85081"/>
    <w:rsid w:val="00A85869"/>
    <w:rsid w:val="00A85977"/>
    <w:rsid w:val="00A85A3D"/>
    <w:rsid w:val="00A85AF0"/>
    <w:rsid w:val="00A85CB5"/>
    <w:rsid w:val="00A85D73"/>
    <w:rsid w:val="00A85E6A"/>
    <w:rsid w:val="00A8602E"/>
    <w:rsid w:val="00A86064"/>
    <w:rsid w:val="00A861D9"/>
    <w:rsid w:val="00A86394"/>
    <w:rsid w:val="00A865C6"/>
    <w:rsid w:val="00A868DC"/>
    <w:rsid w:val="00A86CC7"/>
    <w:rsid w:val="00A87D2A"/>
    <w:rsid w:val="00A87DD7"/>
    <w:rsid w:val="00A9019D"/>
    <w:rsid w:val="00A908B0"/>
    <w:rsid w:val="00A91C8E"/>
    <w:rsid w:val="00A91CA5"/>
    <w:rsid w:val="00A91D04"/>
    <w:rsid w:val="00A91FCE"/>
    <w:rsid w:val="00A923C4"/>
    <w:rsid w:val="00A928F7"/>
    <w:rsid w:val="00A92916"/>
    <w:rsid w:val="00A92BA0"/>
    <w:rsid w:val="00A92BB6"/>
    <w:rsid w:val="00A93682"/>
    <w:rsid w:val="00A937EC"/>
    <w:rsid w:val="00A938C5"/>
    <w:rsid w:val="00A941F9"/>
    <w:rsid w:val="00A94332"/>
    <w:rsid w:val="00A949D2"/>
    <w:rsid w:val="00A94AB2"/>
    <w:rsid w:val="00A94B87"/>
    <w:rsid w:val="00A94D24"/>
    <w:rsid w:val="00A94DF3"/>
    <w:rsid w:val="00A94EC1"/>
    <w:rsid w:val="00A954C6"/>
    <w:rsid w:val="00A9581F"/>
    <w:rsid w:val="00A95ACB"/>
    <w:rsid w:val="00A95BE3"/>
    <w:rsid w:val="00A95F81"/>
    <w:rsid w:val="00A961E2"/>
    <w:rsid w:val="00A9638C"/>
    <w:rsid w:val="00AA0062"/>
    <w:rsid w:val="00AA0D67"/>
    <w:rsid w:val="00AA0F8D"/>
    <w:rsid w:val="00AA168B"/>
    <w:rsid w:val="00AA1A57"/>
    <w:rsid w:val="00AA1CAF"/>
    <w:rsid w:val="00AA2717"/>
    <w:rsid w:val="00AA289E"/>
    <w:rsid w:val="00AA2963"/>
    <w:rsid w:val="00AA2DBF"/>
    <w:rsid w:val="00AA2E07"/>
    <w:rsid w:val="00AA3098"/>
    <w:rsid w:val="00AA3388"/>
    <w:rsid w:val="00AA37A9"/>
    <w:rsid w:val="00AA3A1C"/>
    <w:rsid w:val="00AA3AC6"/>
    <w:rsid w:val="00AA3D58"/>
    <w:rsid w:val="00AA484C"/>
    <w:rsid w:val="00AA5249"/>
    <w:rsid w:val="00AA5668"/>
    <w:rsid w:val="00AA5879"/>
    <w:rsid w:val="00AA5968"/>
    <w:rsid w:val="00AA5C5C"/>
    <w:rsid w:val="00AA6C41"/>
    <w:rsid w:val="00AA6D54"/>
    <w:rsid w:val="00AA7629"/>
    <w:rsid w:val="00AA7E7E"/>
    <w:rsid w:val="00AB0232"/>
    <w:rsid w:val="00AB0318"/>
    <w:rsid w:val="00AB0BF9"/>
    <w:rsid w:val="00AB11C9"/>
    <w:rsid w:val="00AB16AD"/>
    <w:rsid w:val="00AB1771"/>
    <w:rsid w:val="00AB23DC"/>
    <w:rsid w:val="00AB27D3"/>
    <w:rsid w:val="00AB2BA7"/>
    <w:rsid w:val="00AB2DF2"/>
    <w:rsid w:val="00AB33C9"/>
    <w:rsid w:val="00AB368F"/>
    <w:rsid w:val="00AB3F4A"/>
    <w:rsid w:val="00AB4804"/>
    <w:rsid w:val="00AB4B09"/>
    <w:rsid w:val="00AB50B4"/>
    <w:rsid w:val="00AB51B1"/>
    <w:rsid w:val="00AB5965"/>
    <w:rsid w:val="00AB6053"/>
    <w:rsid w:val="00AB63C7"/>
    <w:rsid w:val="00AB6852"/>
    <w:rsid w:val="00AB6DCE"/>
    <w:rsid w:val="00AB7013"/>
    <w:rsid w:val="00AB717D"/>
    <w:rsid w:val="00AB73A3"/>
    <w:rsid w:val="00AB7602"/>
    <w:rsid w:val="00AB78A5"/>
    <w:rsid w:val="00AB7AA4"/>
    <w:rsid w:val="00AB7E85"/>
    <w:rsid w:val="00AC07EE"/>
    <w:rsid w:val="00AC0C99"/>
    <w:rsid w:val="00AC0D94"/>
    <w:rsid w:val="00AC0E4D"/>
    <w:rsid w:val="00AC0EE4"/>
    <w:rsid w:val="00AC17F6"/>
    <w:rsid w:val="00AC24B2"/>
    <w:rsid w:val="00AC2586"/>
    <w:rsid w:val="00AC26D0"/>
    <w:rsid w:val="00AC29E8"/>
    <w:rsid w:val="00AC2BB1"/>
    <w:rsid w:val="00AC35A6"/>
    <w:rsid w:val="00AC3F2D"/>
    <w:rsid w:val="00AC3F5D"/>
    <w:rsid w:val="00AC43BE"/>
    <w:rsid w:val="00AC4916"/>
    <w:rsid w:val="00AC4BED"/>
    <w:rsid w:val="00AC4CCF"/>
    <w:rsid w:val="00AC52F7"/>
    <w:rsid w:val="00AC5325"/>
    <w:rsid w:val="00AC5640"/>
    <w:rsid w:val="00AC5679"/>
    <w:rsid w:val="00AC5D80"/>
    <w:rsid w:val="00AC648A"/>
    <w:rsid w:val="00AC66AD"/>
    <w:rsid w:val="00AC6A22"/>
    <w:rsid w:val="00AC745D"/>
    <w:rsid w:val="00AC76B3"/>
    <w:rsid w:val="00AC7747"/>
    <w:rsid w:val="00AC7994"/>
    <w:rsid w:val="00AC7D4C"/>
    <w:rsid w:val="00AC7E7B"/>
    <w:rsid w:val="00AD014E"/>
    <w:rsid w:val="00AD039E"/>
    <w:rsid w:val="00AD0527"/>
    <w:rsid w:val="00AD0AFE"/>
    <w:rsid w:val="00AD0C52"/>
    <w:rsid w:val="00AD103F"/>
    <w:rsid w:val="00AD14EE"/>
    <w:rsid w:val="00AD1549"/>
    <w:rsid w:val="00AD1616"/>
    <w:rsid w:val="00AD1A5D"/>
    <w:rsid w:val="00AD1B8F"/>
    <w:rsid w:val="00AD1E56"/>
    <w:rsid w:val="00AD229C"/>
    <w:rsid w:val="00AD2898"/>
    <w:rsid w:val="00AD304F"/>
    <w:rsid w:val="00AD324E"/>
    <w:rsid w:val="00AD3AFC"/>
    <w:rsid w:val="00AD3B14"/>
    <w:rsid w:val="00AD3B26"/>
    <w:rsid w:val="00AD44E7"/>
    <w:rsid w:val="00AD4702"/>
    <w:rsid w:val="00AD4B64"/>
    <w:rsid w:val="00AD565E"/>
    <w:rsid w:val="00AD5BB2"/>
    <w:rsid w:val="00AD5CDB"/>
    <w:rsid w:val="00AD6034"/>
    <w:rsid w:val="00AD6496"/>
    <w:rsid w:val="00AD69B8"/>
    <w:rsid w:val="00AD77FE"/>
    <w:rsid w:val="00AD78A7"/>
    <w:rsid w:val="00AD7EA3"/>
    <w:rsid w:val="00AE00FE"/>
    <w:rsid w:val="00AE0333"/>
    <w:rsid w:val="00AE04BC"/>
    <w:rsid w:val="00AE0893"/>
    <w:rsid w:val="00AE0A5C"/>
    <w:rsid w:val="00AE0C8F"/>
    <w:rsid w:val="00AE0EF6"/>
    <w:rsid w:val="00AE12D4"/>
    <w:rsid w:val="00AE1331"/>
    <w:rsid w:val="00AE14C0"/>
    <w:rsid w:val="00AE15A9"/>
    <w:rsid w:val="00AE197B"/>
    <w:rsid w:val="00AE1FCB"/>
    <w:rsid w:val="00AE2600"/>
    <w:rsid w:val="00AE267B"/>
    <w:rsid w:val="00AE2D99"/>
    <w:rsid w:val="00AE2DFE"/>
    <w:rsid w:val="00AE300D"/>
    <w:rsid w:val="00AE314E"/>
    <w:rsid w:val="00AE35A2"/>
    <w:rsid w:val="00AE35F5"/>
    <w:rsid w:val="00AE37B5"/>
    <w:rsid w:val="00AE3BCA"/>
    <w:rsid w:val="00AE3FFE"/>
    <w:rsid w:val="00AE4492"/>
    <w:rsid w:val="00AE51C8"/>
    <w:rsid w:val="00AE5F8D"/>
    <w:rsid w:val="00AE6509"/>
    <w:rsid w:val="00AE6823"/>
    <w:rsid w:val="00AE696B"/>
    <w:rsid w:val="00AE7276"/>
    <w:rsid w:val="00AE74C5"/>
    <w:rsid w:val="00AE75EC"/>
    <w:rsid w:val="00AE765F"/>
    <w:rsid w:val="00AE7685"/>
    <w:rsid w:val="00AE77E5"/>
    <w:rsid w:val="00AE7B03"/>
    <w:rsid w:val="00AF0523"/>
    <w:rsid w:val="00AF0CA0"/>
    <w:rsid w:val="00AF0D99"/>
    <w:rsid w:val="00AF14DB"/>
    <w:rsid w:val="00AF15F8"/>
    <w:rsid w:val="00AF1DD2"/>
    <w:rsid w:val="00AF297A"/>
    <w:rsid w:val="00AF2D45"/>
    <w:rsid w:val="00AF30D8"/>
    <w:rsid w:val="00AF3343"/>
    <w:rsid w:val="00AF359E"/>
    <w:rsid w:val="00AF37CE"/>
    <w:rsid w:val="00AF3986"/>
    <w:rsid w:val="00AF42A1"/>
    <w:rsid w:val="00AF4368"/>
    <w:rsid w:val="00AF44E6"/>
    <w:rsid w:val="00AF4B1B"/>
    <w:rsid w:val="00AF4DB4"/>
    <w:rsid w:val="00AF5331"/>
    <w:rsid w:val="00AF5D1A"/>
    <w:rsid w:val="00AF5DAF"/>
    <w:rsid w:val="00AF614C"/>
    <w:rsid w:val="00AF62C3"/>
    <w:rsid w:val="00AF6AA6"/>
    <w:rsid w:val="00AF6FC6"/>
    <w:rsid w:val="00AF76D5"/>
    <w:rsid w:val="00AF7962"/>
    <w:rsid w:val="00AF7F7D"/>
    <w:rsid w:val="00B00177"/>
    <w:rsid w:val="00B002B5"/>
    <w:rsid w:val="00B0078C"/>
    <w:rsid w:val="00B00859"/>
    <w:rsid w:val="00B012A7"/>
    <w:rsid w:val="00B018BE"/>
    <w:rsid w:val="00B0213F"/>
    <w:rsid w:val="00B025B6"/>
    <w:rsid w:val="00B0292D"/>
    <w:rsid w:val="00B0295C"/>
    <w:rsid w:val="00B02A9B"/>
    <w:rsid w:val="00B02B5A"/>
    <w:rsid w:val="00B033C0"/>
    <w:rsid w:val="00B0406B"/>
    <w:rsid w:val="00B04420"/>
    <w:rsid w:val="00B04755"/>
    <w:rsid w:val="00B049AA"/>
    <w:rsid w:val="00B04D37"/>
    <w:rsid w:val="00B054AE"/>
    <w:rsid w:val="00B05781"/>
    <w:rsid w:val="00B06452"/>
    <w:rsid w:val="00B06527"/>
    <w:rsid w:val="00B0677D"/>
    <w:rsid w:val="00B06AE1"/>
    <w:rsid w:val="00B079E5"/>
    <w:rsid w:val="00B07E35"/>
    <w:rsid w:val="00B07E9F"/>
    <w:rsid w:val="00B102F0"/>
    <w:rsid w:val="00B10611"/>
    <w:rsid w:val="00B106DA"/>
    <w:rsid w:val="00B107B3"/>
    <w:rsid w:val="00B10851"/>
    <w:rsid w:val="00B10F39"/>
    <w:rsid w:val="00B112F3"/>
    <w:rsid w:val="00B113B3"/>
    <w:rsid w:val="00B119B0"/>
    <w:rsid w:val="00B11B62"/>
    <w:rsid w:val="00B12749"/>
    <w:rsid w:val="00B1275B"/>
    <w:rsid w:val="00B1285C"/>
    <w:rsid w:val="00B12906"/>
    <w:rsid w:val="00B13AE2"/>
    <w:rsid w:val="00B14429"/>
    <w:rsid w:val="00B145D9"/>
    <w:rsid w:val="00B14B9A"/>
    <w:rsid w:val="00B14BE1"/>
    <w:rsid w:val="00B14D5E"/>
    <w:rsid w:val="00B15936"/>
    <w:rsid w:val="00B15BD3"/>
    <w:rsid w:val="00B15F62"/>
    <w:rsid w:val="00B16150"/>
    <w:rsid w:val="00B161DA"/>
    <w:rsid w:val="00B165AB"/>
    <w:rsid w:val="00B1691B"/>
    <w:rsid w:val="00B16978"/>
    <w:rsid w:val="00B20714"/>
    <w:rsid w:val="00B20AC9"/>
    <w:rsid w:val="00B20C72"/>
    <w:rsid w:val="00B20C82"/>
    <w:rsid w:val="00B20E33"/>
    <w:rsid w:val="00B20F1A"/>
    <w:rsid w:val="00B21ADF"/>
    <w:rsid w:val="00B21AE2"/>
    <w:rsid w:val="00B21BD0"/>
    <w:rsid w:val="00B21DBF"/>
    <w:rsid w:val="00B21DCB"/>
    <w:rsid w:val="00B223C5"/>
    <w:rsid w:val="00B22AE6"/>
    <w:rsid w:val="00B22E6B"/>
    <w:rsid w:val="00B236EE"/>
    <w:rsid w:val="00B2382F"/>
    <w:rsid w:val="00B23911"/>
    <w:rsid w:val="00B23A84"/>
    <w:rsid w:val="00B24719"/>
    <w:rsid w:val="00B24721"/>
    <w:rsid w:val="00B255A6"/>
    <w:rsid w:val="00B25AD8"/>
    <w:rsid w:val="00B25AF3"/>
    <w:rsid w:val="00B25DDE"/>
    <w:rsid w:val="00B25FF3"/>
    <w:rsid w:val="00B2604F"/>
    <w:rsid w:val="00B26626"/>
    <w:rsid w:val="00B26E4A"/>
    <w:rsid w:val="00B270C8"/>
    <w:rsid w:val="00B27666"/>
    <w:rsid w:val="00B27FAD"/>
    <w:rsid w:val="00B27FD5"/>
    <w:rsid w:val="00B30015"/>
    <w:rsid w:val="00B30322"/>
    <w:rsid w:val="00B3061B"/>
    <w:rsid w:val="00B308D8"/>
    <w:rsid w:val="00B30BDC"/>
    <w:rsid w:val="00B31320"/>
    <w:rsid w:val="00B320E1"/>
    <w:rsid w:val="00B32165"/>
    <w:rsid w:val="00B32424"/>
    <w:rsid w:val="00B3279B"/>
    <w:rsid w:val="00B32B6D"/>
    <w:rsid w:val="00B32D20"/>
    <w:rsid w:val="00B32FD0"/>
    <w:rsid w:val="00B33849"/>
    <w:rsid w:val="00B3389B"/>
    <w:rsid w:val="00B33D12"/>
    <w:rsid w:val="00B3478D"/>
    <w:rsid w:val="00B34C1B"/>
    <w:rsid w:val="00B34CB6"/>
    <w:rsid w:val="00B353A1"/>
    <w:rsid w:val="00B359A1"/>
    <w:rsid w:val="00B369DA"/>
    <w:rsid w:val="00B36D90"/>
    <w:rsid w:val="00B400F6"/>
    <w:rsid w:val="00B40211"/>
    <w:rsid w:val="00B40587"/>
    <w:rsid w:val="00B40C6A"/>
    <w:rsid w:val="00B412B1"/>
    <w:rsid w:val="00B412F2"/>
    <w:rsid w:val="00B415FD"/>
    <w:rsid w:val="00B41845"/>
    <w:rsid w:val="00B41EEA"/>
    <w:rsid w:val="00B42B20"/>
    <w:rsid w:val="00B4324B"/>
    <w:rsid w:val="00B4477F"/>
    <w:rsid w:val="00B447AE"/>
    <w:rsid w:val="00B44B04"/>
    <w:rsid w:val="00B44CFA"/>
    <w:rsid w:val="00B44D10"/>
    <w:rsid w:val="00B44EA9"/>
    <w:rsid w:val="00B44F26"/>
    <w:rsid w:val="00B45057"/>
    <w:rsid w:val="00B4507F"/>
    <w:rsid w:val="00B45523"/>
    <w:rsid w:val="00B455FF"/>
    <w:rsid w:val="00B458A4"/>
    <w:rsid w:val="00B4599B"/>
    <w:rsid w:val="00B46599"/>
    <w:rsid w:val="00B4693D"/>
    <w:rsid w:val="00B47265"/>
    <w:rsid w:val="00B47F27"/>
    <w:rsid w:val="00B47FEF"/>
    <w:rsid w:val="00B50090"/>
    <w:rsid w:val="00B50143"/>
    <w:rsid w:val="00B50206"/>
    <w:rsid w:val="00B50623"/>
    <w:rsid w:val="00B508B8"/>
    <w:rsid w:val="00B508D5"/>
    <w:rsid w:val="00B50A95"/>
    <w:rsid w:val="00B51190"/>
    <w:rsid w:val="00B51214"/>
    <w:rsid w:val="00B512EC"/>
    <w:rsid w:val="00B51518"/>
    <w:rsid w:val="00B5151F"/>
    <w:rsid w:val="00B519BE"/>
    <w:rsid w:val="00B52077"/>
    <w:rsid w:val="00B52FD1"/>
    <w:rsid w:val="00B531A7"/>
    <w:rsid w:val="00B53588"/>
    <w:rsid w:val="00B53C79"/>
    <w:rsid w:val="00B5461A"/>
    <w:rsid w:val="00B54F6A"/>
    <w:rsid w:val="00B5505A"/>
    <w:rsid w:val="00B55341"/>
    <w:rsid w:val="00B5545D"/>
    <w:rsid w:val="00B55475"/>
    <w:rsid w:val="00B558FD"/>
    <w:rsid w:val="00B55A6E"/>
    <w:rsid w:val="00B55FDF"/>
    <w:rsid w:val="00B5600F"/>
    <w:rsid w:val="00B56232"/>
    <w:rsid w:val="00B56315"/>
    <w:rsid w:val="00B57423"/>
    <w:rsid w:val="00B578FA"/>
    <w:rsid w:val="00B57A7D"/>
    <w:rsid w:val="00B57D5F"/>
    <w:rsid w:val="00B57F9C"/>
    <w:rsid w:val="00B60840"/>
    <w:rsid w:val="00B6096E"/>
    <w:rsid w:val="00B61042"/>
    <w:rsid w:val="00B6123D"/>
    <w:rsid w:val="00B61DB5"/>
    <w:rsid w:val="00B62102"/>
    <w:rsid w:val="00B6228D"/>
    <w:rsid w:val="00B629B6"/>
    <w:rsid w:val="00B633DA"/>
    <w:rsid w:val="00B63BC7"/>
    <w:rsid w:val="00B63D9E"/>
    <w:rsid w:val="00B64771"/>
    <w:rsid w:val="00B648C0"/>
    <w:rsid w:val="00B64BBE"/>
    <w:rsid w:val="00B64CCE"/>
    <w:rsid w:val="00B64D48"/>
    <w:rsid w:val="00B64FC0"/>
    <w:rsid w:val="00B657B1"/>
    <w:rsid w:val="00B65A20"/>
    <w:rsid w:val="00B65F48"/>
    <w:rsid w:val="00B660DE"/>
    <w:rsid w:val="00B664D1"/>
    <w:rsid w:val="00B66CFB"/>
    <w:rsid w:val="00B676FA"/>
    <w:rsid w:val="00B67BEA"/>
    <w:rsid w:val="00B7011F"/>
    <w:rsid w:val="00B705CE"/>
    <w:rsid w:val="00B707F4"/>
    <w:rsid w:val="00B70F92"/>
    <w:rsid w:val="00B71140"/>
    <w:rsid w:val="00B712EF"/>
    <w:rsid w:val="00B71802"/>
    <w:rsid w:val="00B71A9D"/>
    <w:rsid w:val="00B71F12"/>
    <w:rsid w:val="00B72134"/>
    <w:rsid w:val="00B72606"/>
    <w:rsid w:val="00B72CAA"/>
    <w:rsid w:val="00B72D97"/>
    <w:rsid w:val="00B73161"/>
    <w:rsid w:val="00B737A8"/>
    <w:rsid w:val="00B73892"/>
    <w:rsid w:val="00B73B37"/>
    <w:rsid w:val="00B73DB5"/>
    <w:rsid w:val="00B74654"/>
    <w:rsid w:val="00B7487F"/>
    <w:rsid w:val="00B74CA4"/>
    <w:rsid w:val="00B74F42"/>
    <w:rsid w:val="00B75416"/>
    <w:rsid w:val="00B75952"/>
    <w:rsid w:val="00B75BA3"/>
    <w:rsid w:val="00B75D06"/>
    <w:rsid w:val="00B75F4C"/>
    <w:rsid w:val="00B761D3"/>
    <w:rsid w:val="00B76811"/>
    <w:rsid w:val="00B77477"/>
    <w:rsid w:val="00B77B33"/>
    <w:rsid w:val="00B8026F"/>
    <w:rsid w:val="00B805E9"/>
    <w:rsid w:val="00B8082C"/>
    <w:rsid w:val="00B80A09"/>
    <w:rsid w:val="00B80AAF"/>
    <w:rsid w:val="00B80FC6"/>
    <w:rsid w:val="00B80FF6"/>
    <w:rsid w:val="00B82229"/>
    <w:rsid w:val="00B82623"/>
    <w:rsid w:val="00B829D3"/>
    <w:rsid w:val="00B840EC"/>
    <w:rsid w:val="00B842C4"/>
    <w:rsid w:val="00B8436E"/>
    <w:rsid w:val="00B8466B"/>
    <w:rsid w:val="00B846A3"/>
    <w:rsid w:val="00B84722"/>
    <w:rsid w:val="00B849B9"/>
    <w:rsid w:val="00B84C64"/>
    <w:rsid w:val="00B84EEF"/>
    <w:rsid w:val="00B851EF"/>
    <w:rsid w:val="00B85386"/>
    <w:rsid w:val="00B8597F"/>
    <w:rsid w:val="00B85A2E"/>
    <w:rsid w:val="00B86619"/>
    <w:rsid w:val="00B8718B"/>
    <w:rsid w:val="00B87405"/>
    <w:rsid w:val="00B8764E"/>
    <w:rsid w:val="00B87D8C"/>
    <w:rsid w:val="00B903E5"/>
    <w:rsid w:val="00B90438"/>
    <w:rsid w:val="00B90973"/>
    <w:rsid w:val="00B9118A"/>
    <w:rsid w:val="00B91741"/>
    <w:rsid w:val="00B91BA7"/>
    <w:rsid w:val="00B91D5F"/>
    <w:rsid w:val="00B91ECF"/>
    <w:rsid w:val="00B927C3"/>
    <w:rsid w:val="00B9292E"/>
    <w:rsid w:val="00B92968"/>
    <w:rsid w:val="00B93276"/>
    <w:rsid w:val="00B93DF0"/>
    <w:rsid w:val="00B94354"/>
    <w:rsid w:val="00B943EA"/>
    <w:rsid w:val="00B9442D"/>
    <w:rsid w:val="00B948B4"/>
    <w:rsid w:val="00B94ADB"/>
    <w:rsid w:val="00B94E35"/>
    <w:rsid w:val="00B9526A"/>
    <w:rsid w:val="00B956DA"/>
    <w:rsid w:val="00B95825"/>
    <w:rsid w:val="00B959FB"/>
    <w:rsid w:val="00B96646"/>
    <w:rsid w:val="00B973C9"/>
    <w:rsid w:val="00B9751E"/>
    <w:rsid w:val="00B97F73"/>
    <w:rsid w:val="00B97FB4"/>
    <w:rsid w:val="00BA0426"/>
    <w:rsid w:val="00BA0470"/>
    <w:rsid w:val="00BA0600"/>
    <w:rsid w:val="00BA06E5"/>
    <w:rsid w:val="00BA0D01"/>
    <w:rsid w:val="00BA1094"/>
    <w:rsid w:val="00BA10A2"/>
    <w:rsid w:val="00BA1352"/>
    <w:rsid w:val="00BA3277"/>
    <w:rsid w:val="00BA3EA7"/>
    <w:rsid w:val="00BA4E81"/>
    <w:rsid w:val="00BA4F46"/>
    <w:rsid w:val="00BA515E"/>
    <w:rsid w:val="00BA54EC"/>
    <w:rsid w:val="00BA5740"/>
    <w:rsid w:val="00BA60F0"/>
    <w:rsid w:val="00BA6237"/>
    <w:rsid w:val="00BA651E"/>
    <w:rsid w:val="00BA6530"/>
    <w:rsid w:val="00BA6532"/>
    <w:rsid w:val="00BA66AA"/>
    <w:rsid w:val="00BA686D"/>
    <w:rsid w:val="00BA6D88"/>
    <w:rsid w:val="00BA74B6"/>
    <w:rsid w:val="00BA7716"/>
    <w:rsid w:val="00BA7AFF"/>
    <w:rsid w:val="00BA7DA3"/>
    <w:rsid w:val="00BA7F1D"/>
    <w:rsid w:val="00BB0E53"/>
    <w:rsid w:val="00BB192F"/>
    <w:rsid w:val="00BB2A73"/>
    <w:rsid w:val="00BB3053"/>
    <w:rsid w:val="00BB3608"/>
    <w:rsid w:val="00BB37E4"/>
    <w:rsid w:val="00BB4761"/>
    <w:rsid w:val="00BB4866"/>
    <w:rsid w:val="00BB4C1E"/>
    <w:rsid w:val="00BB4E1E"/>
    <w:rsid w:val="00BB53C1"/>
    <w:rsid w:val="00BB5E03"/>
    <w:rsid w:val="00BB5EE0"/>
    <w:rsid w:val="00BB6038"/>
    <w:rsid w:val="00BB6757"/>
    <w:rsid w:val="00BB6A2D"/>
    <w:rsid w:val="00BB6A87"/>
    <w:rsid w:val="00BB7079"/>
    <w:rsid w:val="00BB740C"/>
    <w:rsid w:val="00BB75D4"/>
    <w:rsid w:val="00BB7FCE"/>
    <w:rsid w:val="00BC01F2"/>
    <w:rsid w:val="00BC19FC"/>
    <w:rsid w:val="00BC2047"/>
    <w:rsid w:val="00BC2063"/>
    <w:rsid w:val="00BC2224"/>
    <w:rsid w:val="00BC2351"/>
    <w:rsid w:val="00BC25ED"/>
    <w:rsid w:val="00BC321A"/>
    <w:rsid w:val="00BC3411"/>
    <w:rsid w:val="00BC3A60"/>
    <w:rsid w:val="00BC3D21"/>
    <w:rsid w:val="00BC3FB7"/>
    <w:rsid w:val="00BC41B4"/>
    <w:rsid w:val="00BC4ECF"/>
    <w:rsid w:val="00BC5985"/>
    <w:rsid w:val="00BC5AA2"/>
    <w:rsid w:val="00BC64A5"/>
    <w:rsid w:val="00BC6A5B"/>
    <w:rsid w:val="00BC6E64"/>
    <w:rsid w:val="00BC6EB0"/>
    <w:rsid w:val="00BC7934"/>
    <w:rsid w:val="00BC7B0A"/>
    <w:rsid w:val="00BC7DC1"/>
    <w:rsid w:val="00BC7E99"/>
    <w:rsid w:val="00BC7F48"/>
    <w:rsid w:val="00BD0084"/>
    <w:rsid w:val="00BD0304"/>
    <w:rsid w:val="00BD033A"/>
    <w:rsid w:val="00BD03FA"/>
    <w:rsid w:val="00BD059E"/>
    <w:rsid w:val="00BD0607"/>
    <w:rsid w:val="00BD0857"/>
    <w:rsid w:val="00BD0C65"/>
    <w:rsid w:val="00BD0CEB"/>
    <w:rsid w:val="00BD105B"/>
    <w:rsid w:val="00BD12AF"/>
    <w:rsid w:val="00BD182B"/>
    <w:rsid w:val="00BD1EB2"/>
    <w:rsid w:val="00BD23BC"/>
    <w:rsid w:val="00BD254C"/>
    <w:rsid w:val="00BD2A6D"/>
    <w:rsid w:val="00BD2D11"/>
    <w:rsid w:val="00BD2D1B"/>
    <w:rsid w:val="00BD2D86"/>
    <w:rsid w:val="00BD30BD"/>
    <w:rsid w:val="00BD369B"/>
    <w:rsid w:val="00BD3D42"/>
    <w:rsid w:val="00BD4679"/>
    <w:rsid w:val="00BD49ED"/>
    <w:rsid w:val="00BD53DE"/>
    <w:rsid w:val="00BD581E"/>
    <w:rsid w:val="00BD59AD"/>
    <w:rsid w:val="00BD5DE6"/>
    <w:rsid w:val="00BD5E90"/>
    <w:rsid w:val="00BD60B6"/>
    <w:rsid w:val="00BD6593"/>
    <w:rsid w:val="00BD65E3"/>
    <w:rsid w:val="00BD676D"/>
    <w:rsid w:val="00BD7123"/>
    <w:rsid w:val="00BD7198"/>
    <w:rsid w:val="00BD71FD"/>
    <w:rsid w:val="00BD75F2"/>
    <w:rsid w:val="00BD7A4E"/>
    <w:rsid w:val="00BD7ABE"/>
    <w:rsid w:val="00BD7FC6"/>
    <w:rsid w:val="00BE00AA"/>
    <w:rsid w:val="00BE045A"/>
    <w:rsid w:val="00BE0867"/>
    <w:rsid w:val="00BE1522"/>
    <w:rsid w:val="00BE1BD3"/>
    <w:rsid w:val="00BE202A"/>
    <w:rsid w:val="00BE249B"/>
    <w:rsid w:val="00BE2A6E"/>
    <w:rsid w:val="00BE3491"/>
    <w:rsid w:val="00BE355F"/>
    <w:rsid w:val="00BE3776"/>
    <w:rsid w:val="00BE3B7F"/>
    <w:rsid w:val="00BE3EC4"/>
    <w:rsid w:val="00BE3F70"/>
    <w:rsid w:val="00BE401C"/>
    <w:rsid w:val="00BE4091"/>
    <w:rsid w:val="00BE4249"/>
    <w:rsid w:val="00BE4787"/>
    <w:rsid w:val="00BE4AD4"/>
    <w:rsid w:val="00BE4C53"/>
    <w:rsid w:val="00BE541D"/>
    <w:rsid w:val="00BE575B"/>
    <w:rsid w:val="00BE62A8"/>
    <w:rsid w:val="00BE65A4"/>
    <w:rsid w:val="00BE7124"/>
    <w:rsid w:val="00BE71B7"/>
    <w:rsid w:val="00BE73AA"/>
    <w:rsid w:val="00BE74D6"/>
    <w:rsid w:val="00BE7647"/>
    <w:rsid w:val="00BF09FF"/>
    <w:rsid w:val="00BF12BF"/>
    <w:rsid w:val="00BF1547"/>
    <w:rsid w:val="00BF1631"/>
    <w:rsid w:val="00BF2758"/>
    <w:rsid w:val="00BF2A14"/>
    <w:rsid w:val="00BF35F9"/>
    <w:rsid w:val="00BF454B"/>
    <w:rsid w:val="00BF4B05"/>
    <w:rsid w:val="00BF4BBA"/>
    <w:rsid w:val="00BF52F2"/>
    <w:rsid w:val="00BF5AAB"/>
    <w:rsid w:val="00BF5AF4"/>
    <w:rsid w:val="00BF5B24"/>
    <w:rsid w:val="00BF5B8C"/>
    <w:rsid w:val="00BF6404"/>
    <w:rsid w:val="00BF68E6"/>
    <w:rsid w:val="00BF70FC"/>
    <w:rsid w:val="00BF7141"/>
    <w:rsid w:val="00BF72D8"/>
    <w:rsid w:val="00BF739B"/>
    <w:rsid w:val="00BF778C"/>
    <w:rsid w:val="00BF7DFE"/>
    <w:rsid w:val="00C00008"/>
    <w:rsid w:val="00C005CE"/>
    <w:rsid w:val="00C006A7"/>
    <w:rsid w:val="00C0095D"/>
    <w:rsid w:val="00C00A1E"/>
    <w:rsid w:val="00C00B28"/>
    <w:rsid w:val="00C00BAC"/>
    <w:rsid w:val="00C01089"/>
    <w:rsid w:val="00C01548"/>
    <w:rsid w:val="00C01633"/>
    <w:rsid w:val="00C0173A"/>
    <w:rsid w:val="00C01C4F"/>
    <w:rsid w:val="00C020F2"/>
    <w:rsid w:val="00C0247E"/>
    <w:rsid w:val="00C025D5"/>
    <w:rsid w:val="00C044A3"/>
    <w:rsid w:val="00C044E0"/>
    <w:rsid w:val="00C04BA1"/>
    <w:rsid w:val="00C0550F"/>
    <w:rsid w:val="00C05B4A"/>
    <w:rsid w:val="00C05C35"/>
    <w:rsid w:val="00C0673B"/>
    <w:rsid w:val="00C0685F"/>
    <w:rsid w:val="00C06E58"/>
    <w:rsid w:val="00C0708B"/>
    <w:rsid w:val="00C0711C"/>
    <w:rsid w:val="00C07197"/>
    <w:rsid w:val="00C07292"/>
    <w:rsid w:val="00C079CE"/>
    <w:rsid w:val="00C07A73"/>
    <w:rsid w:val="00C07B30"/>
    <w:rsid w:val="00C10921"/>
    <w:rsid w:val="00C10CB8"/>
    <w:rsid w:val="00C10F44"/>
    <w:rsid w:val="00C11185"/>
    <w:rsid w:val="00C11190"/>
    <w:rsid w:val="00C1159A"/>
    <w:rsid w:val="00C129F0"/>
    <w:rsid w:val="00C12A0A"/>
    <w:rsid w:val="00C12ED2"/>
    <w:rsid w:val="00C12FCE"/>
    <w:rsid w:val="00C13150"/>
    <w:rsid w:val="00C131CD"/>
    <w:rsid w:val="00C13320"/>
    <w:rsid w:val="00C13A91"/>
    <w:rsid w:val="00C13E3E"/>
    <w:rsid w:val="00C1462B"/>
    <w:rsid w:val="00C147BE"/>
    <w:rsid w:val="00C148C0"/>
    <w:rsid w:val="00C1498D"/>
    <w:rsid w:val="00C15025"/>
    <w:rsid w:val="00C15671"/>
    <w:rsid w:val="00C156B8"/>
    <w:rsid w:val="00C158E3"/>
    <w:rsid w:val="00C1601D"/>
    <w:rsid w:val="00C165DB"/>
    <w:rsid w:val="00C16828"/>
    <w:rsid w:val="00C16D8C"/>
    <w:rsid w:val="00C16DF2"/>
    <w:rsid w:val="00C17323"/>
    <w:rsid w:val="00C20050"/>
    <w:rsid w:val="00C203F6"/>
    <w:rsid w:val="00C20736"/>
    <w:rsid w:val="00C21395"/>
    <w:rsid w:val="00C214B8"/>
    <w:rsid w:val="00C218C5"/>
    <w:rsid w:val="00C219F2"/>
    <w:rsid w:val="00C21CF3"/>
    <w:rsid w:val="00C21EED"/>
    <w:rsid w:val="00C22279"/>
    <w:rsid w:val="00C22886"/>
    <w:rsid w:val="00C22CA5"/>
    <w:rsid w:val="00C22D3E"/>
    <w:rsid w:val="00C22E02"/>
    <w:rsid w:val="00C2331A"/>
    <w:rsid w:val="00C2348C"/>
    <w:rsid w:val="00C23F09"/>
    <w:rsid w:val="00C24C50"/>
    <w:rsid w:val="00C259CA"/>
    <w:rsid w:val="00C260B1"/>
    <w:rsid w:val="00C26741"/>
    <w:rsid w:val="00C268BD"/>
    <w:rsid w:val="00C273B4"/>
    <w:rsid w:val="00C27416"/>
    <w:rsid w:val="00C27759"/>
    <w:rsid w:val="00C279B2"/>
    <w:rsid w:val="00C27B6E"/>
    <w:rsid w:val="00C27DCD"/>
    <w:rsid w:val="00C30009"/>
    <w:rsid w:val="00C30036"/>
    <w:rsid w:val="00C305C1"/>
    <w:rsid w:val="00C3065E"/>
    <w:rsid w:val="00C30721"/>
    <w:rsid w:val="00C3079F"/>
    <w:rsid w:val="00C30C44"/>
    <w:rsid w:val="00C30F84"/>
    <w:rsid w:val="00C31539"/>
    <w:rsid w:val="00C3165B"/>
    <w:rsid w:val="00C31CB0"/>
    <w:rsid w:val="00C31D44"/>
    <w:rsid w:val="00C32455"/>
    <w:rsid w:val="00C32ACD"/>
    <w:rsid w:val="00C32F2A"/>
    <w:rsid w:val="00C3314D"/>
    <w:rsid w:val="00C3343F"/>
    <w:rsid w:val="00C337E7"/>
    <w:rsid w:val="00C33C31"/>
    <w:rsid w:val="00C342A3"/>
    <w:rsid w:val="00C348A8"/>
    <w:rsid w:val="00C351D8"/>
    <w:rsid w:val="00C35279"/>
    <w:rsid w:val="00C35898"/>
    <w:rsid w:val="00C358BB"/>
    <w:rsid w:val="00C35A33"/>
    <w:rsid w:val="00C35EA4"/>
    <w:rsid w:val="00C36501"/>
    <w:rsid w:val="00C36591"/>
    <w:rsid w:val="00C36A0D"/>
    <w:rsid w:val="00C36B20"/>
    <w:rsid w:val="00C36FC3"/>
    <w:rsid w:val="00C3779B"/>
    <w:rsid w:val="00C37D97"/>
    <w:rsid w:val="00C40495"/>
    <w:rsid w:val="00C40512"/>
    <w:rsid w:val="00C40914"/>
    <w:rsid w:val="00C40D68"/>
    <w:rsid w:val="00C40EDC"/>
    <w:rsid w:val="00C41B8C"/>
    <w:rsid w:val="00C41BC0"/>
    <w:rsid w:val="00C41CDD"/>
    <w:rsid w:val="00C41DDB"/>
    <w:rsid w:val="00C41E52"/>
    <w:rsid w:val="00C4213B"/>
    <w:rsid w:val="00C425C5"/>
    <w:rsid w:val="00C42786"/>
    <w:rsid w:val="00C43355"/>
    <w:rsid w:val="00C43B6B"/>
    <w:rsid w:val="00C43C0D"/>
    <w:rsid w:val="00C442A1"/>
    <w:rsid w:val="00C4432A"/>
    <w:rsid w:val="00C4486A"/>
    <w:rsid w:val="00C448F3"/>
    <w:rsid w:val="00C453D4"/>
    <w:rsid w:val="00C45D77"/>
    <w:rsid w:val="00C4646C"/>
    <w:rsid w:val="00C4659E"/>
    <w:rsid w:val="00C4669F"/>
    <w:rsid w:val="00C46947"/>
    <w:rsid w:val="00C46B5E"/>
    <w:rsid w:val="00C46D30"/>
    <w:rsid w:val="00C46DEC"/>
    <w:rsid w:val="00C470AE"/>
    <w:rsid w:val="00C470DA"/>
    <w:rsid w:val="00C474C3"/>
    <w:rsid w:val="00C478E5"/>
    <w:rsid w:val="00C47BC4"/>
    <w:rsid w:val="00C47F3F"/>
    <w:rsid w:val="00C50113"/>
    <w:rsid w:val="00C5029C"/>
    <w:rsid w:val="00C50C4A"/>
    <w:rsid w:val="00C50E2E"/>
    <w:rsid w:val="00C50E45"/>
    <w:rsid w:val="00C51316"/>
    <w:rsid w:val="00C516DD"/>
    <w:rsid w:val="00C517A4"/>
    <w:rsid w:val="00C52189"/>
    <w:rsid w:val="00C527F0"/>
    <w:rsid w:val="00C528A3"/>
    <w:rsid w:val="00C52963"/>
    <w:rsid w:val="00C52BBF"/>
    <w:rsid w:val="00C531DC"/>
    <w:rsid w:val="00C5337C"/>
    <w:rsid w:val="00C5407E"/>
    <w:rsid w:val="00C541FA"/>
    <w:rsid w:val="00C54560"/>
    <w:rsid w:val="00C546E0"/>
    <w:rsid w:val="00C55069"/>
    <w:rsid w:val="00C551A0"/>
    <w:rsid w:val="00C55790"/>
    <w:rsid w:val="00C55CB0"/>
    <w:rsid w:val="00C5642F"/>
    <w:rsid w:val="00C564CF"/>
    <w:rsid w:val="00C5676E"/>
    <w:rsid w:val="00C569B3"/>
    <w:rsid w:val="00C56E87"/>
    <w:rsid w:val="00C56F9B"/>
    <w:rsid w:val="00C60388"/>
    <w:rsid w:val="00C603C3"/>
    <w:rsid w:val="00C604A2"/>
    <w:rsid w:val="00C60FE7"/>
    <w:rsid w:val="00C61401"/>
    <w:rsid w:val="00C61543"/>
    <w:rsid w:val="00C61650"/>
    <w:rsid w:val="00C6205C"/>
    <w:rsid w:val="00C62115"/>
    <w:rsid w:val="00C62E85"/>
    <w:rsid w:val="00C6340F"/>
    <w:rsid w:val="00C6399B"/>
    <w:rsid w:val="00C64300"/>
    <w:rsid w:val="00C644EC"/>
    <w:rsid w:val="00C64964"/>
    <w:rsid w:val="00C64DE8"/>
    <w:rsid w:val="00C64FB6"/>
    <w:rsid w:val="00C657F7"/>
    <w:rsid w:val="00C65870"/>
    <w:rsid w:val="00C6588A"/>
    <w:rsid w:val="00C65B4C"/>
    <w:rsid w:val="00C65F01"/>
    <w:rsid w:val="00C669D0"/>
    <w:rsid w:val="00C66D5F"/>
    <w:rsid w:val="00C67048"/>
    <w:rsid w:val="00C6713C"/>
    <w:rsid w:val="00C6724D"/>
    <w:rsid w:val="00C67761"/>
    <w:rsid w:val="00C6784B"/>
    <w:rsid w:val="00C67877"/>
    <w:rsid w:val="00C703F4"/>
    <w:rsid w:val="00C70657"/>
    <w:rsid w:val="00C70797"/>
    <w:rsid w:val="00C707D6"/>
    <w:rsid w:val="00C70A78"/>
    <w:rsid w:val="00C71342"/>
    <w:rsid w:val="00C719DB"/>
    <w:rsid w:val="00C7223F"/>
    <w:rsid w:val="00C72522"/>
    <w:rsid w:val="00C72A21"/>
    <w:rsid w:val="00C72CD1"/>
    <w:rsid w:val="00C73272"/>
    <w:rsid w:val="00C736FC"/>
    <w:rsid w:val="00C737A1"/>
    <w:rsid w:val="00C73846"/>
    <w:rsid w:val="00C739C8"/>
    <w:rsid w:val="00C739F2"/>
    <w:rsid w:val="00C73E83"/>
    <w:rsid w:val="00C748EC"/>
    <w:rsid w:val="00C74A31"/>
    <w:rsid w:val="00C74B1A"/>
    <w:rsid w:val="00C74ED0"/>
    <w:rsid w:val="00C74F57"/>
    <w:rsid w:val="00C74F9D"/>
    <w:rsid w:val="00C756ED"/>
    <w:rsid w:val="00C75A67"/>
    <w:rsid w:val="00C75BF8"/>
    <w:rsid w:val="00C75C73"/>
    <w:rsid w:val="00C76311"/>
    <w:rsid w:val="00C76B59"/>
    <w:rsid w:val="00C772CA"/>
    <w:rsid w:val="00C773D8"/>
    <w:rsid w:val="00C779CF"/>
    <w:rsid w:val="00C77A92"/>
    <w:rsid w:val="00C77B07"/>
    <w:rsid w:val="00C77CB0"/>
    <w:rsid w:val="00C8001C"/>
    <w:rsid w:val="00C80028"/>
    <w:rsid w:val="00C8016F"/>
    <w:rsid w:val="00C8029F"/>
    <w:rsid w:val="00C8091A"/>
    <w:rsid w:val="00C80AC5"/>
    <w:rsid w:val="00C80B36"/>
    <w:rsid w:val="00C80C33"/>
    <w:rsid w:val="00C810B5"/>
    <w:rsid w:val="00C81AAB"/>
    <w:rsid w:val="00C81D8F"/>
    <w:rsid w:val="00C836E6"/>
    <w:rsid w:val="00C83DE1"/>
    <w:rsid w:val="00C84343"/>
    <w:rsid w:val="00C84368"/>
    <w:rsid w:val="00C84690"/>
    <w:rsid w:val="00C8485E"/>
    <w:rsid w:val="00C855E8"/>
    <w:rsid w:val="00C85E8A"/>
    <w:rsid w:val="00C85F5F"/>
    <w:rsid w:val="00C85F66"/>
    <w:rsid w:val="00C87980"/>
    <w:rsid w:val="00C87E70"/>
    <w:rsid w:val="00C9003B"/>
    <w:rsid w:val="00C90112"/>
    <w:rsid w:val="00C9011F"/>
    <w:rsid w:val="00C90CE1"/>
    <w:rsid w:val="00C9172F"/>
    <w:rsid w:val="00C91802"/>
    <w:rsid w:val="00C91936"/>
    <w:rsid w:val="00C933D4"/>
    <w:rsid w:val="00C93834"/>
    <w:rsid w:val="00C9384C"/>
    <w:rsid w:val="00C93AC6"/>
    <w:rsid w:val="00C93CCD"/>
    <w:rsid w:val="00C93DA4"/>
    <w:rsid w:val="00C93FAA"/>
    <w:rsid w:val="00C941B9"/>
    <w:rsid w:val="00C942D5"/>
    <w:rsid w:val="00C944D8"/>
    <w:rsid w:val="00C9453F"/>
    <w:rsid w:val="00C94BA5"/>
    <w:rsid w:val="00C95210"/>
    <w:rsid w:val="00C966EF"/>
    <w:rsid w:val="00C96710"/>
    <w:rsid w:val="00C97567"/>
    <w:rsid w:val="00C97F5C"/>
    <w:rsid w:val="00CA0867"/>
    <w:rsid w:val="00CA0F41"/>
    <w:rsid w:val="00CA190D"/>
    <w:rsid w:val="00CA19B7"/>
    <w:rsid w:val="00CA1E22"/>
    <w:rsid w:val="00CA2209"/>
    <w:rsid w:val="00CA35DE"/>
    <w:rsid w:val="00CA37AE"/>
    <w:rsid w:val="00CA52A7"/>
    <w:rsid w:val="00CA5B5E"/>
    <w:rsid w:val="00CA5BBE"/>
    <w:rsid w:val="00CA5D74"/>
    <w:rsid w:val="00CA5DBD"/>
    <w:rsid w:val="00CA643A"/>
    <w:rsid w:val="00CA651E"/>
    <w:rsid w:val="00CA6BA8"/>
    <w:rsid w:val="00CA6E95"/>
    <w:rsid w:val="00CA7195"/>
    <w:rsid w:val="00CA77CB"/>
    <w:rsid w:val="00CA7A51"/>
    <w:rsid w:val="00CA7CBC"/>
    <w:rsid w:val="00CB013A"/>
    <w:rsid w:val="00CB0420"/>
    <w:rsid w:val="00CB043A"/>
    <w:rsid w:val="00CB1054"/>
    <w:rsid w:val="00CB1407"/>
    <w:rsid w:val="00CB166D"/>
    <w:rsid w:val="00CB1CE7"/>
    <w:rsid w:val="00CB2060"/>
    <w:rsid w:val="00CB2613"/>
    <w:rsid w:val="00CB267A"/>
    <w:rsid w:val="00CB27A3"/>
    <w:rsid w:val="00CB28E5"/>
    <w:rsid w:val="00CB319D"/>
    <w:rsid w:val="00CB3200"/>
    <w:rsid w:val="00CB33BB"/>
    <w:rsid w:val="00CB3490"/>
    <w:rsid w:val="00CB3EC1"/>
    <w:rsid w:val="00CB434A"/>
    <w:rsid w:val="00CB4609"/>
    <w:rsid w:val="00CB4EE2"/>
    <w:rsid w:val="00CB59DC"/>
    <w:rsid w:val="00CB5A2B"/>
    <w:rsid w:val="00CB60D8"/>
    <w:rsid w:val="00CB632C"/>
    <w:rsid w:val="00CB6E9F"/>
    <w:rsid w:val="00CB779C"/>
    <w:rsid w:val="00CC0265"/>
    <w:rsid w:val="00CC0360"/>
    <w:rsid w:val="00CC055A"/>
    <w:rsid w:val="00CC06ED"/>
    <w:rsid w:val="00CC09A6"/>
    <w:rsid w:val="00CC0A12"/>
    <w:rsid w:val="00CC0B7E"/>
    <w:rsid w:val="00CC18FC"/>
    <w:rsid w:val="00CC1AD7"/>
    <w:rsid w:val="00CC284C"/>
    <w:rsid w:val="00CC2953"/>
    <w:rsid w:val="00CC33B3"/>
    <w:rsid w:val="00CC33D8"/>
    <w:rsid w:val="00CC396C"/>
    <w:rsid w:val="00CC3D52"/>
    <w:rsid w:val="00CC42BA"/>
    <w:rsid w:val="00CC42F5"/>
    <w:rsid w:val="00CC4DC1"/>
    <w:rsid w:val="00CC4DEE"/>
    <w:rsid w:val="00CC50A9"/>
    <w:rsid w:val="00CC5860"/>
    <w:rsid w:val="00CC61DE"/>
    <w:rsid w:val="00CC6C22"/>
    <w:rsid w:val="00CC716E"/>
    <w:rsid w:val="00CC7721"/>
    <w:rsid w:val="00CC7F71"/>
    <w:rsid w:val="00CD0AFE"/>
    <w:rsid w:val="00CD0E62"/>
    <w:rsid w:val="00CD0F39"/>
    <w:rsid w:val="00CD1842"/>
    <w:rsid w:val="00CD1BDF"/>
    <w:rsid w:val="00CD1D4B"/>
    <w:rsid w:val="00CD1EC9"/>
    <w:rsid w:val="00CD2331"/>
    <w:rsid w:val="00CD271C"/>
    <w:rsid w:val="00CD2865"/>
    <w:rsid w:val="00CD32ED"/>
    <w:rsid w:val="00CD36F3"/>
    <w:rsid w:val="00CD3A25"/>
    <w:rsid w:val="00CD3D1D"/>
    <w:rsid w:val="00CD41AF"/>
    <w:rsid w:val="00CD4439"/>
    <w:rsid w:val="00CD4484"/>
    <w:rsid w:val="00CD4C1A"/>
    <w:rsid w:val="00CD4C5C"/>
    <w:rsid w:val="00CD4EC7"/>
    <w:rsid w:val="00CD5536"/>
    <w:rsid w:val="00CD59FB"/>
    <w:rsid w:val="00CD647C"/>
    <w:rsid w:val="00CD64E7"/>
    <w:rsid w:val="00CD66F6"/>
    <w:rsid w:val="00CD6854"/>
    <w:rsid w:val="00CD69D1"/>
    <w:rsid w:val="00CD6AD4"/>
    <w:rsid w:val="00CD6DCE"/>
    <w:rsid w:val="00CD738C"/>
    <w:rsid w:val="00CD74A7"/>
    <w:rsid w:val="00CD761E"/>
    <w:rsid w:val="00CD7B23"/>
    <w:rsid w:val="00CD7E97"/>
    <w:rsid w:val="00CE00BF"/>
    <w:rsid w:val="00CE0899"/>
    <w:rsid w:val="00CE0D3C"/>
    <w:rsid w:val="00CE0F2C"/>
    <w:rsid w:val="00CE0F6A"/>
    <w:rsid w:val="00CE11C0"/>
    <w:rsid w:val="00CE11D2"/>
    <w:rsid w:val="00CE13F4"/>
    <w:rsid w:val="00CE1DC1"/>
    <w:rsid w:val="00CE246D"/>
    <w:rsid w:val="00CE3CAA"/>
    <w:rsid w:val="00CE3CC2"/>
    <w:rsid w:val="00CE4543"/>
    <w:rsid w:val="00CE5147"/>
    <w:rsid w:val="00CE53E0"/>
    <w:rsid w:val="00CE53F1"/>
    <w:rsid w:val="00CE566F"/>
    <w:rsid w:val="00CE56EE"/>
    <w:rsid w:val="00CE5753"/>
    <w:rsid w:val="00CE5D9F"/>
    <w:rsid w:val="00CE6306"/>
    <w:rsid w:val="00CE6A96"/>
    <w:rsid w:val="00CE6CD0"/>
    <w:rsid w:val="00CE7C81"/>
    <w:rsid w:val="00CE7CFA"/>
    <w:rsid w:val="00CE7E5D"/>
    <w:rsid w:val="00CF0537"/>
    <w:rsid w:val="00CF06B0"/>
    <w:rsid w:val="00CF0B8D"/>
    <w:rsid w:val="00CF0BA2"/>
    <w:rsid w:val="00CF0D18"/>
    <w:rsid w:val="00CF0FEA"/>
    <w:rsid w:val="00CF11B7"/>
    <w:rsid w:val="00CF17B1"/>
    <w:rsid w:val="00CF1F75"/>
    <w:rsid w:val="00CF2966"/>
    <w:rsid w:val="00CF2CB6"/>
    <w:rsid w:val="00CF31C0"/>
    <w:rsid w:val="00CF34D9"/>
    <w:rsid w:val="00CF3B6C"/>
    <w:rsid w:val="00CF3DF6"/>
    <w:rsid w:val="00CF4220"/>
    <w:rsid w:val="00CF42C6"/>
    <w:rsid w:val="00CF4F0B"/>
    <w:rsid w:val="00CF576A"/>
    <w:rsid w:val="00CF5A0E"/>
    <w:rsid w:val="00CF5CD8"/>
    <w:rsid w:val="00CF6008"/>
    <w:rsid w:val="00CF6A90"/>
    <w:rsid w:val="00CF6DDB"/>
    <w:rsid w:val="00CF79EA"/>
    <w:rsid w:val="00CF7DC8"/>
    <w:rsid w:val="00D00122"/>
    <w:rsid w:val="00D0060A"/>
    <w:rsid w:val="00D00638"/>
    <w:rsid w:val="00D006BC"/>
    <w:rsid w:val="00D00C42"/>
    <w:rsid w:val="00D0127B"/>
    <w:rsid w:val="00D017A8"/>
    <w:rsid w:val="00D019A1"/>
    <w:rsid w:val="00D01B44"/>
    <w:rsid w:val="00D01CDD"/>
    <w:rsid w:val="00D0200C"/>
    <w:rsid w:val="00D0301C"/>
    <w:rsid w:val="00D03308"/>
    <w:rsid w:val="00D034A0"/>
    <w:rsid w:val="00D03617"/>
    <w:rsid w:val="00D0412C"/>
    <w:rsid w:val="00D04279"/>
    <w:rsid w:val="00D046A6"/>
    <w:rsid w:val="00D0534D"/>
    <w:rsid w:val="00D05460"/>
    <w:rsid w:val="00D05A9F"/>
    <w:rsid w:val="00D0602D"/>
    <w:rsid w:val="00D06125"/>
    <w:rsid w:val="00D062ED"/>
    <w:rsid w:val="00D06FBB"/>
    <w:rsid w:val="00D07706"/>
    <w:rsid w:val="00D077F9"/>
    <w:rsid w:val="00D07E53"/>
    <w:rsid w:val="00D10454"/>
    <w:rsid w:val="00D107F9"/>
    <w:rsid w:val="00D1083E"/>
    <w:rsid w:val="00D10E9E"/>
    <w:rsid w:val="00D10F07"/>
    <w:rsid w:val="00D112DF"/>
    <w:rsid w:val="00D11941"/>
    <w:rsid w:val="00D120EB"/>
    <w:rsid w:val="00D123B4"/>
    <w:rsid w:val="00D12A72"/>
    <w:rsid w:val="00D12E7E"/>
    <w:rsid w:val="00D13003"/>
    <w:rsid w:val="00D1324C"/>
    <w:rsid w:val="00D1327F"/>
    <w:rsid w:val="00D135F2"/>
    <w:rsid w:val="00D13D69"/>
    <w:rsid w:val="00D13D9D"/>
    <w:rsid w:val="00D1465E"/>
    <w:rsid w:val="00D14A18"/>
    <w:rsid w:val="00D14B0E"/>
    <w:rsid w:val="00D14F74"/>
    <w:rsid w:val="00D14F9D"/>
    <w:rsid w:val="00D151E6"/>
    <w:rsid w:val="00D15382"/>
    <w:rsid w:val="00D1549C"/>
    <w:rsid w:val="00D15839"/>
    <w:rsid w:val="00D15E1B"/>
    <w:rsid w:val="00D161A0"/>
    <w:rsid w:val="00D1631F"/>
    <w:rsid w:val="00D16B76"/>
    <w:rsid w:val="00D16FEA"/>
    <w:rsid w:val="00D17235"/>
    <w:rsid w:val="00D17622"/>
    <w:rsid w:val="00D178B9"/>
    <w:rsid w:val="00D17A00"/>
    <w:rsid w:val="00D17C8D"/>
    <w:rsid w:val="00D2000D"/>
    <w:rsid w:val="00D200A3"/>
    <w:rsid w:val="00D204BC"/>
    <w:rsid w:val="00D208C6"/>
    <w:rsid w:val="00D20920"/>
    <w:rsid w:val="00D209D1"/>
    <w:rsid w:val="00D20CFE"/>
    <w:rsid w:val="00D210EE"/>
    <w:rsid w:val="00D21124"/>
    <w:rsid w:val="00D21824"/>
    <w:rsid w:val="00D21ADE"/>
    <w:rsid w:val="00D21F9B"/>
    <w:rsid w:val="00D22365"/>
    <w:rsid w:val="00D22677"/>
    <w:rsid w:val="00D226D0"/>
    <w:rsid w:val="00D23434"/>
    <w:rsid w:val="00D23D3F"/>
    <w:rsid w:val="00D2402B"/>
    <w:rsid w:val="00D2462D"/>
    <w:rsid w:val="00D24740"/>
    <w:rsid w:val="00D24827"/>
    <w:rsid w:val="00D24968"/>
    <w:rsid w:val="00D24B73"/>
    <w:rsid w:val="00D25023"/>
    <w:rsid w:val="00D252A5"/>
    <w:rsid w:val="00D253DB"/>
    <w:rsid w:val="00D253EA"/>
    <w:rsid w:val="00D25660"/>
    <w:rsid w:val="00D25F18"/>
    <w:rsid w:val="00D260CB"/>
    <w:rsid w:val="00D26283"/>
    <w:rsid w:val="00D2656C"/>
    <w:rsid w:val="00D2670A"/>
    <w:rsid w:val="00D27972"/>
    <w:rsid w:val="00D279FF"/>
    <w:rsid w:val="00D27E8E"/>
    <w:rsid w:val="00D30524"/>
    <w:rsid w:val="00D3144F"/>
    <w:rsid w:val="00D31660"/>
    <w:rsid w:val="00D32612"/>
    <w:rsid w:val="00D32E1F"/>
    <w:rsid w:val="00D334CD"/>
    <w:rsid w:val="00D33E3E"/>
    <w:rsid w:val="00D33E8E"/>
    <w:rsid w:val="00D34678"/>
    <w:rsid w:val="00D346FB"/>
    <w:rsid w:val="00D348CC"/>
    <w:rsid w:val="00D34CE7"/>
    <w:rsid w:val="00D358FF"/>
    <w:rsid w:val="00D35DD3"/>
    <w:rsid w:val="00D36BF1"/>
    <w:rsid w:val="00D36F06"/>
    <w:rsid w:val="00D371CF"/>
    <w:rsid w:val="00D37601"/>
    <w:rsid w:val="00D37715"/>
    <w:rsid w:val="00D37D70"/>
    <w:rsid w:val="00D4024E"/>
    <w:rsid w:val="00D402C7"/>
    <w:rsid w:val="00D402E0"/>
    <w:rsid w:val="00D40E80"/>
    <w:rsid w:val="00D422B5"/>
    <w:rsid w:val="00D43261"/>
    <w:rsid w:val="00D4343C"/>
    <w:rsid w:val="00D439E2"/>
    <w:rsid w:val="00D43CC6"/>
    <w:rsid w:val="00D4460C"/>
    <w:rsid w:val="00D44E74"/>
    <w:rsid w:val="00D45424"/>
    <w:rsid w:val="00D45A10"/>
    <w:rsid w:val="00D45D40"/>
    <w:rsid w:val="00D460BF"/>
    <w:rsid w:val="00D4627D"/>
    <w:rsid w:val="00D46FAF"/>
    <w:rsid w:val="00D47246"/>
    <w:rsid w:val="00D47539"/>
    <w:rsid w:val="00D47706"/>
    <w:rsid w:val="00D47C83"/>
    <w:rsid w:val="00D47DAF"/>
    <w:rsid w:val="00D501F6"/>
    <w:rsid w:val="00D519DD"/>
    <w:rsid w:val="00D51DBE"/>
    <w:rsid w:val="00D51FE9"/>
    <w:rsid w:val="00D522A3"/>
    <w:rsid w:val="00D531A3"/>
    <w:rsid w:val="00D53338"/>
    <w:rsid w:val="00D535D6"/>
    <w:rsid w:val="00D53667"/>
    <w:rsid w:val="00D53F28"/>
    <w:rsid w:val="00D5403E"/>
    <w:rsid w:val="00D54AC0"/>
    <w:rsid w:val="00D55182"/>
    <w:rsid w:val="00D553D1"/>
    <w:rsid w:val="00D558A6"/>
    <w:rsid w:val="00D559F5"/>
    <w:rsid w:val="00D55A33"/>
    <w:rsid w:val="00D55D2D"/>
    <w:rsid w:val="00D55F07"/>
    <w:rsid w:val="00D5642A"/>
    <w:rsid w:val="00D5711D"/>
    <w:rsid w:val="00D576C2"/>
    <w:rsid w:val="00D57877"/>
    <w:rsid w:val="00D57FF0"/>
    <w:rsid w:val="00D601B9"/>
    <w:rsid w:val="00D606CA"/>
    <w:rsid w:val="00D60718"/>
    <w:rsid w:val="00D60C73"/>
    <w:rsid w:val="00D60E48"/>
    <w:rsid w:val="00D6110B"/>
    <w:rsid w:val="00D61D96"/>
    <w:rsid w:val="00D61F04"/>
    <w:rsid w:val="00D61F21"/>
    <w:rsid w:val="00D61F31"/>
    <w:rsid w:val="00D62441"/>
    <w:rsid w:val="00D6268C"/>
    <w:rsid w:val="00D6364F"/>
    <w:rsid w:val="00D63E48"/>
    <w:rsid w:val="00D64CC8"/>
    <w:rsid w:val="00D65071"/>
    <w:rsid w:val="00D65DC2"/>
    <w:rsid w:val="00D66248"/>
    <w:rsid w:val="00D666E7"/>
    <w:rsid w:val="00D6698A"/>
    <w:rsid w:val="00D66DEE"/>
    <w:rsid w:val="00D67190"/>
    <w:rsid w:val="00D6787A"/>
    <w:rsid w:val="00D67C8A"/>
    <w:rsid w:val="00D70121"/>
    <w:rsid w:val="00D70BA7"/>
    <w:rsid w:val="00D70DDC"/>
    <w:rsid w:val="00D7118E"/>
    <w:rsid w:val="00D711C0"/>
    <w:rsid w:val="00D714F9"/>
    <w:rsid w:val="00D7163B"/>
    <w:rsid w:val="00D71734"/>
    <w:rsid w:val="00D71C2D"/>
    <w:rsid w:val="00D721F1"/>
    <w:rsid w:val="00D725E6"/>
    <w:rsid w:val="00D72682"/>
    <w:rsid w:val="00D729C9"/>
    <w:rsid w:val="00D72A91"/>
    <w:rsid w:val="00D72BC1"/>
    <w:rsid w:val="00D73482"/>
    <w:rsid w:val="00D735D5"/>
    <w:rsid w:val="00D73B46"/>
    <w:rsid w:val="00D73C2F"/>
    <w:rsid w:val="00D74309"/>
    <w:rsid w:val="00D743B3"/>
    <w:rsid w:val="00D74B6F"/>
    <w:rsid w:val="00D74C36"/>
    <w:rsid w:val="00D74DEE"/>
    <w:rsid w:val="00D75CD8"/>
    <w:rsid w:val="00D75D97"/>
    <w:rsid w:val="00D75F82"/>
    <w:rsid w:val="00D7614B"/>
    <w:rsid w:val="00D76C73"/>
    <w:rsid w:val="00D76ECE"/>
    <w:rsid w:val="00D770A4"/>
    <w:rsid w:val="00D77144"/>
    <w:rsid w:val="00D77271"/>
    <w:rsid w:val="00D7735A"/>
    <w:rsid w:val="00D77B79"/>
    <w:rsid w:val="00D80958"/>
    <w:rsid w:val="00D80FB9"/>
    <w:rsid w:val="00D80FC6"/>
    <w:rsid w:val="00D81070"/>
    <w:rsid w:val="00D81EFF"/>
    <w:rsid w:val="00D8246D"/>
    <w:rsid w:val="00D831F0"/>
    <w:rsid w:val="00D83752"/>
    <w:rsid w:val="00D846C0"/>
    <w:rsid w:val="00D8475B"/>
    <w:rsid w:val="00D849CE"/>
    <w:rsid w:val="00D84A6F"/>
    <w:rsid w:val="00D84B17"/>
    <w:rsid w:val="00D85266"/>
    <w:rsid w:val="00D8542E"/>
    <w:rsid w:val="00D855C0"/>
    <w:rsid w:val="00D85B12"/>
    <w:rsid w:val="00D85DE9"/>
    <w:rsid w:val="00D85F6E"/>
    <w:rsid w:val="00D868AD"/>
    <w:rsid w:val="00D86C3B"/>
    <w:rsid w:val="00D873F8"/>
    <w:rsid w:val="00D8780B"/>
    <w:rsid w:val="00D901D5"/>
    <w:rsid w:val="00D90455"/>
    <w:rsid w:val="00D90981"/>
    <w:rsid w:val="00D90B65"/>
    <w:rsid w:val="00D90D3D"/>
    <w:rsid w:val="00D90F60"/>
    <w:rsid w:val="00D91019"/>
    <w:rsid w:val="00D91774"/>
    <w:rsid w:val="00D9185E"/>
    <w:rsid w:val="00D920BA"/>
    <w:rsid w:val="00D92265"/>
    <w:rsid w:val="00D923BD"/>
    <w:rsid w:val="00D925A8"/>
    <w:rsid w:val="00D92B19"/>
    <w:rsid w:val="00D93322"/>
    <w:rsid w:val="00D9367E"/>
    <w:rsid w:val="00D93F4C"/>
    <w:rsid w:val="00D9404B"/>
    <w:rsid w:val="00D94222"/>
    <w:rsid w:val="00D94979"/>
    <w:rsid w:val="00D94B4C"/>
    <w:rsid w:val="00D94F40"/>
    <w:rsid w:val="00D95343"/>
    <w:rsid w:val="00D955C5"/>
    <w:rsid w:val="00D95DF1"/>
    <w:rsid w:val="00D9615F"/>
    <w:rsid w:val="00D96293"/>
    <w:rsid w:val="00D967FC"/>
    <w:rsid w:val="00D96B8A"/>
    <w:rsid w:val="00D9706E"/>
    <w:rsid w:val="00D97381"/>
    <w:rsid w:val="00D97E9F"/>
    <w:rsid w:val="00DA0042"/>
    <w:rsid w:val="00DA0ABF"/>
    <w:rsid w:val="00DA0E23"/>
    <w:rsid w:val="00DA1245"/>
    <w:rsid w:val="00DA1E25"/>
    <w:rsid w:val="00DA2679"/>
    <w:rsid w:val="00DA2A98"/>
    <w:rsid w:val="00DA3492"/>
    <w:rsid w:val="00DA37AA"/>
    <w:rsid w:val="00DA38C3"/>
    <w:rsid w:val="00DA3FCF"/>
    <w:rsid w:val="00DA40C5"/>
    <w:rsid w:val="00DA40CD"/>
    <w:rsid w:val="00DA4309"/>
    <w:rsid w:val="00DA469A"/>
    <w:rsid w:val="00DA4F42"/>
    <w:rsid w:val="00DA5824"/>
    <w:rsid w:val="00DA625B"/>
    <w:rsid w:val="00DA6442"/>
    <w:rsid w:val="00DA6B00"/>
    <w:rsid w:val="00DA6BB4"/>
    <w:rsid w:val="00DA6F6D"/>
    <w:rsid w:val="00DA739D"/>
    <w:rsid w:val="00DA7A58"/>
    <w:rsid w:val="00DA7A8F"/>
    <w:rsid w:val="00DA7ACA"/>
    <w:rsid w:val="00DA7D7F"/>
    <w:rsid w:val="00DB01B6"/>
    <w:rsid w:val="00DB02BB"/>
    <w:rsid w:val="00DB068B"/>
    <w:rsid w:val="00DB084B"/>
    <w:rsid w:val="00DB0D35"/>
    <w:rsid w:val="00DB113C"/>
    <w:rsid w:val="00DB116C"/>
    <w:rsid w:val="00DB1379"/>
    <w:rsid w:val="00DB1515"/>
    <w:rsid w:val="00DB1547"/>
    <w:rsid w:val="00DB1764"/>
    <w:rsid w:val="00DB1A45"/>
    <w:rsid w:val="00DB2098"/>
    <w:rsid w:val="00DB22D5"/>
    <w:rsid w:val="00DB2763"/>
    <w:rsid w:val="00DB2AD8"/>
    <w:rsid w:val="00DB2B2F"/>
    <w:rsid w:val="00DB2DB2"/>
    <w:rsid w:val="00DB3335"/>
    <w:rsid w:val="00DB39F4"/>
    <w:rsid w:val="00DB3A17"/>
    <w:rsid w:val="00DB3B44"/>
    <w:rsid w:val="00DB4357"/>
    <w:rsid w:val="00DB4471"/>
    <w:rsid w:val="00DB59DF"/>
    <w:rsid w:val="00DB5ACC"/>
    <w:rsid w:val="00DB604F"/>
    <w:rsid w:val="00DB643A"/>
    <w:rsid w:val="00DB6D66"/>
    <w:rsid w:val="00DB7870"/>
    <w:rsid w:val="00DB7A58"/>
    <w:rsid w:val="00DB7DE9"/>
    <w:rsid w:val="00DC051D"/>
    <w:rsid w:val="00DC0791"/>
    <w:rsid w:val="00DC094A"/>
    <w:rsid w:val="00DC09CE"/>
    <w:rsid w:val="00DC1287"/>
    <w:rsid w:val="00DC12FD"/>
    <w:rsid w:val="00DC15FA"/>
    <w:rsid w:val="00DC1725"/>
    <w:rsid w:val="00DC196C"/>
    <w:rsid w:val="00DC1B25"/>
    <w:rsid w:val="00DC1BEC"/>
    <w:rsid w:val="00DC2447"/>
    <w:rsid w:val="00DC2CF5"/>
    <w:rsid w:val="00DC304D"/>
    <w:rsid w:val="00DC30D1"/>
    <w:rsid w:val="00DC3852"/>
    <w:rsid w:val="00DC4C0A"/>
    <w:rsid w:val="00DC4C4F"/>
    <w:rsid w:val="00DC56AF"/>
    <w:rsid w:val="00DC58F5"/>
    <w:rsid w:val="00DC5BC6"/>
    <w:rsid w:val="00DC5E80"/>
    <w:rsid w:val="00DC65EA"/>
    <w:rsid w:val="00DC67A8"/>
    <w:rsid w:val="00DC73B6"/>
    <w:rsid w:val="00DC73D4"/>
    <w:rsid w:val="00DC7F99"/>
    <w:rsid w:val="00DD0477"/>
    <w:rsid w:val="00DD09BE"/>
    <w:rsid w:val="00DD0BC0"/>
    <w:rsid w:val="00DD0D5C"/>
    <w:rsid w:val="00DD0E50"/>
    <w:rsid w:val="00DD12B4"/>
    <w:rsid w:val="00DD13F9"/>
    <w:rsid w:val="00DD14EF"/>
    <w:rsid w:val="00DD17D4"/>
    <w:rsid w:val="00DD1E40"/>
    <w:rsid w:val="00DD1E93"/>
    <w:rsid w:val="00DD1FD0"/>
    <w:rsid w:val="00DD23A2"/>
    <w:rsid w:val="00DD2944"/>
    <w:rsid w:val="00DD2FCC"/>
    <w:rsid w:val="00DD32DF"/>
    <w:rsid w:val="00DD3736"/>
    <w:rsid w:val="00DD3882"/>
    <w:rsid w:val="00DD3B3B"/>
    <w:rsid w:val="00DD3E38"/>
    <w:rsid w:val="00DD4019"/>
    <w:rsid w:val="00DD47D6"/>
    <w:rsid w:val="00DD48C8"/>
    <w:rsid w:val="00DD4D27"/>
    <w:rsid w:val="00DD52BE"/>
    <w:rsid w:val="00DD5864"/>
    <w:rsid w:val="00DD5BE6"/>
    <w:rsid w:val="00DD60F2"/>
    <w:rsid w:val="00DD6212"/>
    <w:rsid w:val="00DD622F"/>
    <w:rsid w:val="00DD64AE"/>
    <w:rsid w:val="00DD691A"/>
    <w:rsid w:val="00DD7ADD"/>
    <w:rsid w:val="00DE0164"/>
    <w:rsid w:val="00DE01BF"/>
    <w:rsid w:val="00DE03EC"/>
    <w:rsid w:val="00DE0FFE"/>
    <w:rsid w:val="00DE1337"/>
    <w:rsid w:val="00DE16DA"/>
    <w:rsid w:val="00DE1728"/>
    <w:rsid w:val="00DE182C"/>
    <w:rsid w:val="00DE222A"/>
    <w:rsid w:val="00DE2C28"/>
    <w:rsid w:val="00DE2F73"/>
    <w:rsid w:val="00DE3136"/>
    <w:rsid w:val="00DE39A3"/>
    <w:rsid w:val="00DE39F3"/>
    <w:rsid w:val="00DE3D2C"/>
    <w:rsid w:val="00DE423F"/>
    <w:rsid w:val="00DE4B59"/>
    <w:rsid w:val="00DE5716"/>
    <w:rsid w:val="00DE5763"/>
    <w:rsid w:val="00DE5B7B"/>
    <w:rsid w:val="00DE5CD7"/>
    <w:rsid w:val="00DE5DEE"/>
    <w:rsid w:val="00DE655F"/>
    <w:rsid w:val="00DE66CC"/>
    <w:rsid w:val="00DE67E4"/>
    <w:rsid w:val="00DE6A91"/>
    <w:rsid w:val="00DE6E5F"/>
    <w:rsid w:val="00DE783A"/>
    <w:rsid w:val="00DE79A1"/>
    <w:rsid w:val="00DE7B6D"/>
    <w:rsid w:val="00DF0074"/>
    <w:rsid w:val="00DF00FF"/>
    <w:rsid w:val="00DF022E"/>
    <w:rsid w:val="00DF0A67"/>
    <w:rsid w:val="00DF187C"/>
    <w:rsid w:val="00DF1994"/>
    <w:rsid w:val="00DF1ABA"/>
    <w:rsid w:val="00DF1C55"/>
    <w:rsid w:val="00DF217F"/>
    <w:rsid w:val="00DF230F"/>
    <w:rsid w:val="00DF2564"/>
    <w:rsid w:val="00DF26D9"/>
    <w:rsid w:val="00DF379A"/>
    <w:rsid w:val="00DF4214"/>
    <w:rsid w:val="00DF43EB"/>
    <w:rsid w:val="00DF44F4"/>
    <w:rsid w:val="00DF48A3"/>
    <w:rsid w:val="00DF502F"/>
    <w:rsid w:val="00DF5E3C"/>
    <w:rsid w:val="00DF6457"/>
    <w:rsid w:val="00DF6AE1"/>
    <w:rsid w:val="00DF7546"/>
    <w:rsid w:val="00DF79B5"/>
    <w:rsid w:val="00DF7A25"/>
    <w:rsid w:val="00DF7BD2"/>
    <w:rsid w:val="00DF7C3A"/>
    <w:rsid w:val="00E00838"/>
    <w:rsid w:val="00E00CDF"/>
    <w:rsid w:val="00E01146"/>
    <w:rsid w:val="00E01216"/>
    <w:rsid w:val="00E01C37"/>
    <w:rsid w:val="00E01CA3"/>
    <w:rsid w:val="00E02695"/>
    <w:rsid w:val="00E026DB"/>
    <w:rsid w:val="00E03201"/>
    <w:rsid w:val="00E032C0"/>
    <w:rsid w:val="00E033E2"/>
    <w:rsid w:val="00E037BD"/>
    <w:rsid w:val="00E04765"/>
    <w:rsid w:val="00E05BD5"/>
    <w:rsid w:val="00E06157"/>
    <w:rsid w:val="00E066EB"/>
    <w:rsid w:val="00E06999"/>
    <w:rsid w:val="00E06F6B"/>
    <w:rsid w:val="00E07B96"/>
    <w:rsid w:val="00E10051"/>
    <w:rsid w:val="00E10171"/>
    <w:rsid w:val="00E103C8"/>
    <w:rsid w:val="00E107E1"/>
    <w:rsid w:val="00E1083C"/>
    <w:rsid w:val="00E10A56"/>
    <w:rsid w:val="00E113AF"/>
    <w:rsid w:val="00E11B22"/>
    <w:rsid w:val="00E1274C"/>
    <w:rsid w:val="00E127AE"/>
    <w:rsid w:val="00E12917"/>
    <w:rsid w:val="00E12A85"/>
    <w:rsid w:val="00E130FB"/>
    <w:rsid w:val="00E132AF"/>
    <w:rsid w:val="00E136EC"/>
    <w:rsid w:val="00E13D0C"/>
    <w:rsid w:val="00E14655"/>
    <w:rsid w:val="00E14FD7"/>
    <w:rsid w:val="00E15AFD"/>
    <w:rsid w:val="00E15E9F"/>
    <w:rsid w:val="00E15EF0"/>
    <w:rsid w:val="00E16343"/>
    <w:rsid w:val="00E1641B"/>
    <w:rsid w:val="00E16BAD"/>
    <w:rsid w:val="00E16F5D"/>
    <w:rsid w:val="00E16FED"/>
    <w:rsid w:val="00E17FA0"/>
    <w:rsid w:val="00E2016E"/>
    <w:rsid w:val="00E207D7"/>
    <w:rsid w:val="00E20CAD"/>
    <w:rsid w:val="00E20D8B"/>
    <w:rsid w:val="00E21406"/>
    <w:rsid w:val="00E21E28"/>
    <w:rsid w:val="00E22052"/>
    <w:rsid w:val="00E22BD7"/>
    <w:rsid w:val="00E22CE7"/>
    <w:rsid w:val="00E22DEA"/>
    <w:rsid w:val="00E22F45"/>
    <w:rsid w:val="00E22FDD"/>
    <w:rsid w:val="00E232EC"/>
    <w:rsid w:val="00E244EE"/>
    <w:rsid w:val="00E245EB"/>
    <w:rsid w:val="00E25178"/>
    <w:rsid w:val="00E25492"/>
    <w:rsid w:val="00E254B1"/>
    <w:rsid w:val="00E257F2"/>
    <w:rsid w:val="00E2580D"/>
    <w:rsid w:val="00E26945"/>
    <w:rsid w:val="00E26E0A"/>
    <w:rsid w:val="00E26E6A"/>
    <w:rsid w:val="00E26EFC"/>
    <w:rsid w:val="00E26F3A"/>
    <w:rsid w:val="00E26FA3"/>
    <w:rsid w:val="00E27AD2"/>
    <w:rsid w:val="00E27FB7"/>
    <w:rsid w:val="00E30A1E"/>
    <w:rsid w:val="00E30A7E"/>
    <w:rsid w:val="00E3119E"/>
    <w:rsid w:val="00E3155A"/>
    <w:rsid w:val="00E3183E"/>
    <w:rsid w:val="00E322E5"/>
    <w:rsid w:val="00E3230A"/>
    <w:rsid w:val="00E325E7"/>
    <w:rsid w:val="00E326BA"/>
    <w:rsid w:val="00E33DE5"/>
    <w:rsid w:val="00E3428D"/>
    <w:rsid w:val="00E34370"/>
    <w:rsid w:val="00E34489"/>
    <w:rsid w:val="00E34E87"/>
    <w:rsid w:val="00E350AC"/>
    <w:rsid w:val="00E356BA"/>
    <w:rsid w:val="00E35B29"/>
    <w:rsid w:val="00E35C6A"/>
    <w:rsid w:val="00E35F99"/>
    <w:rsid w:val="00E363CB"/>
    <w:rsid w:val="00E36512"/>
    <w:rsid w:val="00E3679A"/>
    <w:rsid w:val="00E370CD"/>
    <w:rsid w:val="00E372FA"/>
    <w:rsid w:val="00E37987"/>
    <w:rsid w:val="00E37B62"/>
    <w:rsid w:val="00E37DB7"/>
    <w:rsid w:val="00E40131"/>
    <w:rsid w:val="00E40314"/>
    <w:rsid w:val="00E4051B"/>
    <w:rsid w:val="00E4087B"/>
    <w:rsid w:val="00E41231"/>
    <w:rsid w:val="00E41474"/>
    <w:rsid w:val="00E421CC"/>
    <w:rsid w:val="00E4299A"/>
    <w:rsid w:val="00E42C8E"/>
    <w:rsid w:val="00E42DDC"/>
    <w:rsid w:val="00E44745"/>
    <w:rsid w:val="00E44BBD"/>
    <w:rsid w:val="00E459DF"/>
    <w:rsid w:val="00E45AA2"/>
    <w:rsid w:val="00E45F39"/>
    <w:rsid w:val="00E45F9E"/>
    <w:rsid w:val="00E46A5B"/>
    <w:rsid w:val="00E50B56"/>
    <w:rsid w:val="00E50C95"/>
    <w:rsid w:val="00E50EF3"/>
    <w:rsid w:val="00E51072"/>
    <w:rsid w:val="00E52D77"/>
    <w:rsid w:val="00E531CC"/>
    <w:rsid w:val="00E53B66"/>
    <w:rsid w:val="00E53EAE"/>
    <w:rsid w:val="00E53F94"/>
    <w:rsid w:val="00E54052"/>
    <w:rsid w:val="00E5409F"/>
    <w:rsid w:val="00E5413F"/>
    <w:rsid w:val="00E548AE"/>
    <w:rsid w:val="00E551B9"/>
    <w:rsid w:val="00E55763"/>
    <w:rsid w:val="00E55A1F"/>
    <w:rsid w:val="00E566CA"/>
    <w:rsid w:val="00E56D27"/>
    <w:rsid w:val="00E56E8A"/>
    <w:rsid w:val="00E57A4C"/>
    <w:rsid w:val="00E57F75"/>
    <w:rsid w:val="00E6007E"/>
    <w:rsid w:val="00E60384"/>
    <w:rsid w:val="00E60516"/>
    <w:rsid w:val="00E606AB"/>
    <w:rsid w:val="00E608EB"/>
    <w:rsid w:val="00E61108"/>
    <w:rsid w:val="00E61122"/>
    <w:rsid w:val="00E615EB"/>
    <w:rsid w:val="00E618DE"/>
    <w:rsid w:val="00E61BB3"/>
    <w:rsid w:val="00E62399"/>
    <w:rsid w:val="00E623FC"/>
    <w:rsid w:val="00E62594"/>
    <w:rsid w:val="00E6278D"/>
    <w:rsid w:val="00E62CC7"/>
    <w:rsid w:val="00E630D3"/>
    <w:rsid w:val="00E6356C"/>
    <w:rsid w:val="00E63D88"/>
    <w:rsid w:val="00E63EC3"/>
    <w:rsid w:val="00E64765"/>
    <w:rsid w:val="00E64A20"/>
    <w:rsid w:val="00E652A4"/>
    <w:rsid w:val="00E65688"/>
    <w:rsid w:val="00E65A30"/>
    <w:rsid w:val="00E66168"/>
    <w:rsid w:val="00E66856"/>
    <w:rsid w:val="00E67043"/>
    <w:rsid w:val="00E6711D"/>
    <w:rsid w:val="00E672A5"/>
    <w:rsid w:val="00E673C4"/>
    <w:rsid w:val="00E70189"/>
    <w:rsid w:val="00E7055D"/>
    <w:rsid w:val="00E70D31"/>
    <w:rsid w:val="00E71134"/>
    <w:rsid w:val="00E71683"/>
    <w:rsid w:val="00E71A36"/>
    <w:rsid w:val="00E71FDF"/>
    <w:rsid w:val="00E72385"/>
    <w:rsid w:val="00E729C0"/>
    <w:rsid w:val="00E72B8C"/>
    <w:rsid w:val="00E72BFD"/>
    <w:rsid w:val="00E73139"/>
    <w:rsid w:val="00E735AD"/>
    <w:rsid w:val="00E739ED"/>
    <w:rsid w:val="00E7402B"/>
    <w:rsid w:val="00E745D8"/>
    <w:rsid w:val="00E74A63"/>
    <w:rsid w:val="00E74A9A"/>
    <w:rsid w:val="00E74B90"/>
    <w:rsid w:val="00E74EAF"/>
    <w:rsid w:val="00E75361"/>
    <w:rsid w:val="00E75AA2"/>
    <w:rsid w:val="00E76012"/>
    <w:rsid w:val="00E761BA"/>
    <w:rsid w:val="00E761C3"/>
    <w:rsid w:val="00E764E3"/>
    <w:rsid w:val="00E7685C"/>
    <w:rsid w:val="00E76993"/>
    <w:rsid w:val="00E769A4"/>
    <w:rsid w:val="00E77188"/>
    <w:rsid w:val="00E776DA"/>
    <w:rsid w:val="00E77B04"/>
    <w:rsid w:val="00E77B4E"/>
    <w:rsid w:val="00E77C71"/>
    <w:rsid w:val="00E77FCD"/>
    <w:rsid w:val="00E80A4F"/>
    <w:rsid w:val="00E8147D"/>
    <w:rsid w:val="00E8197F"/>
    <w:rsid w:val="00E81D3B"/>
    <w:rsid w:val="00E82185"/>
    <w:rsid w:val="00E82C17"/>
    <w:rsid w:val="00E82E30"/>
    <w:rsid w:val="00E83113"/>
    <w:rsid w:val="00E83278"/>
    <w:rsid w:val="00E83674"/>
    <w:rsid w:val="00E83830"/>
    <w:rsid w:val="00E83A73"/>
    <w:rsid w:val="00E83C5F"/>
    <w:rsid w:val="00E83ED7"/>
    <w:rsid w:val="00E84337"/>
    <w:rsid w:val="00E8448C"/>
    <w:rsid w:val="00E84A31"/>
    <w:rsid w:val="00E84CE2"/>
    <w:rsid w:val="00E84F5B"/>
    <w:rsid w:val="00E84FDB"/>
    <w:rsid w:val="00E85258"/>
    <w:rsid w:val="00E85289"/>
    <w:rsid w:val="00E852B4"/>
    <w:rsid w:val="00E8565F"/>
    <w:rsid w:val="00E8595C"/>
    <w:rsid w:val="00E85972"/>
    <w:rsid w:val="00E8623D"/>
    <w:rsid w:val="00E866EC"/>
    <w:rsid w:val="00E86951"/>
    <w:rsid w:val="00E86B68"/>
    <w:rsid w:val="00E86F1B"/>
    <w:rsid w:val="00E874FC"/>
    <w:rsid w:val="00E8788E"/>
    <w:rsid w:val="00E87CB9"/>
    <w:rsid w:val="00E87E66"/>
    <w:rsid w:val="00E87F31"/>
    <w:rsid w:val="00E9015B"/>
    <w:rsid w:val="00E9061B"/>
    <w:rsid w:val="00E90924"/>
    <w:rsid w:val="00E90A31"/>
    <w:rsid w:val="00E90BEE"/>
    <w:rsid w:val="00E91758"/>
    <w:rsid w:val="00E920FD"/>
    <w:rsid w:val="00E92203"/>
    <w:rsid w:val="00E9293E"/>
    <w:rsid w:val="00E92954"/>
    <w:rsid w:val="00E92D94"/>
    <w:rsid w:val="00E93082"/>
    <w:rsid w:val="00E930F9"/>
    <w:rsid w:val="00E934F6"/>
    <w:rsid w:val="00E939AF"/>
    <w:rsid w:val="00E940BA"/>
    <w:rsid w:val="00E94302"/>
    <w:rsid w:val="00E9437A"/>
    <w:rsid w:val="00E948E4"/>
    <w:rsid w:val="00E95339"/>
    <w:rsid w:val="00E953CF"/>
    <w:rsid w:val="00E9580F"/>
    <w:rsid w:val="00E95E4D"/>
    <w:rsid w:val="00E963ED"/>
    <w:rsid w:val="00E96A5F"/>
    <w:rsid w:val="00E97951"/>
    <w:rsid w:val="00E97ADA"/>
    <w:rsid w:val="00EA017F"/>
    <w:rsid w:val="00EA05D5"/>
    <w:rsid w:val="00EA07D1"/>
    <w:rsid w:val="00EA0BDD"/>
    <w:rsid w:val="00EA0C10"/>
    <w:rsid w:val="00EA136C"/>
    <w:rsid w:val="00EA2A18"/>
    <w:rsid w:val="00EA31C2"/>
    <w:rsid w:val="00EA334C"/>
    <w:rsid w:val="00EA37F9"/>
    <w:rsid w:val="00EA3DE8"/>
    <w:rsid w:val="00EA3FBB"/>
    <w:rsid w:val="00EA43F1"/>
    <w:rsid w:val="00EA452B"/>
    <w:rsid w:val="00EA47D3"/>
    <w:rsid w:val="00EA4AEF"/>
    <w:rsid w:val="00EA4CE9"/>
    <w:rsid w:val="00EA5598"/>
    <w:rsid w:val="00EA568B"/>
    <w:rsid w:val="00EA5C35"/>
    <w:rsid w:val="00EA5D37"/>
    <w:rsid w:val="00EA63CE"/>
    <w:rsid w:val="00EA6459"/>
    <w:rsid w:val="00EA69D4"/>
    <w:rsid w:val="00EA6D2C"/>
    <w:rsid w:val="00EA6E2E"/>
    <w:rsid w:val="00EA6F25"/>
    <w:rsid w:val="00EA7266"/>
    <w:rsid w:val="00EA73E1"/>
    <w:rsid w:val="00EA7A6C"/>
    <w:rsid w:val="00EA7AD9"/>
    <w:rsid w:val="00EB0576"/>
    <w:rsid w:val="00EB0850"/>
    <w:rsid w:val="00EB08D9"/>
    <w:rsid w:val="00EB0984"/>
    <w:rsid w:val="00EB12FF"/>
    <w:rsid w:val="00EB16AE"/>
    <w:rsid w:val="00EB16CF"/>
    <w:rsid w:val="00EB1739"/>
    <w:rsid w:val="00EB1C34"/>
    <w:rsid w:val="00EB1FE7"/>
    <w:rsid w:val="00EB2D6D"/>
    <w:rsid w:val="00EB2E66"/>
    <w:rsid w:val="00EB304C"/>
    <w:rsid w:val="00EB321D"/>
    <w:rsid w:val="00EB333D"/>
    <w:rsid w:val="00EB3882"/>
    <w:rsid w:val="00EB3AF0"/>
    <w:rsid w:val="00EB4924"/>
    <w:rsid w:val="00EB5742"/>
    <w:rsid w:val="00EB5B05"/>
    <w:rsid w:val="00EB5F42"/>
    <w:rsid w:val="00EB619D"/>
    <w:rsid w:val="00EB67FC"/>
    <w:rsid w:val="00EB6849"/>
    <w:rsid w:val="00EB69BA"/>
    <w:rsid w:val="00EB6C15"/>
    <w:rsid w:val="00EB6D2A"/>
    <w:rsid w:val="00EB6DD9"/>
    <w:rsid w:val="00EB75EA"/>
    <w:rsid w:val="00EB7833"/>
    <w:rsid w:val="00EB79CD"/>
    <w:rsid w:val="00EB79E8"/>
    <w:rsid w:val="00EB7A6F"/>
    <w:rsid w:val="00EC0147"/>
    <w:rsid w:val="00EC0A2A"/>
    <w:rsid w:val="00EC0B81"/>
    <w:rsid w:val="00EC0BAB"/>
    <w:rsid w:val="00EC0E66"/>
    <w:rsid w:val="00EC10EA"/>
    <w:rsid w:val="00EC16C3"/>
    <w:rsid w:val="00EC1C3A"/>
    <w:rsid w:val="00EC1FCE"/>
    <w:rsid w:val="00EC22F2"/>
    <w:rsid w:val="00EC2515"/>
    <w:rsid w:val="00EC2664"/>
    <w:rsid w:val="00EC33EE"/>
    <w:rsid w:val="00EC3A34"/>
    <w:rsid w:val="00EC44A1"/>
    <w:rsid w:val="00EC45E5"/>
    <w:rsid w:val="00EC532E"/>
    <w:rsid w:val="00EC54CA"/>
    <w:rsid w:val="00EC5861"/>
    <w:rsid w:val="00EC5BCB"/>
    <w:rsid w:val="00EC6029"/>
    <w:rsid w:val="00EC63A4"/>
    <w:rsid w:val="00EC669C"/>
    <w:rsid w:val="00EC69C2"/>
    <w:rsid w:val="00EC69EA"/>
    <w:rsid w:val="00EC6E53"/>
    <w:rsid w:val="00EC6E9C"/>
    <w:rsid w:val="00EC6F19"/>
    <w:rsid w:val="00EC7095"/>
    <w:rsid w:val="00EC7945"/>
    <w:rsid w:val="00EC7B42"/>
    <w:rsid w:val="00EC7B8F"/>
    <w:rsid w:val="00EC7C12"/>
    <w:rsid w:val="00EC7E5C"/>
    <w:rsid w:val="00ED00C2"/>
    <w:rsid w:val="00ED00C8"/>
    <w:rsid w:val="00ED04C6"/>
    <w:rsid w:val="00ED132A"/>
    <w:rsid w:val="00ED1970"/>
    <w:rsid w:val="00ED1BB9"/>
    <w:rsid w:val="00ED1C7F"/>
    <w:rsid w:val="00ED21B5"/>
    <w:rsid w:val="00ED276C"/>
    <w:rsid w:val="00ED315D"/>
    <w:rsid w:val="00ED321E"/>
    <w:rsid w:val="00ED3885"/>
    <w:rsid w:val="00ED3F4E"/>
    <w:rsid w:val="00ED402D"/>
    <w:rsid w:val="00ED4FF8"/>
    <w:rsid w:val="00ED5127"/>
    <w:rsid w:val="00ED5636"/>
    <w:rsid w:val="00ED5B67"/>
    <w:rsid w:val="00ED5BF5"/>
    <w:rsid w:val="00ED5DFD"/>
    <w:rsid w:val="00ED6AB6"/>
    <w:rsid w:val="00ED6C81"/>
    <w:rsid w:val="00ED6E78"/>
    <w:rsid w:val="00ED751F"/>
    <w:rsid w:val="00ED7891"/>
    <w:rsid w:val="00ED7BAF"/>
    <w:rsid w:val="00ED7D52"/>
    <w:rsid w:val="00EE07FF"/>
    <w:rsid w:val="00EE0F91"/>
    <w:rsid w:val="00EE1310"/>
    <w:rsid w:val="00EE15F6"/>
    <w:rsid w:val="00EE177E"/>
    <w:rsid w:val="00EE1A91"/>
    <w:rsid w:val="00EE3013"/>
    <w:rsid w:val="00EE32B6"/>
    <w:rsid w:val="00EE3575"/>
    <w:rsid w:val="00EE3635"/>
    <w:rsid w:val="00EE3810"/>
    <w:rsid w:val="00EE3B89"/>
    <w:rsid w:val="00EE408C"/>
    <w:rsid w:val="00EE418D"/>
    <w:rsid w:val="00EE41FE"/>
    <w:rsid w:val="00EE46B2"/>
    <w:rsid w:val="00EE49B0"/>
    <w:rsid w:val="00EE4D54"/>
    <w:rsid w:val="00EE5323"/>
    <w:rsid w:val="00EE5691"/>
    <w:rsid w:val="00EE6352"/>
    <w:rsid w:val="00EE6438"/>
    <w:rsid w:val="00EE66AC"/>
    <w:rsid w:val="00EE6740"/>
    <w:rsid w:val="00EE69D4"/>
    <w:rsid w:val="00EE6BD3"/>
    <w:rsid w:val="00EE703B"/>
    <w:rsid w:val="00EE717D"/>
    <w:rsid w:val="00EE7306"/>
    <w:rsid w:val="00EE7C25"/>
    <w:rsid w:val="00EE7D41"/>
    <w:rsid w:val="00EE7FFE"/>
    <w:rsid w:val="00EF0247"/>
    <w:rsid w:val="00EF0279"/>
    <w:rsid w:val="00EF02E0"/>
    <w:rsid w:val="00EF0666"/>
    <w:rsid w:val="00EF0A5E"/>
    <w:rsid w:val="00EF0AE6"/>
    <w:rsid w:val="00EF0C95"/>
    <w:rsid w:val="00EF0F07"/>
    <w:rsid w:val="00EF0F1B"/>
    <w:rsid w:val="00EF13AE"/>
    <w:rsid w:val="00EF149C"/>
    <w:rsid w:val="00EF1770"/>
    <w:rsid w:val="00EF199C"/>
    <w:rsid w:val="00EF1D86"/>
    <w:rsid w:val="00EF23BB"/>
    <w:rsid w:val="00EF2408"/>
    <w:rsid w:val="00EF2579"/>
    <w:rsid w:val="00EF283E"/>
    <w:rsid w:val="00EF2972"/>
    <w:rsid w:val="00EF2A34"/>
    <w:rsid w:val="00EF2A8C"/>
    <w:rsid w:val="00EF3934"/>
    <w:rsid w:val="00EF399A"/>
    <w:rsid w:val="00EF39D2"/>
    <w:rsid w:val="00EF3C86"/>
    <w:rsid w:val="00EF3DC5"/>
    <w:rsid w:val="00EF46B8"/>
    <w:rsid w:val="00EF4F76"/>
    <w:rsid w:val="00EF5039"/>
    <w:rsid w:val="00EF52AA"/>
    <w:rsid w:val="00EF52C5"/>
    <w:rsid w:val="00EF5A41"/>
    <w:rsid w:val="00EF5D13"/>
    <w:rsid w:val="00EF5D98"/>
    <w:rsid w:val="00EF6205"/>
    <w:rsid w:val="00EF64EF"/>
    <w:rsid w:val="00EF68DC"/>
    <w:rsid w:val="00EF6A7A"/>
    <w:rsid w:val="00EF7335"/>
    <w:rsid w:val="00EF7491"/>
    <w:rsid w:val="00EF7C38"/>
    <w:rsid w:val="00EF7CED"/>
    <w:rsid w:val="00F00B4E"/>
    <w:rsid w:val="00F0101B"/>
    <w:rsid w:val="00F0179D"/>
    <w:rsid w:val="00F01BF0"/>
    <w:rsid w:val="00F01C26"/>
    <w:rsid w:val="00F027D3"/>
    <w:rsid w:val="00F0298E"/>
    <w:rsid w:val="00F033B2"/>
    <w:rsid w:val="00F034FF"/>
    <w:rsid w:val="00F03828"/>
    <w:rsid w:val="00F03F89"/>
    <w:rsid w:val="00F04722"/>
    <w:rsid w:val="00F04F40"/>
    <w:rsid w:val="00F052B2"/>
    <w:rsid w:val="00F0530C"/>
    <w:rsid w:val="00F0584E"/>
    <w:rsid w:val="00F05975"/>
    <w:rsid w:val="00F066CC"/>
    <w:rsid w:val="00F068AB"/>
    <w:rsid w:val="00F06D96"/>
    <w:rsid w:val="00F072AE"/>
    <w:rsid w:val="00F0736F"/>
    <w:rsid w:val="00F075F1"/>
    <w:rsid w:val="00F1007E"/>
    <w:rsid w:val="00F100CD"/>
    <w:rsid w:val="00F101D6"/>
    <w:rsid w:val="00F105B7"/>
    <w:rsid w:val="00F111A0"/>
    <w:rsid w:val="00F11330"/>
    <w:rsid w:val="00F114FC"/>
    <w:rsid w:val="00F115C4"/>
    <w:rsid w:val="00F11D4E"/>
    <w:rsid w:val="00F123E6"/>
    <w:rsid w:val="00F124DF"/>
    <w:rsid w:val="00F12955"/>
    <w:rsid w:val="00F12965"/>
    <w:rsid w:val="00F12B78"/>
    <w:rsid w:val="00F12CF6"/>
    <w:rsid w:val="00F12F69"/>
    <w:rsid w:val="00F143AD"/>
    <w:rsid w:val="00F14602"/>
    <w:rsid w:val="00F148F8"/>
    <w:rsid w:val="00F14994"/>
    <w:rsid w:val="00F1603F"/>
    <w:rsid w:val="00F163BB"/>
    <w:rsid w:val="00F16BDA"/>
    <w:rsid w:val="00F16C9C"/>
    <w:rsid w:val="00F175D3"/>
    <w:rsid w:val="00F17BB6"/>
    <w:rsid w:val="00F17F45"/>
    <w:rsid w:val="00F2074D"/>
    <w:rsid w:val="00F20D9F"/>
    <w:rsid w:val="00F20E10"/>
    <w:rsid w:val="00F212F4"/>
    <w:rsid w:val="00F2131B"/>
    <w:rsid w:val="00F2194A"/>
    <w:rsid w:val="00F21E5D"/>
    <w:rsid w:val="00F221DA"/>
    <w:rsid w:val="00F226AC"/>
    <w:rsid w:val="00F232C6"/>
    <w:rsid w:val="00F235EE"/>
    <w:rsid w:val="00F23D08"/>
    <w:rsid w:val="00F2404D"/>
    <w:rsid w:val="00F24121"/>
    <w:rsid w:val="00F241D3"/>
    <w:rsid w:val="00F2425D"/>
    <w:rsid w:val="00F2449C"/>
    <w:rsid w:val="00F24530"/>
    <w:rsid w:val="00F254C0"/>
    <w:rsid w:val="00F261F5"/>
    <w:rsid w:val="00F266D6"/>
    <w:rsid w:val="00F27C7D"/>
    <w:rsid w:val="00F27D75"/>
    <w:rsid w:val="00F30040"/>
    <w:rsid w:val="00F30239"/>
    <w:rsid w:val="00F302CE"/>
    <w:rsid w:val="00F3080E"/>
    <w:rsid w:val="00F30CDD"/>
    <w:rsid w:val="00F31814"/>
    <w:rsid w:val="00F31ACB"/>
    <w:rsid w:val="00F32B9B"/>
    <w:rsid w:val="00F33728"/>
    <w:rsid w:val="00F33A68"/>
    <w:rsid w:val="00F33BEF"/>
    <w:rsid w:val="00F33D99"/>
    <w:rsid w:val="00F33EDE"/>
    <w:rsid w:val="00F34097"/>
    <w:rsid w:val="00F35791"/>
    <w:rsid w:val="00F35C8B"/>
    <w:rsid w:val="00F35DEA"/>
    <w:rsid w:val="00F361D7"/>
    <w:rsid w:val="00F36222"/>
    <w:rsid w:val="00F3638B"/>
    <w:rsid w:val="00F36BC3"/>
    <w:rsid w:val="00F36CE5"/>
    <w:rsid w:val="00F36F19"/>
    <w:rsid w:val="00F37019"/>
    <w:rsid w:val="00F37182"/>
    <w:rsid w:val="00F37248"/>
    <w:rsid w:val="00F37503"/>
    <w:rsid w:val="00F37511"/>
    <w:rsid w:val="00F4068D"/>
    <w:rsid w:val="00F407B0"/>
    <w:rsid w:val="00F41119"/>
    <w:rsid w:val="00F4138C"/>
    <w:rsid w:val="00F41643"/>
    <w:rsid w:val="00F41ADC"/>
    <w:rsid w:val="00F41F2D"/>
    <w:rsid w:val="00F43033"/>
    <w:rsid w:val="00F432F6"/>
    <w:rsid w:val="00F4363D"/>
    <w:rsid w:val="00F44448"/>
    <w:rsid w:val="00F4457C"/>
    <w:rsid w:val="00F44BA3"/>
    <w:rsid w:val="00F44FCA"/>
    <w:rsid w:val="00F450D4"/>
    <w:rsid w:val="00F45766"/>
    <w:rsid w:val="00F45881"/>
    <w:rsid w:val="00F45DCF"/>
    <w:rsid w:val="00F46148"/>
    <w:rsid w:val="00F46279"/>
    <w:rsid w:val="00F471B0"/>
    <w:rsid w:val="00F477AE"/>
    <w:rsid w:val="00F47D18"/>
    <w:rsid w:val="00F47F06"/>
    <w:rsid w:val="00F47FDB"/>
    <w:rsid w:val="00F5078A"/>
    <w:rsid w:val="00F50943"/>
    <w:rsid w:val="00F50D13"/>
    <w:rsid w:val="00F50D23"/>
    <w:rsid w:val="00F517B9"/>
    <w:rsid w:val="00F5197A"/>
    <w:rsid w:val="00F51AC6"/>
    <w:rsid w:val="00F521C6"/>
    <w:rsid w:val="00F52DFD"/>
    <w:rsid w:val="00F534BC"/>
    <w:rsid w:val="00F54036"/>
    <w:rsid w:val="00F5486F"/>
    <w:rsid w:val="00F549A7"/>
    <w:rsid w:val="00F549AD"/>
    <w:rsid w:val="00F550ED"/>
    <w:rsid w:val="00F55271"/>
    <w:rsid w:val="00F56515"/>
    <w:rsid w:val="00F5683B"/>
    <w:rsid w:val="00F56D9E"/>
    <w:rsid w:val="00F579C4"/>
    <w:rsid w:val="00F57DD7"/>
    <w:rsid w:val="00F6045A"/>
    <w:rsid w:val="00F6053D"/>
    <w:rsid w:val="00F605C9"/>
    <w:rsid w:val="00F60C8D"/>
    <w:rsid w:val="00F60F86"/>
    <w:rsid w:val="00F61037"/>
    <w:rsid w:val="00F61084"/>
    <w:rsid w:val="00F61142"/>
    <w:rsid w:val="00F6120F"/>
    <w:rsid w:val="00F61223"/>
    <w:rsid w:val="00F61373"/>
    <w:rsid w:val="00F618CF"/>
    <w:rsid w:val="00F628D8"/>
    <w:rsid w:val="00F62BAB"/>
    <w:rsid w:val="00F63371"/>
    <w:rsid w:val="00F6428C"/>
    <w:rsid w:val="00F64447"/>
    <w:rsid w:val="00F6492B"/>
    <w:rsid w:val="00F649B6"/>
    <w:rsid w:val="00F6549D"/>
    <w:rsid w:val="00F659A4"/>
    <w:rsid w:val="00F65AD1"/>
    <w:rsid w:val="00F65AE6"/>
    <w:rsid w:val="00F65B37"/>
    <w:rsid w:val="00F65BF9"/>
    <w:rsid w:val="00F664B2"/>
    <w:rsid w:val="00F6650C"/>
    <w:rsid w:val="00F6662B"/>
    <w:rsid w:val="00F66851"/>
    <w:rsid w:val="00F66A2D"/>
    <w:rsid w:val="00F67328"/>
    <w:rsid w:val="00F67893"/>
    <w:rsid w:val="00F70439"/>
    <w:rsid w:val="00F70AA2"/>
    <w:rsid w:val="00F7112F"/>
    <w:rsid w:val="00F71DA5"/>
    <w:rsid w:val="00F71FDA"/>
    <w:rsid w:val="00F722DF"/>
    <w:rsid w:val="00F724DF"/>
    <w:rsid w:val="00F72924"/>
    <w:rsid w:val="00F73412"/>
    <w:rsid w:val="00F7396A"/>
    <w:rsid w:val="00F73D23"/>
    <w:rsid w:val="00F73E84"/>
    <w:rsid w:val="00F746D5"/>
    <w:rsid w:val="00F75061"/>
    <w:rsid w:val="00F751BF"/>
    <w:rsid w:val="00F75854"/>
    <w:rsid w:val="00F76132"/>
    <w:rsid w:val="00F765D8"/>
    <w:rsid w:val="00F76A77"/>
    <w:rsid w:val="00F76F34"/>
    <w:rsid w:val="00F77AB6"/>
    <w:rsid w:val="00F77DE2"/>
    <w:rsid w:val="00F8068F"/>
    <w:rsid w:val="00F8071C"/>
    <w:rsid w:val="00F808AC"/>
    <w:rsid w:val="00F809B7"/>
    <w:rsid w:val="00F811B5"/>
    <w:rsid w:val="00F8172D"/>
    <w:rsid w:val="00F8244A"/>
    <w:rsid w:val="00F827D1"/>
    <w:rsid w:val="00F82ED5"/>
    <w:rsid w:val="00F8322E"/>
    <w:rsid w:val="00F8337D"/>
    <w:rsid w:val="00F837EC"/>
    <w:rsid w:val="00F83C01"/>
    <w:rsid w:val="00F83EF0"/>
    <w:rsid w:val="00F840A4"/>
    <w:rsid w:val="00F84102"/>
    <w:rsid w:val="00F850A3"/>
    <w:rsid w:val="00F85147"/>
    <w:rsid w:val="00F85AEC"/>
    <w:rsid w:val="00F866D5"/>
    <w:rsid w:val="00F87412"/>
    <w:rsid w:val="00F87548"/>
    <w:rsid w:val="00F87588"/>
    <w:rsid w:val="00F87EDE"/>
    <w:rsid w:val="00F87F63"/>
    <w:rsid w:val="00F90092"/>
    <w:rsid w:val="00F90793"/>
    <w:rsid w:val="00F90BF1"/>
    <w:rsid w:val="00F90F7B"/>
    <w:rsid w:val="00F9134E"/>
    <w:rsid w:val="00F91378"/>
    <w:rsid w:val="00F9149C"/>
    <w:rsid w:val="00F92010"/>
    <w:rsid w:val="00F92105"/>
    <w:rsid w:val="00F92289"/>
    <w:rsid w:val="00F92697"/>
    <w:rsid w:val="00F928C2"/>
    <w:rsid w:val="00F9312D"/>
    <w:rsid w:val="00F934C5"/>
    <w:rsid w:val="00F939DF"/>
    <w:rsid w:val="00F93DA0"/>
    <w:rsid w:val="00F93EEF"/>
    <w:rsid w:val="00F94624"/>
    <w:rsid w:val="00F94B4D"/>
    <w:rsid w:val="00F94D1F"/>
    <w:rsid w:val="00F957B6"/>
    <w:rsid w:val="00F95A7A"/>
    <w:rsid w:val="00F95A8E"/>
    <w:rsid w:val="00F95BA5"/>
    <w:rsid w:val="00F95C7C"/>
    <w:rsid w:val="00F95DD8"/>
    <w:rsid w:val="00F96075"/>
    <w:rsid w:val="00F9617C"/>
    <w:rsid w:val="00F968EA"/>
    <w:rsid w:val="00F9772C"/>
    <w:rsid w:val="00F97FF2"/>
    <w:rsid w:val="00FA0854"/>
    <w:rsid w:val="00FA0856"/>
    <w:rsid w:val="00FA0E61"/>
    <w:rsid w:val="00FA241E"/>
    <w:rsid w:val="00FA24FA"/>
    <w:rsid w:val="00FA29A7"/>
    <w:rsid w:val="00FA30A9"/>
    <w:rsid w:val="00FA317D"/>
    <w:rsid w:val="00FA32C4"/>
    <w:rsid w:val="00FA3541"/>
    <w:rsid w:val="00FA35F4"/>
    <w:rsid w:val="00FA3993"/>
    <w:rsid w:val="00FA39E7"/>
    <w:rsid w:val="00FA492A"/>
    <w:rsid w:val="00FA4BEA"/>
    <w:rsid w:val="00FA4FAD"/>
    <w:rsid w:val="00FA50E8"/>
    <w:rsid w:val="00FA56CD"/>
    <w:rsid w:val="00FA5B99"/>
    <w:rsid w:val="00FA64AE"/>
    <w:rsid w:val="00FA64BE"/>
    <w:rsid w:val="00FA668A"/>
    <w:rsid w:val="00FA72A4"/>
    <w:rsid w:val="00FA7359"/>
    <w:rsid w:val="00FA7A75"/>
    <w:rsid w:val="00FA7D05"/>
    <w:rsid w:val="00FB01A0"/>
    <w:rsid w:val="00FB06DD"/>
    <w:rsid w:val="00FB0B32"/>
    <w:rsid w:val="00FB0D4C"/>
    <w:rsid w:val="00FB11CE"/>
    <w:rsid w:val="00FB12C3"/>
    <w:rsid w:val="00FB17B6"/>
    <w:rsid w:val="00FB1A54"/>
    <w:rsid w:val="00FB1F79"/>
    <w:rsid w:val="00FB29F6"/>
    <w:rsid w:val="00FB2BFE"/>
    <w:rsid w:val="00FB2C03"/>
    <w:rsid w:val="00FB2ECD"/>
    <w:rsid w:val="00FB3AD7"/>
    <w:rsid w:val="00FB3C7E"/>
    <w:rsid w:val="00FB4BEA"/>
    <w:rsid w:val="00FB4DC3"/>
    <w:rsid w:val="00FB4E43"/>
    <w:rsid w:val="00FB5578"/>
    <w:rsid w:val="00FB58F0"/>
    <w:rsid w:val="00FB5C16"/>
    <w:rsid w:val="00FB5C9F"/>
    <w:rsid w:val="00FB5F62"/>
    <w:rsid w:val="00FB603C"/>
    <w:rsid w:val="00FB61D8"/>
    <w:rsid w:val="00FB634E"/>
    <w:rsid w:val="00FB65EF"/>
    <w:rsid w:val="00FB6C1D"/>
    <w:rsid w:val="00FB71CA"/>
    <w:rsid w:val="00FB75F4"/>
    <w:rsid w:val="00FC0250"/>
    <w:rsid w:val="00FC02F4"/>
    <w:rsid w:val="00FC0683"/>
    <w:rsid w:val="00FC0A3C"/>
    <w:rsid w:val="00FC1339"/>
    <w:rsid w:val="00FC1377"/>
    <w:rsid w:val="00FC1537"/>
    <w:rsid w:val="00FC176A"/>
    <w:rsid w:val="00FC1866"/>
    <w:rsid w:val="00FC20B3"/>
    <w:rsid w:val="00FC291D"/>
    <w:rsid w:val="00FC2A37"/>
    <w:rsid w:val="00FC2DDE"/>
    <w:rsid w:val="00FC350D"/>
    <w:rsid w:val="00FC37A3"/>
    <w:rsid w:val="00FC38C3"/>
    <w:rsid w:val="00FC434D"/>
    <w:rsid w:val="00FC43B6"/>
    <w:rsid w:val="00FC46F9"/>
    <w:rsid w:val="00FC49A9"/>
    <w:rsid w:val="00FC4A98"/>
    <w:rsid w:val="00FC5A4F"/>
    <w:rsid w:val="00FC5B8D"/>
    <w:rsid w:val="00FC5E2F"/>
    <w:rsid w:val="00FC655E"/>
    <w:rsid w:val="00FC65BC"/>
    <w:rsid w:val="00FC6A12"/>
    <w:rsid w:val="00FC6ABC"/>
    <w:rsid w:val="00FC6F48"/>
    <w:rsid w:val="00FC70C7"/>
    <w:rsid w:val="00FC7485"/>
    <w:rsid w:val="00FC74B7"/>
    <w:rsid w:val="00FC7CD0"/>
    <w:rsid w:val="00FD03AA"/>
    <w:rsid w:val="00FD0FC1"/>
    <w:rsid w:val="00FD145C"/>
    <w:rsid w:val="00FD1761"/>
    <w:rsid w:val="00FD1C6D"/>
    <w:rsid w:val="00FD1D70"/>
    <w:rsid w:val="00FD1EC4"/>
    <w:rsid w:val="00FD1FA0"/>
    <w:rsid w:val="00FD1FAE"/>
    <w:rsid w:val="00FD2980"/>
    <w:rsid w:val="00FD2A4A"/>
    <w:rsid w:val="00FD344D"/>
    <w:rsid w:val="00FD346A"/>
    <w:rsid w:val="00FD379B"/>
    <w:rsid w:val="00FD39A6"/>
    <w:rsid w:val="00FD3CC4"/>
    <w:rsid w:val="00FD47F8"/>
    <w:rsid w:val="00FD4848"/>
    <w:rsid w:val="00FD48EB"/>
    <w:rsid w:val="00FD4911"/>
    <w:rsid w:val="00FD4B6D"/>
    <w:rsid w:val="00FD4D23"/>
    <w:rsid w:val="00FD55C0"/>
    <w:rsid w:val="00FD5AED"/>
    <w:rsid w:val="00FD5FFD"/>
    <w:rsid w:val="00FD6273"/>
    <w:rsid w:val="00FD6985"/>
    <w:rsid w:val="00FD7DB8"/>
    <w:rsid w:val="00FE0385"/>
    <w:rsid w:val="00FE0439"/>
    <w:rsid w:val="00FE0C7D"/>
    <w:rsid w:val="00FE1712"/>
    <w:rsid w:val="00FE1B62"/>
    <w:rsid w:val="00FE1E56"/>
    <w:rsid w:val="00FE229F"/>
    <w:rsid w:val="00FE2403"/>
    <w:rsid w:val="00FE2597"/>
    <w:rsid w:val="00FE2D07"/>
    <w:rsid w:val="00FE2E29"/>
    <w:rsid w:val="00FE3688"/>
    <w:rsid w:val="00FE3EC4"/>
    <w:rsid w:val="00FE4011"/>
    <w:rsid w:val="00FE4822"/>
    <w:rsid w:val="00FE4AA5"/>
    <w:rsid w:val="00FE4AD6"/>
    <w:rsid w:val="00FE4E7A"/>
    <w:rsid w:val="00FE4FE6"/>
    <w:rsid w:val="00FE5024"/>
    <w:rsid w:val="00FE5769"/>
    <w:rsid w:val="00FE65DA"/>
    <w:rsid w:val="00FE6884"/>
    <w:rsid w:val="00FE690E"/>
    <w:rsid w:val="00FE6A89"/>
    <w:rsid w:val="00FF003D"/>
    <w:rsid w:val="00FF01AC"/>
    <w:rsid w:val="00FF09AD"/>
    <w:rsid w:val="00FF09DF"/>
    <w:rsid w:val="00FF0A5D"/>
    <w:rsid w:val="00FF1371"/>
    <w:rsid w:val="00FF1CFA"/>
    <w:rsid w:val="00FF1D33"/>
    <w:rsid w:val="00FF1DFD"/>
    <w:rsid w:val="00FF20B1"/>
    <w:rsid w:val="00FF2116"/>
    <w:rsid w:val="00FF22E2"/>
    <w:rsid w:val="00FF2CCE"/>
    <w:rsid w:val="00FF2EB0"/>
    <w:rsid w:val="00FF3254"/>
    <w:rsid w:val="00FF3587"/>
    <w:rsid w:val="00FF3701"/>
    <w:rsid w:val="00FF392D"/>
    <w:rsid w:val="00FF47E8"/>
    <w:rsid w:val="00FF492B"/>
    <w:rsid w:val="00FF4BAD"/>
    <w:rsid w:val="00FF550F"/>
    <w:rsid w:val="00FF5A91"/>
    <w:rsid w:val="00FF5D28"/>
    <w:rsid w:val="00FF6CB3"/>
    <w:rsid w:val="00FF7042"/>
    <w:rsid w:val="00FF7617"/>
    <w:rsid w:val="00FF7D9A"/>
    <w:rsid w:val="02F2841B"/>
    <w:rsid w:val="0376EBD7"/>
    <w:rsid w:val="0391FC8D"/>
    <w:rsid w:val="03B36942"/>
    <w:rsid w:val="04C734E6"/>
    <w:rsid w:val="05E9691B"/>
    <w:rsid w:val="05F0E9AD"/>
    <w:rsid w:val="068D1180"/>
    <w:rsid w:val="079250BB"/>
    <w:rsid w:val="08A9ECD9"/>
    <w:rsid w:val="08AF225B"/>
    <w:rsid w:val="09498378"/>
    <w:rsid w:val="0AED9214"/>
    <w:rsid w:val="0C47187D"/>
    <w:rsid w:val="0CDA83D3"/>
    <w:rsid w:val="0CE2C306"/>
    <w:rsid w:val="0D13AE1A"/>
    <w:rsid w:val="0DA18EA8"/>
    <w:rsid w:val="0DDC8131"/>
    <w:rsid w:val="0FD41F9F"/>
    <w:rsid w:val="10AA98D5"/>
    <w:rsid w:val="114043E7"/>
    <w:rsid w:val="11A327D0"/>
    <w:rsid w:val="15870B7B"/>
    <w:rsid w:val="17CDD9B4"/>
    <w:rsid w:val="198FF23F"/>
    <w:rsid w:val="1A888883"/>
    <w:rsid w:val="1B202094"/>
    <w:rsid w:val="1BA91AAA"/>
    <w:rsid w:val="1BB3DB58"/>
    <w:rsid w:val="1D14506C"/>
    <w:rsid w:val="1D415F0D"/>
    <w:rsid w:val="1F11A62C"/>
    <w:rsid w:val="200ABE70"/>
    <w:rsid w:val="210EA2F2"/>
    <w:rsid w:val="231DAD2A"/>
    <w:rsid w:val="24B2D9AA"/>
    <w:rsid w:val="25692CEA"/>
    <w:rsid w:val="272735C7"/>
    <w:rsid w:val="282E960B"/>
    <w:rsid w:val="289F8070"/>
    <w:rsid w:val="28F3009D"/>
    <w:rsid w:val="2B7E32B2"/>
    <w:rsid w:val="3231E494"/>
    <w:rsid w:val="336BF046"/>
    <w:rsid w:val="34189113"/>
    <w:rsid w:val="343D2A10"/>
    <w:rsid w:val="34B0F11D"/>
    <w:rsid w:val="3565A807"/>
    <w:rsid w:val="368324F6"/>
    <w:rsid w:val="3821A13B"/>
    <w:rsid w:val="385CD463"/>
    <w:rsid w:val="39B8D643"/>
    <w:rsid w:val="3A8DD3ED"/>
    <w:rsid w:val="3C709102"/>
    <w:rsid w:val="3CDFF39B"/>
    <w:rsid w:val="3D43F03B"/>
    <w:rsid w:val="3D535FEA"/>
    <w:rsid w:val="3D56DB4C"/>
    <w:rsid w:val="3F29BE4F"/>
    <w:rsid w:val="40389E9E"/>
    <w:rsid w:val="40D57E17"/>
    <w:rsid w:val="40FBF295"/>
    <w:rsid w:val="43E4EB51"/>
    <w:rsid w:val="44159BDF"/>
    <w:rsid w:val="4427CE4F"/>
    <w:rsid w:val="447E8B5B"/>
    <w:rsid w:val="45490449"/>
    <w:rsid w:val="45537897"/>
    <w:rsid w:val="469F43A6"/>
    <w:rsid w:val="47A59B37"/>
    <w:rsid w:val="482E53CC"/>
    <w:rsid w:val="486A8BDC"/>
    <w:rsid w:val="492C8C47"/>
    <w:rsid w:val="49604277"/>
    <w:rsid w:val="4A9621CC"/>
    <w:rsid w:val="4C4CEBD7"/>
    <w:rsid w:val="4C8443C5"/>
    <w:rsid w:val="4C9160F6"/>
    <w:rsid w:val="4D35E7AA"/>
    <w:rsid w:val="4DC7A71F"/>
    <w:rsid w:val="4FAAB2BC"/>
    <w:rsid w:val="4FFB3A5D"/>
    <w:rsid w:val="50B0D3D6"/>
    <w:rsid w:val="51439454"/>
    <w:rsid w:val="51C9B415"/>
    <w:rsid w:val="53D5635C"/>
    <w:rsid w:val="5521F5AA"/>
    <w:rsid w:val="55ED0E69"/>
    <w:rsid w:val="56202C03"/>
    <w:rsid w:val="56DF7F07"/>
    <w:rsid w:val="5778E468"/>
    <w:rsid w:val="59BA4415"/>
    <w:rsid w:val="59D1A723"/>
    <w:rsid w:val="59D47163"/>
    <w:rsid w:val="60F36BE5"/>
    <w:rsid w:val="633BCF52"/>
    <w:rsid w:val="63767DF7"/>
    <w:rsid w:val="662777A8"/>
    <w:rsid w:val="6628C26E"/>
    <w:rsid w:val="68800FE4"/>
    <w:rsid w:val="68E42710"/>
    <w:rsid w:val="6AED6BF5"/>
    <w:rsid w:val="6C0B7803"/>
    <w:rsid w:val="6D99529F"/>
    <w:rsid w:val="6DE3827E"/>
    <w:rsid w:val="6EB3E879"/>
    <w:rsid w:val="6F3F357B"/>
    <w:rsid w:val="71B4547C"/>
    <w:rsid w:val="71C7859C"/>
    <w:rsid w:val="71FB49B1"/>
    <w:rsid w:val="76246991"/>
    <w:rsid w:val="763AB8AD"/>
    <w:rsid w:val="787B4509"/>
    <w:rsid w:val="7914638F"/>
    <w:rsid w:val="7D79C5F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A2739D"/>
  <w14:discardImageEditingData/>
  <w14:defaultImageDpi w14:val="150"/>
  <w15:docId w15:val="{55E72989-A427-4423-A37D-9A973C1B89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imes New Roman" w:hAnsi="Arial" w:cs="Arial"/>
        <w:szCs w:val="24"/>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767EE"/>
    <w:pPr>
      <w:spacing w:after="120"/>
    </w:pPr>
  </w:style>
  <w:style w:type="paragraph" w:styleId="Heading1">
    <w:name w:val="heading 1"/>
    <w:basedOn w:val="Normal"/>
    <w:next w:val="Normal"/>
    <w:link w:val="Heading1Char"/>
    <w:uiPriority w:val="9"/>
    <w:qFormat/>
    <w:rsid w:val="00411D4B"/>
    <w:pPr>
      <w:spacing w:after="600" w:line="460" w:lineRule="atLeast"/>
      <w:outlineLvl w:val="0"/>
    </w:pPr>
    <w:rPr>
      <w:b/>
      <w:color w:val="002060"/>
      <w:sz w:val="32"/>
      <w:szCs w:val="32"/>
      <w:lang w:val="en-US"/>
    </w:rPr>
  </w:style>
  <w:style w:type="paragraph" w:styleId="Heading2">
    <w:name w:val="heading 2"/>
    <w:basedOn w:val="Normal"/>
    <w:next w:val="Normal"/>
    <w:link w:val="Heading2Char"/>
    <w:uiPriority w:val="9"/>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uiPriority w:val="9"/>
    <w:qFormat/>
    <w:rsid w:val="007D16B0"/>
    <w:pPr>
      <w:spacing w:before="140" w:after="57" w:line="220" w:lineRule="atLeast"/>
      <w:outlineLvl w:val="2"/>
    </w:pPr>
    <w:rPr>
      <w:b/>
      <w:sz w:val="24"/>
    </w:rPr>
  </w:style>
  <w:style w:type="paragraph" w:styleId="Heading4">
    <w:name w:val="heading 4"/>
    <w:basedOn w:val="Normal"/>
    <w:next w:val="Normal"/>
    <w:link w:val="Heading4Char"/>
    <w:uiPriority w:val="9"/>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uiPriority w:val="9"/>
    <w:qFormat/>
    <w:rsid w:val="00F968EA"/>
    <w:pPr>
      <w:spacing w:before="240" w:after="60"/>
      <w:outlineLvl w:val="4"/>
    </w:pPr>
    <w:rPr>
      <w:b/>
      <w:bCs/>
      <w:i/>
      <w:iCs/>
      <w:sz w:val="26"/>
      <w:szCs w:val="26"/>
    </w:rPr>
  </w:style>
  <w:style w:type="paragraph" w:styleId="Heading6">
    <w:name w:val="heading 6"/>
    <w:aliases w:val="App 2"/>
    <w:basedOn w:val="Normal"/>
    <w:next w:val="Normal"/>
    <w:link w:val="Heading6Char"/>
    <w:uiPriority w:val="9"/>
    <w:qFormat/>
    <w:rsid w:val="00F968EA"/>
    <w:pPr>
      <w:spacing w:before="240" w:after="60"/>
      <w:outlineLvl w:val="5"/>
    </w:pPr>
    <w:rPr>
      <w:b/>
      <w:bCs/>
      <w:szCs w:val="22"/>
    </w:rPr>
  </w:style>
  <w:style w:type="paragraph" w:styleId="Heading7">
    <w:name w:val="heading 7"/>
    <w:aliases w:val="App 3"/>
    <w:basedOn w:val="Normal"/>
    <w:next w:val="Normal"/>
    <w:link w:val="Heading7Char"/>
    <w:uiPriority w:val="9"/>
    <w:qFormat/>
    <w:rsid w:val="00F968EA"/>
    <w:pPr>
      <w:spacing w:before="240" w:after="60"/>
      <w:outlineLvl w:val="6"/>
    </w:pPr>
  </w:style>
  <w:style w:type="paragraph" w:styleId="Heading8">
    <w:name w:val="heading 8"/>
    <w:aliases w:val="App 4"/>
    <w:basedOn w:val="Normal"/>
    <w:next w:val="Normal"/>
    <w:link w:val="Heading8Char"/>
    <w:uiPriority w:val="9"/>
    <w:qFormat/>
    <w:rsid w:val="00F968EA"/>
    <w:pPr>
      <w:spacing w:before="240" w:after="60"/>
      <w:outlineLvl w:val="7"/>
    </w:pPr>
    <w:rPr>
      <w:i/>
      <w:iCs/>
    </w:rPr>
  </w:style>
  <w:style w:type="paragraph" w:styleId="Heading9">
    <w:name w:val="heading 9"/>
    <w:basedOn w:val="Normal"/>
    <w:next w:val="Normal"/>
    <w:link w:val="Heading9Char"/>
    <w:uiPriority w:val="9"/>
    <w:qFormat/>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color w:val="FFFFFF"/>
      <w:sz w:val="28"/>
      <w:lang w:eastAsia="en-US"/>
    </w:rPr>
  </w:style>
  <w:style w:type="paragraph" w:customStyle="1" w:styleId="Bullet2">
    <w:name w:val="_Bullet2"/>
    <w:basedOn w:val="Bullet"/>
    <w:rsid w:val="00F968EA"/>
    <w:pPr>
      <w:numPr>
        <w:ilvl w:val="1"/>
        <w:numId w:val="23"/>
      </w:numPr>
      <w:tabs>
        <w:tab w:val="clear" w:pos="170"/>
      </w:tabs>
    </w:pPr>
  </w:style>
  <w:style w:type="paragraph" w:styleId="Header">
    <w:name w:val="header"/>
    <w:basedOn w:val="Normal"/>
    <w:link w:val="HeaderChar"/>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sz w:val="22"/>
      <w:lang w:eastAsia="en-US"/>
    </w:rPr>
  </w:style>
  <w:style w:type="character" w:customStyle="1" w:styleId="BulletChar">
    <w:name w:val="_Bullet Char"/>
    <w:link w:val="Bullet"/>
    <w:rsid w:val="00F968EA"/>
    <w:rPr>
      <w:rFonts w:ascii="Calibri" w:hAnsi="Calibri"/>
      <w:sz w:val="22"/>
      <w:lang w:eastAsia="en-US"/>
    </w:rPr>
  </w:style>
  <w:style w:type="paragraph" w:customStyle="1" w:styleId="Caption">
    <w:name w:val="_Caption"/>
    <w:rsid w:val="00F968EA"/>
    <w:pPr>
      <w:spacing w:before="120" w:after="120" w:line="170" w:lineRule="atLeast"/>
    </w:pPr>
    <w:rPr>
      <w:rFonts w:ascii="Calibri" w:hAnsi="Calibri"/>
      <w:b/>
      <w:color w:val="404040"/>
      <w:lang w:eastAsia="en-US"/>
    </w:rPr>
  </w:style>
  <w:style w:type="paragraph" w:customStyle="1" w:styleId="CertHA">
    <w:name w:val="_CertHA"/>
    <w:semiHidden/>
    <w:rsid w:val="00801A56"/>
    <w:pPr>
      <w:spacing w:line="1172" w:lineRule="atLeast"/>
    </w:pPr>
    <w:rPr>
      <w:color w:val="F58426"/>
      <w:sz w:val="96"/>
      <w:lang w:eastAsia="en-US"/>
    </w:rPr>
  </w:style>
  <w:style w:type="paragraph" w:customStyle="1" w:styleId="CertHAWhite">
    <w:name w:val="_CertHAWhite"/>
    <w:semiHidden/>
    <w:rsid w:val="004578FA"/>
    <w:pPr>
      <w:spacing w:line="1172" w:lineRule="exact"/>
    </w:pPr>
    <w:rPr>
      <w:color w:val="FFFFFF"/>
      <w:sz w:val="96"/>
      <w:lang w:eastAsia="en-US"/>
    </w:rPr>
  </w:style>
  <w:style w:type="paragraph" w:customStyle="1" w:styleId="CertHB">
    <w:name w:val="_CertHB"/>
    <w:semiHidden/>
    <w:rsid w:val="00801A56"/>
    <w:pPr>
      <w:spacing w:line="720" w:lineRule="atLeast"/>
    </w:pPr>
    <w:rPr>
      <w:color w:val="F58426"/>
      <w:sz w:val="72"/>
      <w:lang w:eastAsia="en-US"/>
    </w:rPr>
  </w:style>
  <w:style w:type="paragraph" w:customStyle="1" w:styleId="CertHBWhite">
    <w:name w:val="_CertHBWhite"/>
    <w:semiHidden/>
    <w:rsid w:val="00F101D6"/>
    <w:pPr>
      <w:spacing w:line="720" w:lineRule="atLeast"/>
    </w:pPr>
    <w:rPr>
      <w:color w:val="FFFFFF"/>
      <w:sz w:val="72"/>
      <w:lang w:eastAsia="en-US"/>
    </w:rPr>
  </w:style>
  <w:style w:type="paragraph" w:customStyle="1" w:styleId="CertHC">
    <w:name w:val="_CertHC"/>
    <w:link w:val="CertHCChar"/>
    <w:semiHidden/>
    <w:rsid w:val="00801A56"/>
    <w:pPr>
      <w:spacing w:line="600" w:lineRule="atLeast"/>
    </w:pPr>
    <w:rPr>
      <w:color w:val="F58426"/>
      <w:sz w:val="52"/>
      <w:lang w:eastAsia="en-US"/>
    </w:rPr>
  </w:style>
  <w:style w:type="character" w:customStyle="1" w:styleId="CertHCChar">
    <w:name w:val="_CertHC Char"/>
    <w:link w:val="CertHC"/>
    <w:semiHidden/>
    <w:rsid w:val="00801A56"/>
    <w:rPr>
      <w:color w:val="F58426"/>
      <w:sz w:val="52"/>
      <w:lang w:eastAsia="en-US"/>
    </w:rPr>
  </w:style>
  <w:style w:type="paragraph" w:customStyle="1" w:styleId="CertHCWhite">
    <w:name w:val="_CertHCWhite"/>
    <w:semiHidden/>
    <w:rsid w:val="004578FA"/>
    <w:pPr>
      <w:spacing w:line="600" w:lineRule="atLeast"/>
    </w:pPr>
    <w:rPr>
      <w:color w:val="FFFFFF"/>
      <w:sz w:val="52"/>
      <w:lang w:eastAsia="en-US"/>
    </w:rPr>
  </w:style>
  <w:style w:type="paragraph" w:customStyle="1" w:styleId="CertHD">
    <w:name w:val="_CertHD"/>
    <w:link w:val="CertHDChar"/>
    <w:semiHidden/>
    <w:rsid w:val="00801A56"/>
    <w:pPr>
      <w:spacing w:line="440" w:lineRule="atLeast"/>
    </w:pPr>
    <w:rPr>
      <w:color w:val="F58426"/>
      <w:sz w:val="36"/>
      <w:lang w:eastAsia="en-US"/>
    </w:rPr>
  </w:style>
  <w:style w:type="character" w:customStyle="1" w:styleId="CertHDChar">
    <w:name w:val="_CertHD Char"/>
    <w:link w:val="CertHD"/>
    <w:semiHidden/>
    <w:rsid w:val="00801A56"/>
    <w:rPr>
      <w:color w:val="F58426"/>
      <w:sz w:val="36"/>
      <w:lang w:eastAsia="en-US"/>
    </w:rPr>
  </w:style>
  <w:style w:type="paragraph" w:customStyle="1" w:styleId="CertHDWhite">
    <w:name w:val="_CertHDWhite"/>
    <w:semiHidden/>
    <w:rsid w:val="004578FA"/>
    <w:pPr>
      <w:spacing w:line="440" w:lineRule="atLeast"/>
    </w:pPr>
    <w:rPr>
      <w:color w:val="FFFFFF"/>
      <w:sz w:val="36"/>
      <w:lang w:eastAsia="en-US"/>
    </w:rPr>
  </w:style>
  <w:style w:type="paragraph" w:customStyle="1" w:styleId="CertHE">
    <w:name w:val="_CertHE"/>
    <w:link w:val="CertHEChar"/>
    <w:semiHidden/>
    <w:rsid w:val="00801A56"/>
    <w:pPr>
      <w:spacing w:line="520" w:lineRule="atLeast"/>
    </w:pPr>
    <w:rPr>
      <w:color w:val="F58426"/>
      <w:sz w:val="32"/>
      <w:lang w:eastAsia="en-US"/>
    </w:rPr>
  </w:style>
  <w:style w:type="character" w:customStyle="1" w:styleId="CertHEChar">
    <w:name w:val="_CertHE Char"/>
    <w:link w:val="CertHE"/>
    <w:semiHidden/>
    <w:rsid w:val="00801A56"/>
    <w:rPr>
      <w:color w:val="F58426"/>
      <w:sz w:val="32"/>
      <w:lang w:eastAsia="en-US"/>
    </w:rPr>
  </w:style>
  <w:style w:type="paragraph" w:customStyle="1" w:styleId="CertHEWhite">
    <w:name w:val="_CertHEWhite"/>
    <w:semiHidden/>
    <w:rsid w:val="004578FA"/>
    <w:pPr>
      <w:spacing w:line="520" w:lineRule="atLeast"/>
    </w:pPr>
    <w:rPr>
      <w:color w:val="FFFFFF"/>
      <w:sz w:val="32"/>
      <w:lang w:eastAsia="en-US"/>
    </w:rPr>
  </w:style>
  <w:style w:type="paragraph" w:customStyle="1" w:styleId="CertYr">
    <w:name w:val="_CertYr"/>
    <w:semiHidden/>
    <w:rsid w:val="00801A56"/>
    <w:pPr>
      <w:spacing w:line="1440" w:lineRule="atLeast"/>
    </w:pPr>
    <w:rPr>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ARIimprintpubdetails">
    <w:name w:val="ARI_imprintpubdetails"/>
    <w:basedOn w:val="Normal"/>
    <w:rsid w:val="002F04B4"/>
    <w:pPr>
      <w:autoSpaceDE w:val="0"/>
      <w:autoSpaceDN w:val="0"/>
      <w:adjustRightInd w:val="0"/>
      <w:spacing w:after="0"/>
    </w:pPr>
    <w:rPr>
      <w:rFonts w:ascii="Calibri" w:hAnsi="Calibri" w:cstheme="minorHAnsi"/>
      <w:sz w:val="16"/>
      <w:szCs w:val="16"/>
    </w:rPr>
  </w:style>
  <w:style w:type="paragraph" w:customStyle="1" w:styleId="Pullout">
    <w:name w:val="_Pullout"/>
    <w:rsid w:val="00CB33BB"/>
    <w:pPr>
      <w:spacing w:before="85" w:after="170" w:line="300" w:lineRule="atLeast"/>
    </w:pPr>
    <w:rPr>
      <w:rFonts w:ascii="Calibri" w:hAnsi="Calibri"/>
      <w:color w:val="228591"/>
      <w:lang w:eastAsia="en-US"/>
    </w:rPr>
  </w:style>
  <w:style w:type="paragraph" w:customStyle="1" w:styleId="TblBllt">
    <w:name w:val="_TblBllt"/>
    <w:basedOn w:val="Tablebodytext"/>
    <w:uiPriority w:val="1"/>
    <w:rsid w:val="00F968EA"/>
    <w:pPr>
      <w:numPr>
        <w:numId w:val="24"/>
      </w:numPr>
    </w:pPr>
  </w:style>
  <w:style w:type="paragraph" w:customStyle="1" w:styleId="Tablebodytext">
    <w:name w:val="Table body text"/>
    <w:uiPriority w:val="1"/>
    <w:qFormat/>
    <w:rsid w:val="004A4F57"/>
    <w:pPr>
      <w:spacing w:before="80" w:after="60"/>
    </w:pPr>
    <w:rPr>
      <w:lang w:eastAsia="en-US"/>
    </w:rPr>
  </w:style>
  <w:style w:type="paragraph" w:customStyle="1" w:styleId="Tableheadingtext">
    <w:name w:val="Table heading text"/>
    <w:qFormat/>
    <w:rsid w:val="00660BBC"/>
    <w:pPr>
      <w:spacing w:before="60" w:after="60" w:line="230" w:lineRule="atLeast"/>
    </w:pPr>
    <w:rPr>
      <w:b/>
      <w:color w:val="FFFFFF" w:themeColor="background1"/>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rsid w:val="00F968EA"/>
    <w:rPr>
      <w:b/>
      <w:bCs/>
    </w:rPr>
  </w:style>
  <w:style w:type="paragraph" w:styleId="Subtitle">
    <w:name w:val="Subtitle"/>
    <w:basedOn w:val="Title"/>
    <w:link w:val="SubtitleChar"/>
    <w:uiPriority w:val="11"/>
    <w:qFormat/>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0"/>
    <w:qFormat/>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1429D"/>
    <w:pPr>
      <w:tabs>
        <w:tab w:val="left" w:pos="567"/>
        <w:tab w:val="right" w:pos="9629"/>
      </w:tabs>
      <w:spacing w:after="60"/>
    </w:pPr>
    <w:rPr>
      <w:bCs/>
      <w:noProof/>
      <w:szCs w:val="20"/>
    </w:rPr>
  </w:style>
  <w:style w:type="paragraph" w:styleId="TOC1">
    <w:name w:val="toc 1"/>
    <w:basedOn w:val="Normal"/>
    <w:next w:val="Normal"/>
    <w:uiPriority w:val="39"/>
    <w:rsid w:val="00663A5A"/>
    <w:pPr>
      <w:pBdr>
        <w:bottom w:val="dotted" w:sz="12" w:space="3" w:color="228591"/>
        <w:between w:val="dotted" w:sz="12" w:space="1" w:color="228591"/>
      </w:pBdr>
      <w:tabs>
        <w:tab w:val="left" w:pos="567"/>
        <w:tab w:val="right" w:pos="9629"/>
      </w:tabs>
      <w:spacing w:before="320"/>
      <w:contextualSpacing/>
    </w:pPr>
    <w:rPr>
      <w:b/>
      <w:noProof/>
      <w:color w:val="002060"/>
      <w:lang w:val="en-US"/>
    </w:rPr>
  </w:style>
  <w:style w:type="paragraph" w:styleId="TOC3">
    <w:name w:val="toc 3"/>
    <w:basedOn w:val="Normal"/>
    <w:next w:val="Normal"/>
    <w:autoRedefine/>
    <w:uiPriority w:val="39"/>
    <w:rsid w:val="006672D5"/>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qFormat/>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qFormat/>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rPr>
  </w:style>
  <w:style w:type="paragraph" w:customStyle="1" w:styleId="imprint">
    <w:name w:val="imprint"/>
    <w:basedOn w:val="Normal"/>
    <w:rsid w:val="00980E26"/>
    <w:pPr>
      <w:spacing w:after="80" w:line="220" w:lineRule="exact"/>
    </w:pPr>
    <w:rPr>
      <w:rFonts w:ascii="Times New Roman" w:hAnsi="Times New Roman"/>
      <w:sz w:val="18"/>
    </w:rPr>
  </w:style>
  <w:style w:type="character" w:customStyle="1" w:styleId="st">
    <w:name w:val="st"/>
    <w:rsid w:val="00DB3335"/>
  </w:style>
  <w:style w:type="character" w:customStyle="1" w:styleId="Heading5Char">
    <w:name w:val="Heading 5 Char"/>
    <w:aliases w:val="- Title Char"/>
    <w:link w:val="Heading5"/>
    <w:uiPriority w:val="9"/>
    <w:locked/>
    <w:rsid w:val="00F968EA"/>
    <w:rPr>
      <w:rFonts w:ascii="Calibri" w:hAnsi="Calibri"/>
      <w:b/>
      <w:bCs/>
      <w:i/>
      <w:iCs/>
      <w:sz w:val="26"/>
      <w:szCs w:val="26"/>
      <w:lang w:eastAsia="en-US"/>
    </w:rPr>
  </w:style>
  <w:style w:type="paragraph" w:styleId="ListParagraph">
    <w:name w:val="List Paragraph"/>
    <w:basedOn w:val="Normal"/>
    <w:uiPriority w:val="34"/>
    <w:qFormat/>
    <w:rsid w:val="00F968EA"/>
    <w:pPr>
      <w:spacing w:line="270" w:lineRule="exact"/>
      <w:ind w:left="720"/>
      <w:contextualSpacing/>
    </w:pPr>
    <w:rPr>
      <w:rFonts w:ascii="Times New Roman" w:hAnsi="Times New Roman"/>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rPr>
  </w:style>
  <w:style w:type="paragraph" w:customStyle="1" w:styleId="Titlepage1">
    <w:name w:val="Title page 1"/>
    <w:basedOn w:val="Heading5"/>
    <w:rsid w:val="00DA7D7F"/>
    <w:pPr>
      <w:spacing w:before="0" w:after="720" w:line="360" w:lineRule="exact"/>
      <w:jc w:val="center"/>
    </w:pPr>
    <w:rPr>
      <w:rFonts w:ascii="Tahoma" w:hAnsi="Tahoma"/>
      <w:i w:val="0"/>
      <w:sz w:val="32"/>
    </w:rPr>
  </w:style>
  <w:style w:type="paragraph" w:customStyle="1" w:styleId="Titlepage2">
    <w:name w:val="Title page 2"/>
    <w:basedOn w:val="Heading2"/>
    <w:rsid w:val="00DA7D7F"/>
    <w:pPr>
      <w:spacing w:before="160" w:after="1200" w:line="280" w:lineRule="exact"/>
      <w:jc w:val="center"/>
    </w:pPr>
    <w:rPr>
      <w:rFonts w:ascii="Tahoma" w:hAnsi="Tahoma"/>
      <w:b w:val="0"/>
      <w:i/>
      <w:sz w:val="24"/>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FE4E7A"/>
    <w:pPr>
      <w:tabs>
        <w:tab w:val="right" w:leader="dot" w:pos="9629"/>
      </w:tabs>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uiPriority w:val="9"/>
    <w:rsid w:val="007D16B0"/>
    <w:rPr>
      <w:rFonts w:ascii="Arial" w:hAnsi="Arial" w:cs="Arial"/>
      <w:b/>
      <w:i/>
      <w:sz w:val="22"/>
      <w:szCs w:val="24"/>
      <w:lang w:eastAsia="en-US"/>
    </w:rPr>
  </w:style>
  <w:style w:type="paragraph" w:customStyle="1" w:styleId="Heading4-Numbered">
    <w:name w:val="Heading 4 -Numbered"/>
    <w:basedOn w:val="Heading4"/>
    <w:rsid w:val="006F6E3A"/>
    <w:pPr>
      <w:numPr>
        <w:ilvl w:val="3"/>
        <w:numId w:val="30"/>
      </w:numPr>
      <w:spacing w:before="40" w:after="0" w:line="200" w:lineRule="exact"/>
    </w:pPr>
    <w:rPr>
      <w:rFonts w:ascii="Tahoma" w:hAnsi="Tahoma"/>
      <w:sz w:val="18"/>
    </w:rPr>
  </w:style>
  <w:style w:type="paragraph" w:customStyle="1" w:styleId="Heading3-Numbered">
    <w:name w:val="Heading 3 - Numbered"/>
    <w:basedOn w:val="Heading3"/>
    <w:autoRedefine/>
    <w:qFormat/>
    <w:rsid w:val="006F6E3A"/>
    <w:pPr>
      <w:numPr>
        <w:ilvl w:val="2"/>
        <w:numId w:val="30"/>
      </w:numPr>
      <w:tabs>
        <w:tab w:val="clear" w:pos="720"/>
        <w:tab w:val="left" w:pos="851"/>
      </w:tabs>
      <w:spacing w:line="240" w:lineRule="atLeast"/>
    </w:pPr>
    <w:rPr>
      <w:sz w:val="22"/>
    </w:rPr>
  </w:style>
  <w:style w:type="paragraph" w:customStyle="1" w:styleId="Heading2-Numbered">
    <w:name w:val="Heading 2 - Numbered"/>
    <w:basedOn w:val="Heading2"/>
    <w:autoRedefine/>
    <w:qFormat/>
    <w:rsid w:val="006433B2"/>
    <w:pPr>
      <w:numPr>
        <w:ilvl w:val="1"/>
        <w:numId w:val="30"/>
      </w:numPr>
      <w:tabs>
        <w:tab w:val="left" w:pos="851"/>
      </w:tabs>
    </w:pPr>
    <w:rPr>
      <w:sz w:val="24"/>
      <w:szCs w:val="28"/>
    </w:rPr>
  </w:style>
  <w:style w:type="paragraph" w:customStyle="1" w:styleId="Heading1-Numbered">
    <w:name w:val="Heading 1 - Numbered"/>
    <w:basedOn w:val="Heading1"/>
    <w:link w:val="Heading1-NumberedChar"/>
    <w:qFormat/>
    <w:rsid w:val="006F6E3A"/>
    <w:pPr>
      <w:numPr>
        <w:numId w:val="30"/>
      </w:numPr>
      <w:tabs>
        <w:tab w:val="left" w:pos="851"/>
      </w:tabs>
      <w:spacing w:line="460" w:lineRule="exact"/>
    </w:p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
    <w:rsid w:val="00411D4B"/>
    <w:rPr>
      <w:rFonts w:ascii="Arial" w:hAnsi="Arial" w:cs="Arial"/>
      <w:b/>
      <w:color w:val="002060"/>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242D8C"/>
    <w:pPr>
      <w:keepNext/>
      <w:keepLines/>
      <w:spacing w:before="200" w:after="120"/>
    </w:pPr>
    <w:rPr>
      <w:color w:val="201547" w:themeColor="accent3"/>
      <w:sz w:val="20"/>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autoRedefine/>
    <w:qFormat/>
    <w:rsid w:val="00A83313"/>
    <w:pPr>
      <w:keepLines/>
      <w:spacing w:before="120" w:after="40"/>
    </w:pPr>
    <w:rPr>
      <w:rFonts w:eastAsiaTheme="minorEastAsia"/>
      <w:color w:val="201547" w:themeColor="accent3"/>
      <w:sz w:val="20"/>
      <w:szCs w:val="20"/>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9"/>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7"/>
      </w:numPr>
      <w:spacing w:before="113" w:after="113" w:line="240" w:lineRule="atLeast"/>
    </w:pPr>
    <w:rPr>
      <w:szCs w:val="22"/>
    </w:rPr>
  </w:style>
  <w:style w:type="paragraph" w:customStyle="1" w:styleId="Sub-bullets">
    <w:name w:val="Sub-bullets"/>
    <w:basedOn w:val="Normal"/>
    <w:rsid w:val="00856D1B"/>
    <w:pPr>
      <w:numPr>
        <w:numId w:val="22"/>
      </w:numPr>
      <w:spacing w:after="113" w:line="240" w:lineRule="atLeast"/>
    </w:pPr>
    <w:rPr>
      <w:szCs w:val="22"/>
    </w:rPr>
  </w:style>
  <w:style w:type="paragraph" w:customStyle="1" w:styleId="dotpointindented">
    <w:name w:val="dot point indented"/>
    <w:basedOn w:val="dotpoints"/>
    <w:qFormat/>
    <w:rsid w:val="00FC1339"/>
    <w:pPr>
      <w:numPr>
        <w:numId w:val="28"/>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uiPriority w:val="9"/>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uiPriority w:val="10"/>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uiPriority w:val="11"/>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qFormat/>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BC25ED"/>
    <w:pPr>
      <w:spacing w:line="240" w:lineRule="atLeast"/>
    </w:pPr>
    <w:rPr>
      <w:rFonts w:asciiTheme="minorHAnsi" w:hAnsiTheme="minorHAnsi"/>
      <w:color w:val="363534" w:themeColor="text1"/>
    </w:rPr>
    <w:tblPr>
      <w:tblCellMar>
        <w:left w:w="0" w:type="dxa"/>
        <w:right w:w="0" w:type="dxa"/>
      </w:tblCellMar>
    </w:tblPr>
  </w:style>
  <w:style w:type="paragraph" w:customStyle="1" w:styleId="xDisclaimertext4">
    <w:name w:val="xDisclaimer text 4"/>
    <w:basedOn w:val="Normal"/>
    <w:qFormat/>
    <w:rsid w:val="00BC25ED"/>
    <w:pPr>
      <w:framePr w:hSpace="181" w:wrap="around" w:hAnchor="margin" w:yAlign="bottom"/>
      <w:spacing w:before="60" w:after="60" w:line="210" w:lineRule="atLeast"/>
      <w:ind w:left="284" w:right="3686"/>
      <w:suppressOverlap/>
    </w:pPr>
    <w:rPr>
      <w:rFonts w:asciiTheme="minorHAnsi" w:hAnsiTheme="minorHAnsi"/>
      <w:color w:val="363534" w:themeColor="text1"/>
      <w:sz w:val="18"/>
      <w:szCs w:val="20"/>
    </w:rPr>
  </w:style>
  <w:style w:type="paragraph" w:customStyle="1" w:styleId="xDisclaimertext6">
    <w:name w:val="xDisclaimer text 6"/>
    <w:basedOn w:val="xDisclaimertext4"/>
    <w:qFormat/>
    <w:rsid w:val="00BC25ED"/>
    <w:pPr>
      <w:framePr w:wrap="around"/>
      <w:spacing w:before="120" w:after="120"/>
    </w:pPr>
    <w:rPr>
      <w:b/>
      <w:color w:val="00B2A9" w:themeColor="accent1"/>
      <w:sz w:val="20"/>
    </w:rPr>
  </w:style>
  <w:style w:type="paragraph" w:customStyle="1" w:styleId="xDisclaimertext5">
    <w:name w:val="xDisclaimer text 5"/>
    <w:basedOn w:val="xDisclaimertext4"/>
    <w:qFormat/>
    <w:rsid w:val="00BC25ED"/>
    <w:pPr>
      <w:framePr w:wrap="around"/>
      <w:spacing w:after="100"/>
      <w:ind w:right="3119"/>
    </w:pPr>
  </w:style>
  <w:style w:type="paragraph" w:customStyle="1" w:styleId="DisclaimerText">
    <w:name w:val="Disclaimer Text"/>
    <w:basedOn w:val="Normal"/>
    <w:uiPriority w:val="99"/>
    <w:semiHidden/>
    <w:rsid w:val="007749D1"/>
    <w:pPr>
      <w:framePr w:hSpace="181" w:wrap="around" w:hAnchor="margin" w:yAlign="bottom"/>
      <w:spacing w:after="90" w:line="240" w:lineRule="atLeast"/>
      <w:suppressOverlap/>
    </w:pPr>
    <w:rPr>
      <w:rFonts w:asciiTheme="minorHAnsi" w:hAnsiTheme="minorHAnsi"/>
      <w:color w:val="363534" w:themeColor="text1"/>
      <w:szCs w:val="20"/>
    </w:rPr>
  </w:style>
  <w:style w:type="paragraph" w:customStyle="1" w:styleId="SmallBodyText">
    <w:name w:val="Small Body Text"/>
    <w:basedOn w:val="Normal"/>
    <w:qFormat/>
    <w:rsid w:val="007749D1"/>
    <w:pPr>
      <w:spacing w:before="80" w:after="80" w:line="245" w:lineRule="auto"/>
    </w:pPr>
    <w:rPr>
      <w:rFonts w:asciiTheme="minorHAnsi" w:hAnsiTheme="minorHAnsi" w:cs="Times New Roman"/>
      <w:sz w:val="18"/>
      <w:szCs w:val="20"/>
    </w:rPr>
  </w:style>
  <w:style w:type="paragraph" w:customStyle="1" w:styleId="DisclaimerTextLeftBold">
    <w:name w:val="Disclaimer Text Left Bold"/>
    <w:basedOn w:val="DisclaimerTextLeft"/>
    <w:next w:val="DisclaimerTextLeft"/>
    <w:uiPriority w:val="99"/>
    <w:semiHidden/>
    <w:rsid w:val="007749D1"/>
    <w:pPr>
      <w:framePr w:wrap="around"/>
    </w:pPr>
    <w:rPr>
      <w:b/>
    </w:rPr>
  </w:style>
  <w:style w:type="paragraph" w:customStyle="1" w:styleId="DisclaimerTextLeft">
    <w:name w:val="Disclaimer Text Left"/>
    <w:basedOn w:val="DisclaimerText"/>
    <w:uiPriority w:val="99"/>
    <w:semiHidden/>
    <w:rsid w:val="007749D1"/>
    <w:pPr>
      <w:framePr w:wrap="around"/>
    </w:pPr>
  </w:style>
  <w:style w:type="paragraph" w:customStyle="1" w:styleId="DisclaimerTextRightBold">
    <w:name w:val="Disclaimer Text Right Bold"/>
    <w:basedOn w:val="Normal"/>
    <w:uiPriority w:val="99"/>
    <w:semiHidden/>
    <w:rsid w:val="007749D1"/>
    <w:pPr>
      <w:framePr w:hSpace="181" w:wrap="around" w:hAnchor="margin" w:yAlign="bottom"/>
      <w:spacing w:after="90" w:line="240" w:lineRule="atLeast"/>
      <w:suppressOverlap/>
    </w:pPr>
    <w:rPr>
      <w:rFonts w:ascii="Arial Bold" w:hAnsi="Arial Bold"/>
      <w:color w:val="363534" w:themeColor="text1"/>
      <w:szCs w:val="20"/>
    </w:rPr>
  </w:style>
  <w:style w:type="paragraph" w:customStyle="1" w:styleId="DisclaimerTextRight12pt">
    <w:name w:val="Disclaimer Text Right 12pt"/>
    <w:basedOn w:val="Normal"/>
    <w:uiPriority w:val="99"/>
    <w:semiHidden/>
    <w:rsid w:val="007749D1"/>
    <w:pPr>
      <w:framePr w:hSpace="181" w:wrap="around" w:hAnchor="margin" w:yAlign="bottom"/>
      <w:spacing w:after="90" w:line="240" w:lineRule="atLeast"/>
      <w:suppressOverlap/>
    </w:pPr>
    <w:rPr>
      <w:rFonts w:asciiTheme="minorHAnsi" w:hAnsiTheme="minorHAnsi"/>
      <w:color w:val="363534" w:themeColor="text1"/>
      <w:sz w:val="24"/>
      <w:szCs w:val="20"/>
    </w:rPr>
  </w:style>
  <w:style w:type="paragraph" w:customStyle="1" w:styleId="DisclaimerTextRightBold12pt">
    <w:name w:val="Disclaimer Text Right Bold 12 pt"/>
    <w:basedOn w:val="DisclaimerTextRightBold"/>
    <w:next w:val="DisclaimerTextRight12pt"/>
    <w:uiPriority w:val="99"/>
    <w:semiHidden/>
    <w:rsid w:val="007749D1"/>
    <w:pPr>
      <w:framePr w:wrap="around"/>
    </w:pPr>
    <w:rPr>
      <w:sz w:val="24"/>
    </w:rPr>
  </w:style>
  <w:style w:type="paragraph" w:customStyle="1" w:styleId="DisclaimerTextRight">
    <w:name w:val="Disclaimer Text Right"/>
    <w:basedOn w:val="DisclaimerText"/>
    <w:uiPriority w:val="99"/>
    <w:semiHidden/>
    <w:rsid w:val="007749D1"/>
    <w:pPr>
      <w:framePr w:wrap="around"/>
    </w:pPr>
  </w:style>
  <w:style w:type="table" w:customStyle="1" w:styleId="TableGrid10">
    <w:name w:val="Table Grid1"/>
    <w:basedOn w:val="TableNormal"/>
    <w:next w:val="TableGrid"/>
    <w:uiPriority w:val="39"/>
    <w:rsid w:val="002A6AA5"/>
    <w:pPr>
      <w:spacing w:before="70" w:after="70" w:line="240" w:lineRule="atLeast"/>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shd w:val="clear" w:color="auto" w:fill="004C97"/>
      </w:tcPr>
    </w:tblStylePr>
    <w:tblStylePr w:type="firstCol">
      <w:tblPr/>
      <w:tcPr>
        <w:shd w:val="clear" w:color="auto" w:fill="FFFFFF"/>
      </w:tcPr>
    </w:tblStylePr>
    <w:tblStylePr w:type="band1Vert">
      <w:tblPr/>
      <w:tcPr>
        <w:shd w:val="clear" w:color="auto" w:fill="CCDBEA"/>
      </w:tcPr>
    </w:tblStylePr>
  </w:style>
  <w:style w:type="paragraph" w:styleId="NoSpacing">
    <w:name w:val="No Spacing"/>
    <w:basedOn w:val="Normal"/>
    <w:next w:val="BodyText"/>
    <w:link w:val="NoSpacingChar"/>
    <w:qFormat/>
    <w:rsid w:val="0049337B"/>
    <w:pPr>
      <w:spacing w:after="0" w:line="240" w:lineRule="atLeast"/>
    </w:pPr>
    <w:rPr>
      <w:rFonts w:asciiTheme="minorHAnsi" w:hAnsiTheme="minorHAnsi" w:cs="Times New Roman"/>
      <w:szCs w:val="20"/>
    </w:rPr>
  </w:style>
  <w:style w:type="paragraph" w:customStyle="1" w:styleId="BoldBodyText">
    <w:name w:val="Bold Body Text"/>
    <w:basedOn w:val="BodyText"/>
    <w:qFormat/>
    <w:rsid w:val="0049337B"/>
    <w:pPr>
      <w:spacing w:before="120" w:line="240" w:lineRule="atLeast"/>
    </w:pPr>
    <w:rPr>
      <w:rFonts w:ascii="Arial Bold" w:hAnsi="Arial Bold" w:cs="Times New Roman"/>
      <w:bCs/>
      <w:szCs w:val="20"/>
    </w:rPr>
  </w:style>
  <w:style w:type="character" w:customStyle="1" w:styleId="NoSpacingChar">
    <w:name w:val="No Spacing Char"/>
    <w:basedOn w:val="DefaultParagraphFont"/>
    <w:link w:val="NoSpacing"/>
    <w:rsid w:val="0049337B"/>
    <w:rPr>
      <w:rFonts w:asciiTheme="minorHAnsi" w:hAnsiTheme="minorHAnsi"/>
    </w:rPr>
  </w:style>
  <w:style w:type="character" w:customStyle="1" w:styleId="cf01">
    <w:name w:val="cf01"/>
    <w:basedOn w:val="DefaultParagraphFont"/>
    <w:rsid w:val="00182401"/>
    <w:rPr>
      <w:rFonts w:ascii="Segoe UI" w:hAnsi="Segoe UI" w:cs="Segoe UI" w:hint="default"/>
      <w:sz w:val="18"/>
      <w:szCs w:val="18"/>
    </w:rPr>
  </w:style>
  <w:style w:type="paragraph" w:customStyle="1" w:styleId="Legend-Figure">
    <w:name w:val="Legend - Figure"/>
    <w:basedOn w:val="Normal"/>
    <w:qFormat/>
    <w:rsid w:val="005F7DA8"/>
    <w:pPr>
      <w:spacing w:after="240"/>
    </w:pPr>
    <w:rPr>
      <w:sz w:val="18"/>
      <w:szCs w:val="18"/>
    </w:rPr>
  </w:style>
  <w:style w:type="paragraph" w:customStyle="1" w:styleId="Legend-Table">
    <w:name w:val="Legend - Table"/>
    <w:basedOn w:val="Normal"/>
    <w:qFormat/>
    <w:rsid w:val="00E15AFD"/>
    <w:rPr>
      <w:sz w:val="18"/>
      <w:szCs w:val="18"/>
    </w:rPr>
  </w:style>
  <w:style w:type="table" w:styleId="PlainTable2">
    <w:name w:val="Plain Table 2"/>
    <w:basedOn w:val="TableNormal"/>
    <w:uiPriority w:val="42"/>
    <w:rsid w:val="003D27AB"/>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paragraph" w:styleId="Bibliography">
    <w:name w:val="Bibliography"/>
    <w:basedOn w:val="Normal"/>
    <w:next w:val="Normal"/>
    <w:uiPriority w:val="37"/>
    <w:rsid w:val="00FA3541"/>
    <w:pPr>
      <w:spacing w:after="240"/>
      <w:ind w:left="720" w:hanging="720"/>
    </w:pPr>
  </w:style>
  <w:style w:type="character" w:customStyle="1" w:styleId="Heading2Char">
    <w:name w:val="Heading 2 Char"/>
    <w:basedOn w:val="DefaultParagraphFont"/>
    <w:link w:val="Heading2"/>
    <w:uiPriority w:val="9"/>
    <w:rsid w:val="005C09C6"/>
    <w:rPr>
      <w:rFonts w:ascii="Arial" w:hAnsi="Arial" w:cs="Arial"/>
      <w:b/>
      <w:color w:val="2E1E66" w:themeColor="accent3" w:themeTint="E6"/>
      <w:sz w:val="28"/>
      <w:szCs w:val="24"/>
      <w:lang w:eastAsia="en-US"/>
    </w:rPr>
  </w:style>
  <w:style w:type="character" w:customStyle="1" w:styleId="Heading6Char">
    <w:name w:val="Heading 6 Char"/>
    <w:aliases w:val="App 2 Char"/>
    <w:basedOn w:val="DefaultParagraphFont"/>
    <w:link w:val="Heading6"/>
    <w:uiPriority w:val="9"/>
    <w:rsid w:val="005C09C6"/>
    <w:rPr>
      <w:rFonts w:ascii="Arial" w:hAnsi="Arial" w:cs="Arial"/>
      <w:b/>
      <w:bCs/>
      <w:szCs w:val="22"/>
      <w:lang w:eastAsia="en-US"/>
    </w:rPr>
  </w:style>
  <w:style w:type="character" w:customStyle="1" w:styleId="Heading7Char">
    <w:name w:val="Heading 7 Char"/>
    <w:aliases w:val="App 3 Char"/>
    <w:basedOn w:val="DefaultParagraphFont"/>
    <w:link w:val="Heading7"/>
    <w:uiPriority w:val="9"/>
    <w:rsid w:val="005C09C6"/>
    <w:rPr>
      <w:rFonts w:ascii="Arial" w:hAnsi="Arial" w:cs="Arial"/>
      <w:szCs w:val="24"/>
      <w:lang w:eastAsia="en-US"/>
    </w:rPr>
  </w:style>
  <w:style w:type="character" w:customStyle="1" w:styleId="Heading8Char">
    <w:name w:val="Heading 8 Char"/>
    <w:aliases w:val="App 4 Char"/>
    <w:basedOn w:val="DefaultParagraphFont"/>
    <w:link w:val="Heading8"/>
    <w:uiPriority w:val="9"/>
    <w:rsid w:val="005C09C6"/>
    <w:rPr>
      <w:rFonts w:ascii="Arial" w:hAnsi="Arial" w:cs="Arial"/>
      <w:i/>
      <w:iCs/>
      <w:szCs w:val="24"/>
      <w:lang w:eastAsia="en-US"/>
    </w:rPr>
  </w:style>
  <w:style w:type="character" w:customStyle="1" w:styleId="Heading9Char">
    <w:name w:val="Heading 9 Char"/>
    <w:basedOn w:val="DefaultParagraphFont"/>
    <w:link w:val="Heading9"/>
    <w:uiPriority w:val="9"/>
    <w:rsid w:val="005C09C6"/>
    <w:rPr>
      <w:rFonts w:ascii="Arial" w:hAnsi="Arial" w:cs="Arial"/>
      <w:szCs w:val="22"/>
      <w:lang w:eastAsia="en-US"/>
    </w:rPr>
  </w:style>
  <w:style w:type="paragraph" w:styleId="Quote">
    <w:name w:val="Quote"/>
    <w:basedOn w:val="Normal"/>
    <w:next w:val="Normal"/>
    <w:link w:val="QuoteChar"/>
    <w:uiPriority w:val="29"/>
    <w:qFormat/>
    <w:rsid w:val="005C09C6"/>
    <w:pPr>
      <w:spacing w:before="160" w:after="160" w:line="259" w:lineRule="auto"/>
      <w:jc w:val="center"/>
    </w:pPr>
    <w:rPr>
      <w:rFonts w:asciiTheme="minorHAnsi" w:eastAsiaTheme="minorHAnsi" w:hAnsiTheme="minorHAnsi" w:cstheme="minorBidi"/>
      <w:i/>
      <w:iCs/>
      <w:color w:val="696765" w:themeColor="text1" w:themeTint="BF"/>
      <w:kern w:val="2"/>
      <w:sz w:val="22"/>
      <w:szCs w:val="22"/>
      <w14:ligatures w14:val="standardContextual"/>
    </w:rPr>
  </w:style>
  <w:style w:type="character" w:customStyle="1" w:styleId="QuoteChar">
    <w:name w:val="Quote Char"/>
    <w:basedOn w:val="DefaultParagraphFont"/>
    <w:link w:val="Quote"/>
    <w:uiPriority w:val="29"/>
    <w:rsid w:val="005C09C6"/>
    <w:rPr>
      <w:rFonts w:asciiTheme="minorHAnsi" w:eastAsiaTheme="minorHAnsi" w:hAnsiTheme="minorHAnsi" w:cstheme="minorBidi"/>
      <w:i/>
      <w:iCs/>
      <w:color w:val="696765" w:themeColor="text1" w:themeTint="BF"/>
      <w:kern w:val="2"/>
      <w:sz w:val="22"/>
      <w:szCs w:val="22"/>
      <w:lang w:eastAsia="en-US"/>
      <w14:ligatures w14:val="standardContextual"/>
    </w:rPr>
  </w:style>
  <w:style w:type="paragraph" w:styleId="IntenseQuote">
    <w:name w:val="Intense Quote"/>
    <w:basedOn w:val="Normal"/>
    <w:next w:val="Normal"/>
    <w:link w:val="IntenseQuoteChar"/>
    <w:uiPriority w:val="30"/>
    <w:qFormat/>
    <w:rsid w:val="005C09C6"/>
    <w:pPr>
      <w:pBdr>
        <w:top w:val="single" w:sz="4" w:space="10" w:color="00857E" w:themeColor="accent1" w:themeShade="BF"/>
        <w:bottom w:val="single" w:sz="4" w:space="10" w:color="00857E" w:themeColor="accent1" w:themeShade="BF"/>
      </w:pBdr>
      <w:spacing w:before="360" w:after="360" w:line="259" w:lineRule="auto"/>
      <w:ind w:left="864" w:right="864"/>
      <w:jc w:val="center"/>
    </w:pPr>
    <w:rPr>
      <w:rFonts w:asciiTheme="minorHAnsi" w:eastAsiaTheme="minorHAnsi" w:hAnsiTheme="minorHAnsi" w:cstheme="minorBidi"/>
      <w:i/>
      <w:iCs/>
      <w:color w:val="00857E" w:themeColor="accent1" w:themeShade="BF"/>
      <w:kern w:val="2"/>
      <w:sz w:val="22"/>
      <w:szCs w:val="22"/>
      <w14:ligatures w14:val="standardContextual"/>
    </w:rPr>
  </w:style>
  <w:style w:type="character" w:customStyle="1" w:styleId="IntenseQuoteChar">
    <w:name w:val="Intense Quote Char"/>
    <w:basedOn w:val="DefaultParagraphFont"/>
    <w:link w:val="IntenseQuote"/>
    <w:uiPriority w:val="30"/>
    <w:rsid w:val="005C09C6"/>
    <w:rPr>
      <w:rFonts w:asciiTheme="minorHAnsi" w:eastAsiaTheme="minorHAnsi" w:hAnsiTheme="minorHAnsi" w:cstheme="minorBidi"/>
      <w:i/>
      <w:iCs/>
      <w:color w:val="00857E" w:themeColor="accent1" w:themeShade="BF"/>
      <w:kern w:val="2"/>
      <w:sz w:val="22"/>
      <w:szCs w:val="22"/>
      <w:lang w:eastAsia="en-US"/>
      <w14:ligatures w14:val="standardContextual"/>
    </w:rPr>
  </w:style>
  <w:style w:type="character" w:styleId="IntenseReference">
    <w:name w:val="Intense Reference"/>
    <w:basedOn w:val="DefaultParagraphFont"/>
    <w:uiPriority w:val="32"/>
    <w:qFormat/>
    <w:rsid w:val="005C09C6"/>
    <w:rPr>
      <w:b/>
      <w:bCs/>
      <w:smallCaps/>
      <w:color w:val="00857E" w:themeColor="accent1" w:themeShade="BF"/>
      <w:spacing w:val="5"/>
    </w:rPr>
  </w:style>
  <w:style w:type="character" w:customStyle="1" w:styleId="HeaderChar">
    <w:name w:val="Header Char"/>
    <w:basedOn w:val="DefaultParagraphFont"/>
    <w:link w:val="Header"/>
    <w:rsid w:val="00EC0A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99526">
      <w:bodyDiv w:val="1"/>
      <w:marLeft w:val="0"/>
      <w:marRight w:val="0"/>
      <w:marTop w:val="0"/>
      <w:marBottom w:val="0"/>
      <w:divBdr>
        <w:top w:val="none" w:sz="0" w:space="0" w:color="auto"/>
        <w:left w:val="none" w:sz="0" w:space="0" w:color="auto"/>
        <w:bottom w:val="none" w:sz="0" w:space="0" w:color="auto"/>
        <w:right w:val="none" w:sz="0" w:space="0" w:color="auto"/>
      </w:divBdr>
    </w:div>
    <w:div w:id="15353489">
      <w:bodyDiv w:val="1"/>
      <w:marLeft w:val="0"/>
      <w:marRight w:val="0"/>
      <w:marTop w:val="0"/>
      <w:marBottom w:val="0"/>
      <w:divBdr>
        <w:top w:val="none" w:sz="0" w:space="0" w:color="auto"/>
        <w:left w:val="none" w:sz="0" w:space="0" w:color="auto"/>
        <w:bottom w:val="none" w:sz="0" w:space="0" w:color="auto"/>
        <w:right w:val="none" w:sz="0" w:space="0" w:color="auto"/>
      </w:divBdr>
      <w:divsChild>
        <w:div w:id="1348563629">
          <w:marLeft w:val="480"/>
          <w:marRight w:val="0"/>
          <w:marTop w:val="0"/>
          <w:marBottom w:val="0"/>
          <w:divBdr>
            <w:top w:val="none" w:sz="0" w:space="0" w:color="auto"/>
            <w:left w:val="none" w:sz="0" w:space="0" w:color="auto"/>
            <w:bottom w:val="none" w:sz="0" w:space="0" w:color="auto"/>
            <w:right w:val="none" w:sz="0" w:space="0" w:color="auto"/>
          </w:divBdr>
          <w:divsChild>
            <w:div w:id="184150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21825613">
      <w:bodyDiv w:val="1"/>
      <w:marLeft w:val="0"/>
      <w:marRight w:val="0"/>
      <w:marTop w:val="0"/>
      <w:marBottom w:val="0"/>
      <w:divBdr>
        <w:top w:val="none" w:sz="0" w:space="0" w:color="auto"/>
        <w:left w:val="none" w:sz="0" w:space="0" w:color="auto"/>
        <w:bottom w:val="none" w:sz="0" w:space="0" w:color="auto"/>
        <w:right w:val="none" w:sz="0" w:space="0" w:color="auto"/>
      </w:divBdr>
      <w:divsChild>
        <w:div w:id="690761262">
          <w:marLeft w:val="480"/>
          <w:marRight w:val="0"/>
          <w:marTop w:val="0"/>
          <w:marBottom w:val="0"/>
          <w:divBdr>
            <w:top w:val="none" w:sz="0" w:space="0" w:color="auto"/>
            <w:left w:val="none" w:sz="0" w:space="0" w:color="auto"/>
            <w:bottom w:val="none" w:sz="0" w:space="0" w:color="auto"/>
            <w:right w:val="none" w:sz="0" w:space="0" w:color="auto"/>
          </w:divBdr>
          <w:divsChild>
            <w:div w:id="13063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2711238">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7700283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44061890">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277366748">
      <w:bodyDiv w:val="1"/>
      <w:marLeft w:val="0"/>
      <w:marRight w:val="0"/>
      <w:marTop w:val="0"/>
      <w:marBottom w:val="0"/>
      <w:divBdr>
        <w:top w:val="none" w:sz="0" w:space="0" w:color="auto"/>
        <w:left w:val="none" w:sz="0" w:space="0" w:color="auto"/>
        <w:bottom w:val="none" w:sz="0" w:space="0" w:color="auto"/>
        <w:right w:val="none" w:sz="0" w:space="0" w:color="auto"/>
      </w:divBdr>
    </w:div>
    <w:div w:id="1303194493">
      <w:bodyDiv w:val="1"/>
      <w:marLeft w:val="0"/>
      <w:marRight w:val="0"/>
      <w:marTop w:val="0"/>
      <w:marBottom w:val="0"/>
      <w:divBdr>
        <w:top w:val="none" w:sz="0" w:space="0" w:color="auto"/>
        <w:left w:val="none" w:sz="0" w:space="0" w:color="auto"/>
        <w:bottom w:val="none" w:sz="0" w:space="0" w:color="auto"/>
        <w:right w:val="none" w:sz="0" w:space="0" w:color="auto"/>
      </w:divBdr>
    </w:div>
    <w:div w:id="1310480468">
      <w:bodyDiv w:val="1"/>
      <w:marLeft w:val="0"/>
      <w:marRight w:val="0"/>
      <w:marTop w:val="0"/>
      <w:marBottom w:val="0"/>
      <w:divBdr>
        <w:top w:val="none" w:sz="0" w:space="0" w:color="auto"/>
        <w:left w:val="none" w:sz="0" w:space="0" w:color="auto"/>
        <w:bottom w:val="none" w:sz="0" w:space="0" w:color="auto"/>
        <w:right w:val="none" w:sz="0" w:space="0" w:color="auto"/>
      </w:divBdr>
    </w:div>
    <w:div w:id="1324697596">
      <w:bodyDiv w:val="1"/>
      <w:marLeft w:val="0"/>
      <w:marRight w:val="0"/>
      <w:marTop w:val="0"/>
      <w:marBottom w:val="0"/>
      <w:divBdr>
        <w:top w:val="none" w:sz="0" w:space="0" w:color="auto"/>
        <w:left w:val="none" w:sz="0" w:space="0" w:color="auto"/>
        <w:bottom w:val="none" w:sz="0" w:space="0" w:color="auto"/>
        <w:right w:val="none" w:sz="0" w:space="0" w:color="auto"/>
      </w:divBdr>
    </w:div>
    <w:div w:id="1356733767">
      <w:bodyDiv w:val="1"/>
      <w:marLeft w:val="0"/>
      <w:marRight w:val="0"/>
      <w:marTop w:val="0"/>
      <w:marBottom w:val="0"/>
      <w:divBdr>
        <w:top w:val="none" w:sz="0" w:space="0" w:color="auto"/>
        <w:left w:val="none" w:sz="0" w:space="0" w:color="auto"/>
        <w:bottom w:val="none" w:sz="0" w:space="0" w:color="auto"/>
        <w:right w:val="none" w:sz="0" w:space="0" w:color="auto"/>
      </w:divBdr>
      <w:divsChild>
        <w:div w:id="2083796277">
          <w:marLeft w:val="480"/>
          <w:marRight w:val="0"/>
          <w:marTop w:val="0"/>
          <w:marBottom w:val="0"/>
          <w:divBdr>
            <w:top w:val="none" w:sz="0" w:space="0" w:color="auto"/>
            <w:left w:val="none" w:sz="0" w:space="0" w:color="auto"/>
            <w:bottom w:val="none" w:sz="0" w:space="0" w:color="auto"/>
            <w:right w:val="none" w:sz="0" w:space="0" w:color="auto"/>
          </w:divBdr>
          <w:divsChild>
            <w:div w:id="52737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27604872">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050766091">
      <w:bodyDiv w:val="1"/>
      <w:marLeft w:val="0"/>
      <w:marRight w:val="0"/>
      <w:marTop w:val="0"/>
      <w:marBottom w:val="0"/>
      <w:divBdr>
        <w:top w:val="none" w:sz="0" w:space="0" w:color="auto"/>
        <w:left w:val="none" w:sz="0" w:space="0" w:color="auto"/>
        <w:bottom w:val="none" w:sz="0" w:space="0" w:color="auto"/>
        <w:right w:val="none" w:sz="0" w:space="0" w:color="auto"/>
      </w:divBdr>
    </w:div>
    <w:div w:id="2052533450">
      <w:bodyDiv w:val="1"/>
      <w:marLeft w:val="0"/>
      <w:marRight w:val="0"/>
      <w:marTop w:val="0"/>
      <w:marBottom w:val="0"/>
      <w:divBdr>
        <w:top w:val="none" w:sz="0" w:space="0" w:color="auto"/>
        <w:left w:val="none" w:sz="0" w:space="0" w:color="auto"/>
        <w:bottom w:val="none" w:sz="0" w:space="0" w:color="auto"/>
        <w:right w:val="none" w:sz="0" w:space="0" w:color="auto"/>
      </w:divBdr>
      <w:divsChild>
        <w:div w:id="1464888394">
          <w:marLeft w:val="480"/>
          <w:marRight w:val="0"/>
          <w:marTop w:val="0"/>
          <w:marBottom w:val="0"/>
          <w:divBdr>
            <w:top w:val="none" w:sz="0" w:space="0" w:color="auto"/>
            <w:left w:val="none" w:sz="0" w:space="0" w:color="auto"/>
            <w:bottom w:val="none" w:sz="0" w:space="0" w:color="auto"/>
            <w:right w:val="none" w:sz="0" w:space="0" w:color="auto"/>
          </w:divBdr>
          <w:divsChild>
            <w:div w:id="69338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ri.vic.gov.au" TargetMode="External"/><Relationship Id="rId21" Type="http://schemas.openxmlformats.org/officeDocument/2006/relationships/footer" Target="footer4.xml"/><Relationship Id="rId42" Type="http://schemas.openxmlformats.org/officeDocument/2006/relationships/footer" Target="footer9.xml"/><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image" Target="media/image36.png"/><Relationship Id="rId89" Type="http://schemas.openxmlformats.org/officeDocument/2006/relationships/theme" Target="theme/theme1.xml"/><Relationship Id="rId16" Type="http://schemas.openxmlformats.org/officeDocument/2006/relationships/header" Target="header1.xml"/><Relationship Id="rId11" Type="http://schemas.openxmlformats.org/officeDocument/2006/relationships/webSettings" Target="webSettings.xml"/><Relationship Id="rId32" Type="http://schemas.openxmlformats.org/officeDocument/2006/relationships/header" Target="header4.xml"/><Relationship Id="rId37" Type="http://schemas.openxmlformats.org/officeDocument/2006/relationships/hyperlink" Target="https://wildlifehealthaustralia.com.au/Resource-Centre/Fact-Sheets" TargetMode="Externa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customXml" Target="../customXml/item5.xml"/><Relationship Id="rId19" Type="http://schemas.openxmlformats.org/officeDocument/2006/relationships/footer" Target="footer3.xml"/><Relationship Id="rId14" Type="http://schemas.openxmlformats.org/officeDocument/2006/relationships/image" Target="media/image1.jpeg"/><Relationship Id="rId22" Type="http://schemas.openxmlformats.org/officeDocument/2006/relationships/image" Target="media/image3.jpeg"/><Relationship Id="rId27" Type="http://schemas.openxmlformats.org/officeDocument/2006/relationships/image" Target="media/image7.png"/><Relationship Id="rId30" Type="http://schemas.openxmlformats.org/officeDocument/2006/relationships/header" Target="header3.xml"/><Relationship Id="rId35" Type="http://schemas.openxmlformats.org/officeDocument/2006/relationships/footer" Target="footer8.xml"/><Relationship Id="rId43" Type="http://schemas.openxmlformats.org/officeDocument/2006/relationships/footer" Target="footer10.xml"/><Relationship Id="rId48" Type="http://schemas.openxmlformats.org/officeDocument/2006/relationships/image" Target="media/image16.png"/><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3.png"/><Relationship Id="rId8" Type="http://schemas.openxmlformats.org/officeDocument/2006/relationships/numbering" Target="numbering.xml"/><Relationship Id="rId51" Type="http://schemas.openxmlformats.org/officeDocument/2006/relationships/image" Target="media/image19.png"/><Relationship Id="rId72" Type="http://schemas.openxmlformats.org/officeDocument/2006/relationships/hyperlink" Target="https://doi.org/10.1071/WR15071" TargetMode="External"/><Relationship Id="rId80" Type="http://schemas.openxmlformats.org/officeDocument/2006/relationships/image" Target="media/image46.png"/><Relationship Id="rId85" Type="http://schemas.openxmlformats.org/officeDocument/2006/relationships/hyperlink" Target="http://www.delwp.vic.gov.au" TargetMode="Externa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1.xml"/><Relationship Id="rId25" Type="http://schemas.openxmlformats.org/officeDocument/2006/relationships/image" Target="media/image6.svg"/><Relationship Id="rId33" Type="http://schemas.openxmlformats.org/officeDocument/2006/relationships/footer" Target="footer6.xml"/><Relationship Id="rId38" Type="http://schemas.openxmlformats.org/officeDocument/2006/relationships/hyperlink" Target="https://animalhealthaustralia.com.au/ausvetplan/" TargetMode="External"/><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header" Target="header2.xml"/><Relationship Id="rId41" Type="http://schemas.openxmlformats.org/officeDocument/2006/relationships/image" Target="media/image11.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1.png"/><Relationship Id="rId83" Type="http://schemas.openxmlformats.org/officeDocument/2006/relationships/hyperlink" Target="http://www.delwp.vic.gov.au"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4.png"/><Relationship Id="rId28" Type="http://schemas.openxmlformats.org/officeDocument/2006/relationships/hyperlink" Target="http://creativecommons.org/licenses/by/4.0/" TargetMode="External"/><Relationship Id="rId36" Type="http://schemas.openxmlformats.org/officeDocument/2006/relationships/image" Target="media/image9.png"/><Relationship Id="rId49" Type="http://schemas.openxmlformats.org/officeDocument/2006/relationships/image" Target="media/image17.png"/><Relationship Id="rId57" Type="http://schemas.openxmlformats.org/officeDocument/2006/relationships/image" Target="media/image25.png"/><Relationship Id="rId10" Type="http://schemas.openxmlformats.org/officeDocument/2006/relationships/settings" Target="settings.xml"/><Relationship Id="rId31" Type="http://schemas.openxmlformats.org/officeDocument/2006/relationships/footer" Target="footer5.xm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hyperlink" Target="https://www.woah.org/en/home/" TargetMode="External"/><Relationship Id="rId34" Type="http://schemas.openxmlformats.org/officeDocument/2006/relationships/footer" Target="footer7.xm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2.png"/><Relationship Id="rId7" Type="http://schemas.openxmlformats.org/officeDocument/2006/relationships/customXml" Target="../customXml/item7.xml"/><Relationship Id="rId71" Type="http://schemas.openxmlformats.org/officeDocument/2006/relationships/hyperlink" Target="https://doi.org/10.1146/annurev-animal-021122-100823" TargetMode="External"/><Relationship Id="rId2" Type="http://schemas.openxmlformats.org/officeDocument/2006/relationships/customXml" Target="../customXml/item2.xml"/><Relationship Id="rId29" Type="http://schemas.openxmlformats.org/officeDocument/2006/relationships/hyperlink" Target="http://creativecommons.org/licenses/by/4.0/" TargetMode="External"/><Relationship Id="rId24" Type="http://schemas.openxmlformats.org/officeDocument/2006/relationships/image" Target="media/image5.png"/><Relationship Id="rId40" Type="http://schemas.openxmlformats.org/officeDocument/2006/relationships/image" Target="media/image10.png"/><Relationship Id="rId45" Type="http://schemas.openxmlformats.org/officeDocument/2006/relationships/image" Target="media/image13.png"/><Relationship Id="rId66" Type="http://schemas.openxmlformats.org/officeDocument/2006/relationships/image" Target="media/image34.png"/><Relationship Id="rId87" Type="http://schemas.openxmlformats.org/officeDocument/2006/relationships/footer" Target="footer12.xml"/><Relationship Id="rId61" Type="http://schemas.openxmlformats.org/officeDocument/2006/relationships/image" Target="media/image29.png"/><Relationship Id="rId82" Type="http://schemas.openxmlformats.org/officeDocument/2006/relationships/footer" Target="footer1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6.xml.rels><?xml version="1.0" encoding="UTF-8" standalone="yes"?>
<Relationships xmlns="http://schemas.openxmlformats.org/package/2006/relationships"><Relationship Id="rId2" Type="http://schemas.openxmlformats.org/officeDocument/2006/relationships/image" Target="media/image80.emf"/><Relationship Id="rId1" Type="http://schemas.openxmlformats.org/officeDocument/2006/relationships/image" Target="media/image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l09\Dropbox\LL%20WE%20Section\Section%20Leader\Publication%20review%20process\Templates\5%20ARI%20Technical%20Report%20Template%202019.dotx" TargetMode="Externa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haredContentType xmlns="Microsoft.SharePoint.Taxonomy.ContentTypeSync" SourceId="797aeec6-0273-40f2-ab3e-beee73212332" ContentTypeId="0x0101009148F5A04DDD49CBA7127AADA5FB792B00AADE34325A8B49CDA8BB4DB53328F2140086ACF6BE223CB5449DC222CEA6489BF7"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a5f32de4-e402-4188-b034-e71ca7d22e54">DOCID94-391317156-14548</_dlc_DocId>
    <_dlc_DocIdUrl xmlns="a5f32de4-e402-4188-b034-e71ca7d22e54">
      <Url>https://delwpvicgovau.sharepoint.com/sites/ecm_94/_layouts/15/DocIdRedir.aspx?ID=DOCID94-391317156-14548</Url>
      <Description>DOCID94-391317156-14548</Description>
    </_dlc_DocIdUrl>
    <_dlc_DocIdPersistId xmlns="a5f32de4-e402-4188-b034-e71ca7d22e54" xsi:nil="true"/>
    <TaxCatchAll xmlns="9fd47c19-1c4a-4d7d-b342-c10cef269344">
      <Value>9</Value>
      <Value>7</Value>
      <Value>6</Value>
      <Value>4</Value>
      <Value>3</Value>
      <Value>2</Value>
      <Value>1</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TaxCatchAllLabel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Language xmlns="http://schemas.microsoft.com/sharepoint/v3">English</Language>
    <ImageCreateDate xmlns="http://schemas.microsoft.com/sharepoint/v3/fields" xsi:nil="tru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o2e611f6ba3e4c8f9a895dfb7980639e xmlns="9fd47c19-1c4a-4d7d-b342-c10cef269344">
      <Terms xmlns="http://schemas.microsoft.com/office/infopath/2007/PartnerControls"/>
    </o2e611f6ba3e4c8f9a895dfb7980639e>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Wildlife Ecology</TermName>
          <TermId xmlns="http://schemas.microsoft.com/office/infopath/2007/PartnerControls">6e539436-42e7-4d57-bad1-ce1c1c08dfa4</TermId>
        </TermInfo>
      </Terms>
    </k1bd994a94c2413797db3bab8f123f6f>
    <Event_x0020_Name xmlns="a5f32de4-e402-4188-b034-e71ca7d22e54" xsi:nil="true"/>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Biodiversity</TermName>
          <TermId xmlns="http://schemas.microsoft.com/office/infopath/2007/PartnerControls">a369ff78-9705-4b66-a29c-499bde0c7988</TermId>
        </TermInfo>
      </Terms>
    </n771d69a070c4babbf278c67c8a2b859>
    <kd1afe63598044c081c46c46ce9365fb xmlns="f69348f0-4c32-4de8-8eea-8dd31e89e17f">
      <Terms xmlns="http://schemas.microsoft.com/office/infopath/2007/PartnerControls"/>
    </kd1afe63598044c081c46c46ce9365fb>
    <m000ba088b744ce08bb8278142651c9c xmlns="f69348f0-4c32-4de8-8eea-8dd31e89e17f">
      <Terms xmlns="http://schemas.microsoft.com/office/infopath/2007/PartnerControls"/>
    </m000ba088b744ce08bb8278142651c9c>
    <Location_x0020_Value xmlns="a5f32de4-e402-4188-b034-e71ca7d22e54" xsi:nil="true"/>
    <URL xmlns="http://schemas.microsoft.com/sharepoint/v3">
      <Url xsi:nil="true"/>
      <Description xsi:nil="true"/>
    </URL>
    <o85941e134754762b9719660a258a6e6 xmlns="9fd47c19-1c4a-4d7d-b342-c10cef269344">
      <Terms xmlns="http://schemas.microsoft.com/office/infopath/2007/PartnerControls"/>
    </o85941e134754762b9719660a258a6e6>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Arthur Rylah Institute</TermName>
          <TermId xmlns="http://schemas.microsoft.com/office/infopath/2007/PartnerControls">40bc2e25-0176-4bcf-8522-e378037ace7d</TermId>
        </TermInfo>
      </Terms>
    </mfe9accc5a0b4653a7b513b67ffd122d>
    <RoutingRuleDescription xmlns="http://schemas.microsoft.com/sharepoint/v3"/>
    <df723ab3fe1c4eb7a0b151674e7ac40d xmlns="9fd47c19-1c4a-4d7d-b342-c10cef269344">
      <Terms xmlns="http://schemas.microsoft.com/office/infopath/2007/PartnerControls"/>
    </df723ab3fe1c4eb7a0b151674e7ac40d>
    <CMI_x0020_Number xmlns="6e1e0d04-4dd3-4283-b11f-2cadacbc36ab" xsi:nil="true"/>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Environment and Climate Change</TermName>
          <TermId xmlns="http://schemas.microsoft.com/office/infopath/2007/PartnerControls">b90772f5-2afa-408f-b8b8-93ad6baba774</TermId>
        </TermInfo>
      </Terms>
    </ic50d0a05a8e4d9791dac67f8a1e716c>
    <a25c4e3633654d669cbaa09ae6b70789 xmlns="9fd47c19-1c4a-4d7d-b342-c10cef269344">
      <Terms xmlns="http://schemas.microsoft.com/office/infopath/2007/PartnerControls"/>
    </a25c4e3633654d669cbaa09ae6b70789>
    <People_x0020_in_x0020_Image xmlns="a5f32de4-e402-4188-b034-e71ca7d22e54">
      <UserInfo>
        <DisplayName/>
        <AccountId xsi:nil="true"/>
        <AccountType/>
      </UserInfo>
    </People_x0020_in_x0020_Image>
    <wic_System_Copyright xmlns="http://schemas.microsoft.com/sharepoint/v3/fields">State of Victoria</wic_System_Copyright>
    <Resolution xmlns="a5f32de4-e402-4188-b034-e71ca7d22e54"/>
  </documentManagement>
</p:properties>
</file>

<file path=customXml/item7.xml><?xml version="1.0" encoding="utf-8"?>
<ct:contentTypeSchema xmlns:ct="http://schemas.microsoft.com/office/2006/metadata/contentType" xmlns:ma="http://schemas.microsoft.com/office/2006/metadata/properties/metaAttributes" ct:_="" ma:_="" ma:contentTypeName="DELWP Image" ma:contentTypeID="0x0101009148F5A04DDD49CBA7127AADA5FB792B00AADE34325A8B49CDA8BB4DB53328F2140086ACF6BE223CB5449DC222CEA6489BF700E6199FF75A0C744DA61B8012CBCF5447" ma:contentTypeVersion="8" ma:contentTypeDescription="The content is a primarily still visual representation other than text.  Includes electronic and physical representations such as images, photographs, maps and graphics.  For digital representations of physical resources, use a specific document type where possible.  – AGLS" ma:contentTypeScope="" ma:versionID="1d79a9a2e969d9ab1c9fa70a53fdce9d">
  <xsd:schema xmlns:xsd="http://www.w3.org/2001/XMLSchema" xmlns:xs="http://www.w3.org/2001/XMLSchema" xmlns:p="http://schemas.microsoft.com/office/2006/metadata/properties" xmlns:ns1="a5f32de4-e402-4188-b034-e71ca7d22e54" xmlns:ns2="http://schemas.microsoft.com/sharepoint/v3" xmlns:ns3="http://schemas.microsoft.com/sharepoint/v3/fields" xmlns:ns4="f69348f0-4c32-4de8-8eea-8dd31e89e17f" xmlns:ns5="9fd47c19-1c4a-4d7d-b342-c10cef269344" xmlns:ns6="6e1e0d04-4dd3-4283-b11f-2cadacbc36ab" targetNamespace="http://schemas.microsoft.com/office/2006/metadata/properties" ma:root="true" ma:fieldsID="dd816a82b85e491e3c2abe673bafcbbb" ns1:_="" ns2:_="" ns3:_="" ns4:_="" ns5:_="" ns6:_="">
    <xsd:import namespace="a5f32de4-e402-4188-b034-e71ca7d22e54"/>
    <xsd:import namespace="http://schemas.microsoft.com/sharepoint/v3"/>
    <xsd:import namespace="http://schemas.microsoft.com/sharepoint/v3/fields"/>
    <xsd:import namespace="f69348f0-4c32-4de8-8eea-8dd31e89e17f"/>
    <xsd:import namespace="9fd47c19-1c4a-4d7d-b342-c10cef269344"/>
    <xsd:import namespace="6e1e0d04-4dd3-4283-b11f-2cadacbc36ab"/>
    <xsd:element name="properties">
      <xsd:complexType>
        <xsd:sequence>
          <xsd:element name="documentManagement">
            <xsd:complexType>
              <xsd:all>
                <xsd:element ref="ns1:_dlc_DocIdUrl" minOccurs="0"/>
                <xsd:element ref="ns1:_dlc_DocId" minOccurs="0"/>
                <xsd:element ref="ns2:RoutingRuleDescription"/>
                <xsd:element ref="ns1:Event_x0020_Name" minOccurs="0"/>
                <xsd:element ref="ns1:People_x0020_in_x0020_Image" minOccurs="0"/>
                <xsd:element ref="ns1:Location_x0020_Value" minOccurs="0"/>
                <xsd:element ref="ns2:URL" minOccurs="0"/>
                <xsd:element ref="ns3:wic_System_Copyright"/>
                <xsd:element ref="ns2:Language"/>
                <xsd:element ref="ns1:Resolution"/>
                <xsd:element ref="ns3:ImageCreateDate" minOccurs="0"/>
                <xsd:element ref="ns5:mfe9accc5a0b4653a7b513b67ffd122d" minOccurs="0"/>
                <xsd:element ref="ns5:df723ab3fe1c4eb7a0b151674e7ac40d" minOccurs="0"/>
                <xsd:element ref="ns3:ImageWidth" minOccurs="0"/>
                <xsd:element ref="ns5:o85941e134754762b9719660a258a6e6" minOccurs="0"/>
                <xsd:element ref="ns2:ThumbnailExists" minOccurs="0"/>
                <xsd:element ref="ns3:ImageHeight" minOccurs="0"/>
                <xsd:element ref="ns5:fb3179c379644f499d7166d0c985669b" minOccurs="0"/>
                <xsd:element ref="ns5:n771d69a070c4babbf278c67c8a2b859" minOccurs="0"/>
                <xsd:element ref="ns5:ic50d0a05a8e4d9791dac67f8a1e716c" minOccurs="0"/>
                <xsd:element ref="ns2:HTML_x0020_File_x0020_Type" minOccurs="0"/>
                <xsd:element ref="ns5:o2e611f6ba3e4c8f9a895dfb7980639e" minOccurs="0"/>
                <xsd:element ref="ns2:FSObjType" minOccurs="0"/>
                <xsd:element ref="ns5:k1bd994a94c2413797db3bab8f123f6f" minOccurs="0"/>
                <xsd:element ref="ns2:FileRef" minOccurs="0"/>
                <xsd:element ref="ns5:pd01c257034b4e86b1f58279a3bd54c6" minOccurs="0"/>
                <xsd:element ref="ns5:a25c4e3633654d669cbaa09ae6b70789" minOccurs="0"/>
                <xsd:element ref="ns2:File_x0020_Type" minOccurs="0"/>
                <xsd:element ref="ns5:ece32f50ba964e1fbf627a9d83fe6c01" minOccurs="0"/>
                <xsd:element ref="ns2:PreviewExists" minOccurs="0"/>
                <xsd:element ref="ns1:_dlc_DocIdPersistId" minOccurs="0"/>
                <xsd:element ref="ns5:TaxCatchAll" minOccurs="0"/>
                <xsd:element ref="ns5:TaxCatchAllLabel" minOccurs="0"/>
                <xsd:element ref="ns4:kd1afe63598044c081c46c46ce9365fb" minOccurs="0"/>
                <xsd:element ref="ns6:CMI_x0020_Number" minOccurs="0"/>
                <xsd:element ref="ns4:m000ba088b744ce08bb8278142651c9c"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 nillable="true" ma:displayName="Document ID Value" ma:description="The value of the document ID assigned to this item." ma:internalName="_dlc_DocId" ma:readOnly="true">
      <xsd:simpleType>
        <xsd:restriction base="dms:Text"/>
      </xsd:simpleType>
    </xsd:element>
    <xsd:element name="Event_x0020_Name" ma:index="5" nillable="true" ma:displayName="Event Name" ma:description="The name/title of the event, function or activity including meeting - DEPI" ma:internalName="Event_x0020_Name" ma:readOnly="false">
      <xsd:simpleType>
        <xsd:restriction base="dms:Text">
          <xsd:maxLength value="255"/>
        </xsd:restriction>
      </xsd:simpleType>
    </xsd:element>
    <xsd:element name="People_x0020_in_x0020_Image" ma:index="6" nillable="true" ma:displayName="People in Image" ma:list="UserInfo" ma:SharePointGroup="0" ma:internalName="People_x0020_in_x0020_Imag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ocation_x0020_Value" ma:index="8" nillable="true" ma:displayName="Location Value" ma:internalName="Location_x0020_Value" ma:readOnly="false">
      <xsd:simpleType>
        <xsd:restriction base="dms:Text">
          <xsd:maxLength value="255"/>
        </xsd:restriction>
      </xsd:simpleType>
    </xsd:element>
    <xsd:element name="Resolution" ma:index="22" ma:displayName="Resolution" ma:internalName="Resolution" ma:readOnly="false">
      <xsd:simpleType>
        <xsd:restriction base="dms:Text">
          <xsd:maxLength value="255"/>
        </xsd:restriction>
      </xsd:simpleType>
    </xsd:element>
    <xsd:element name="_dlc_DocIdPersistId" ma:index="5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4" ma:displayName="Description" ma:description="" ma:internalName="RoutingRuleDescription" ma:readOnly="false">
      <xsd:simpleType>
        <xsd:restriction base="dms:Text">
          <xsd:maxLength value="255"/>
        </xsd:restriction>
      </xsd:simpleType>
    </xsd:element>
    <xsd:element name="URL" ma:index="9" nillable="true" ma:displayName="URL" ma:format="Hyperlink"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Language" ma:index="21" ma:displayName="Language" ma:default="English"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element name="ThumbnailExists" ma:index="36" nillable="true" ma:displayName="Thumbnail Exists" ma:default="FALSE" ma:hidden="true" ma:internalName="ThumbnailExists" ma:readOnly="true">
      <xsd:simpleType>
        <xsd:restriction base="dms:Boolean"/>
      </xsd:simpleType>
    </xsd:element>
    <xsd:element name="HTML_x0020_File_x0020_Type" ma:index="44" nillable="true" ma:displayName="HTML File Type" ma:hidden="true" ma:internalName="HTML_x0020_File_x0020_Type" ma:readOnly="true">
      <xsd:simpleType>
        <xsd:restriction base="dms:Text"/>
      </xsd:simpleType>
    </xsd:element>
    <xsd:element name="FSObjType" ma:index="46" nillable="true" ma:displayName="Item Type" ma:hidden="true" ma:list="Docs" ma:internalName="FSObjType" ma:readOnly="true" ma:showField="FSType">
      <xsd:simpleType>
        <xsd:restriction base="dms:Lookup"/>
      </xsd:simpleType>
    </xsd:element>
    <xsd:element name="FileRef" ma:index="51" nillable="true" ma:displayName="URL Path" ma:hidden="true" ma:list="Docs" ma:internalName="FileRef" ma:readOnly="true" ma:showField="FullUrl">
      <xsd:simpleType>
        <xsd:restriction base="dms:Lookup"/>
      </xsd:simpleType>
    </xsd:element>
    <xsd:element name="File_x0020_Type" ma:index="55" nillable="true" ma:displayName="File Type" ma:hidden="true" ma:internalName="File_x0020_Type" ma:readOnly="true">
      <xsd:simpleType>
        <xsd:restriction base="dms:Text"/>
      </xsd:simpleType>
    </xsd:element>
    <xsd:element name="PreviewExists" ma:index="57" nillable="true" ma:displayName="Preview Exists" ma:default="FALSE" ma:hidden="true" ma:internalName="PreviewExists"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10" ma:displayName="Copyright" ma:default="State of Victoria" ma:internalName="wic_System_Copyright" ma:readOnly="false">
      <xsd:simpleType>
        <xsd:restriction base="dms:Text"/>
      </xsd:simpleType>
    </xsd:element>
    <xsd:element name="ImageCreateDate" ma:index="24" nillable="true" ma:displayName="Date Picture Taken" ma:description="" ma:format="DateTime" ma:hidden="true" ma:internalName="ImageCreateDate">
      <xsd:simpleType>
        <xsd:restriction base="dms:DateTime"/>
      </xsd:simpleType>
    </xsd:element>
    <xsd:element name="ImageWidth" ma:index="34" nillable="true" ma:displayName="Picture Width" ma:internalName="ImageWidth" ma:readOnly="true">
      <xsd:simpleType>
        <xsd:restriction base="dms:Unknown"/>
      </xsd:simpleType>
    </xsd:element>
    <xsd:element name="ImageHeight" ma:index="37" nillable="true" ma:displayName="Picture Height" ma:internalName="ImageHeigh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69348f0-4c32-4de8-8eea-8dd31e89e17f" elementFormDefault="qualified">
    <xsd:import namespace="http://schemas.microsoft.com/office/2006/documentManagement/types"/>
    <xsd:import namespace="http://schemas.microsoft.com/office/infopath/2007/PartnerControls"/>
    <xsd:element name="kd1afe63598044c081c46c46ce9365fb" ma:index="61" nillable="true" ma:taxonomy="true" ma:internalName="kd1afe63598044c081c46c46ce9365fb" ma:taxonomyFieldName="Records_x0020_Classification" ma:displayName="Records Classification" ma:readOnly="false" ma:fieldId="{4d1afe63-5980-44c0-81c4-6c46ce9365fb}" ma:sspId="797aeec6-0273-40f2-ab3e-beee73212332" ma:termSetId="934a390b-0445-42f4-98bf-e2bc0b525776" ma:anchorId="00000000-0000-0000-0000-000000000000" ma:open="true" ma:isKeyword="false">
      <xsd:complexType>
        <xsd:sequence>
          <xsd:element ref="pc:Terms" minOccurs="0" maxOccurs="1"/>
        </xsd:sequence>
      </xsd:complexType>
    </xsd:element>
    <xsd:element name="m000ba088b744ce08bb8278142651c9c" ma:index="64" nillable="true" ma:taxonomy="true" ma:internalName="m000ba088b744ce08bb8278142651c9c" ma:taxonomyFieldName="Document_x0020_type" ma:displayName="Document type" ma:default="" ma:fieldId="{6000ba08-8b74-4ce0-8bb8-278142651c9c}" ma:sspId="797aeec6-0273-40f2-ab3e-beee73212332" ma:termSetId="f649cf9e-8403-4de6-9a25-e6ab4663aa81"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mfe9accc5a0b4653a7b513b67ffd122d" ma:index="31" ma:taxonomy="true" ma:internalName="mfe9accc5a0b4653a7b513b67ffd122d" ma:taxonomyFieldName="Branch" ma:displayName="Branch" ma:default="6;#Arthur Rylah Institute|40bc2e25-0176-4bcf-8522-e378037ace7d"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df723ab3fe1c4eb7a0b151674e7ac40d" ma:index="33" nillable="true" ma:taxonomy="true" ma:internalName="df723ab3fe1c4eb7a0b151674e7ac40d" ma:taxonomyFieldName="Copyright_x0020_Licence_x0020_Name" ma:displayName="Copyright Licence Name" ma:readOnly="false" ma:fieldId="{df723ab3-fe1c-4eb7-a0b1-51674e7ac40d}" ma:sspId="797aeec6-0273-40f2-ab3e-beee73212332" ma:termSetId="e4377d11-87d7-49e8-9606-ca7eace7d3c9" ma:anchorId="00000000-0000-0000-0000-000000000000" ma:open="false" ma:isKeyword="false">
      <xsd:complexType>
        <xsd:sequence>
          <xsd:element ref="pc:Terms" minOccurs="0" maxOccurs="1"/>
        </xsd:sequence>
      </xsd:complexType>
    </xsd:element>
    <xsd:element name="o85941e134754762b9719660a258a6e6" ma:index="35" nillable="true" ma:taxonomy="true" ma:internalName="o85941e134754762b9719660a258a6e6" ma:taxonomyFieldName="Copyright_x0020_License_x0020_Type" ma:displayName="Copyright Licence Type" ma:readOnly="false" ma:fieldId="{885941e1-3475-4762-b971-9660a258a6e6}" ma:sspId="797aeec6-0273-40f2-ab3e-beee73212332" ma:termSetId="bb9b676e-cf55-4f23-8bdc-fe213b398fe8" ma:anchorId="00000000-0000-0000-0000-000000000000" ma:open="false" ma:isKeyword="false">
      <xsd:complexType>
        <xsd:sequence>
          <xsd:element ref="pc:Terms" minOccurs="0" maxOccurs="1"/>
        </xsd:sequence>
      </xsd:complexType>
    </xsd:element>
    <xsd:element name="fb3179c379644f499d7166d0c985669b" ma:index="38"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n771d69a070c4babbf278c67c8a2b859" ma:index="40" ma:taxonomy="true" ma:internalName="n771d69a070c4babbf278c67c8a2b859" ma:taxonomyFieldName="Division" ma:displayName="Division" ma:default="4;#Biodiversity|a369ff78-9705-4b66-a29c-499bde0c798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ic50d0a05a8e4d9791dac67f8a1e716c" ma:index="42" ma:taxonomy="true" ma:internalName="ic50d0a05a8e4d9791dac67f8a1e716c" ma:taxonomyFieldName="Group1" ma:displayName="Group" ma:default="9;#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o2e611f6ba3e4c8f9a895dfb7980639e" ma:index="45" nillable="true" ma:taxonomy="true" ma:internalName="o2e611f6ba3e4c8f9a895dfb7980639e" ma:taxonomyFieldName="Location_x0020_Type" ma:displayName="Location Type" ma:readOnly="false" ma:fieldId="{82e611f6-ba3e-4c8f-9a89-5dfb7980639e}" ma:sspId="797aeec6-0273-40f2-ab3e-beee73212332" ma:termSetId="648a561f-e369-4e31-b869-87da18c5c4f1" ma:anchorId="00000000-0000-0000-0000-000000000000" ma:open="false" ma:isKeyword="false">
      <xsd:complexType>
        <xsd:sequence>
          <xsd:element ref="pc:Terms" minOccurs="0" maxOccurs="1"/>
        </xsd:sequence>
      </xsd:complexType>
    </xsd:element>
    <xsd:element name="k1bd994a94c2413797db3bab8f123f6f" ma:index="50" nillable="true" ma:taxonomy="true" ma:internalName="k1bd994a94c2413797db3bab8f123f6f" ma:taxonomyFieldName="Section" ma:displayName="Section" ma:default="7;#Wildlife Ecology|6e539436-42e7-4d57-bad1-ce1c1c08dfa4"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pd01c257034b4e86b1f58279a3bd54c6" ma:index="52"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a25c4e3633654d669cbaa09ae6b70789" ma:index="54" nillable="true" ma:taxonomy="true" ma:internalName="a25c4e3633654d669cbaa09ae6b70789" ma:taxonomyFieldName="Sub_x002d_Section" ma:displayName="Sub-Section" ma:readOnly="false"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ece32f50ba964e1fbf627a9d83fe6c01" ma:index="56" ma:taxonomy="true" ma:internalName="ece32f50ba964e1fbf627a9d83fe6c01" ma:taxonomyFieldName="Agency" ma:displayName="Agency" ma:readOnly="fals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TaxCatchAll" ma:index="59" nillable="true" ma:displayName="Taxonomy Catch All Column" ma:hidden="true" ma:list="{daba3eda-6064-46d3-ab4d-995c1c483aac}" ma:internalName="TaxCatchAll" ma:showField="CatchAllData" ma:web="6e1e0d04-4dd3-4283-b11f-2cadacbc36ab">
      <xsd:complexType>
        <xsd:complexContent>
          <xsd:extension base="dms:MultiChoiceLookup">
            <xsd:sequence>
              <xsd:element name="Value" type="dms:Lookup" maxOccurs="unbounded" minOccurs="0" nillable="true"/>
            </xsd:sequence>
          </xsd:extension>
        </xsd:complexContent>
      </xsd:complexType>
    </xsd:element>
    <xsd:element name="TaxCatchAllLabel" ma:index="60" nillable="true" ma:displayName="Taxonomy Catch All Column1" ma:hidden="true" ma:list="{daba3eda-6064-46d3-ab4d-995c1c483aac}" ma:internalName="TaxCatchAllLabel" ma:readOnly="true" ma:showField="CatchAllDataLabel" ma:web="6e1e0d04-4dd3-4283-b11f-2cadacbc36a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1e0d04-4dd3-4283-b11f-2cadacbc36ab" elementFormDefault="qualified">
    <xsd:import namespace="http://schemas.microsoft.com/office/2006/documentManagement/types"/>
    <xsd:import namespace="http://schemas.microsoft.com/office/infopath/2007/PartnerControls"/>
    <xsd:element name="CMI_x0020_Number" ma:index="63" nillable="true" ma:displayName="CMI Number" ma:internalName="CMI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3" ma:displayName="Author"/>
        <xsd:element ref="dcterms:created" minOccurs="0" maxOccurs="1"/>
        <xsd:element ref="dc:identifier" minOccurs="0" maxOccurs="1"/>
        <xsd:element name="contentType" minOccurs="0" maxOccurs="1" type="xsd:string" ma:index="53" ma:displayName="Content Type"/>
        <xsd:element ref="dc:title" minOccurs="0" maxOccurs="1" ma:index="3" ma:displayName="Title"/>
        <xsd:element ref="dc:subject" minOccurs="0" maxOccurs="1"/>
        <xsd:element ref="dc:description" minOccurs="0" maxOccurs="1" ma:index="26" ma:displayName="Comments"/>
        <xsd:element name="keywords" minOccurs="0" maxOccurs="1" type="xsd:string" ma:index="25"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F1B1693-95A1-4EFC-A5E9-FA7EB9A06183}">
  <ds:schemaRefs>
    <ds:schemaRef ds:uri="http://schemas.openxmlformats.org/officeDocument/2006/bibliography"/>
  </ds:schemaRefs>
</ds:datastoreItem>
</file>

<file path=customXml/itemProps2.xml><?xml version="1.0" encoding="utf-8"?>
<ds:datastoreItem xmlns:ds="http://schemas.openxmlformats.org/officeDocument/2006/customXml" ds:itemID="{82BEC6F5-0F2B-408B-8A2C-3B0E7AB30560}">
  <ds:schemaRefs>
    <ds:schemaRef ds:uri="Microsoft.SharePoint.Taxonomy.ContentTypeSync"/>
  </ds:schemaRefs>
</ds:datastoreItem>
</file>

<file path=customXml/itemProps3.xml><?xml version="1.0" encoding="utf-8"?>
<ds:datastoreItem xmlns:ds="http://schemas.openxmlformats.org/officeDocument/2006/customXml" ds:itemID="{829A3FD6-5667-41E4-AFD0-9DDDCAFA4E76}">
  <ds:schemaRefs>
    <ds:schemaRef ds:uri="http://schemas.microsoft.com/sharepoint/v3/contenttype/forms"/>
  </ds:schemaRefs>
</ds:datastoreItem>
</file>

<file path=customXml/itemProps4.xml><?xml version="1.0" encoding="utf-8"?>
<ds:datastoreItem xmlns:ds="http://schemas.openxmlformats.org/officeDocument/2006/customXml" ds:itemID="{C179D3BF-BEEB-4A5B-893F-3A09E431FDD3}">
  <ds:schemaRefs>
    <ds:schemaRef ds:uri="http://schemas.microsoft.com/sharepoint/events"/>
  </ds:schemaRefs>
</ds:datastoreItem>
</file>

<file path=customXml/itemProps5.xml><?xml version="1.0" encoding="utf-8"?>
<ds:datastoreItem xmlns:ds="http://schemas.openxmlformats.org/officeDocument/2006/customXml" ds:itemID="{7F146803-8916-42DB-A4C1-A2E6C45F1E96}">
  <ds:schemaRefs>
    <ds:schemaRef ds:uri="http://schemas.openxmlformats.org/officeDocument/2006/bibliography"/>
  </ds:schemaRefs>
</ds:datastoreItem>
</file>

<file path=customXml/itemProps6.xml><?xml version="1.0" encoding="utf-8"?>
<ds:datastoreItem xmlns:ds="http://schemas.openxmlformats.org/officeDocument/2006/customXml" ds:itemID="{95B92834-FF79-4202-97D7-8DFCE6350DBA}">
  <ds:schemaRefs>
    <ds:schemaRef ds:uri="http://schemas.microsoft.com/office/2006/metadata/properties"/>
    <ds:schemaRef ds:uri="http://schemas.microsoft.com/office/infopath/2007/PartnerControls"/>
    <ds:schemaRef ds:uri="a5f32de4-e402-4188-b034-e71ca7d22e54"/>
    <ds:schemaRef ds:uri="9fd47c19-1c4a-4d7d-b342-c10cef269344"/>
    <ds:schemaRef ds:uri="http://schemas.microsoft.com/sharepoint/v3"/>
    <ds:schemaRef ds:uri="http://schemas.microsoft.com/sharepoint/v3/fields"/>
    <ds:schemaRef ds:uri="f69348f0-4c32-4de8-8eea-8dd31e89e17f"/>
    <ds:schemaRef ds:uri="6e1e0d04-4dd3-4283-b11f-2cadacbc36ab"/>
  </ds:schemaRefs>
</ds:datastoreItem>
</file>

<file path=customXml/itemProps7.xml><?xml version="1.0" encoding="utf-8"?>
<ds:datastoreItem xmlns:ds="http://schemas.openxmlformats.org/officeDocument/2006/customXml" ds:itemID="{217145C1-30C8-4E76-B308-A622336D9C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http://schemas.microsoft.com/sharepoint/v3"/>
    <ds:schemaRef ds:uri="http://schemas.microsoft.com/sharepoint/v3/fields"/>
    <ds:schemaRef ds:uri="f69348f0-4c32-4de8-8eea-8dd31e89e17f"/>
    <ds:schemaRef ds:uri="9fd47c19-1c4a-4d7d-b342-c10cef269344"/>
    <ds:schemaRef ds:uri="6e1e0d04-4dd3-4283-b11f-2cadacbc36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5 ARI Technical Report Template 2019.dotx</Template>
  <TotalTime>7</TotalTime>
  <Pages>54</Pages>
  <Words>88325</Words>
  <Characters>503457</Characters>
  <Application>Microsoft Office Word</Application>
  <DocSecurity>8</DocSecurity>
  <Lines>4195</Lines>
  <Paragraphs>1181</Paragraphs>
  <ScaleCrop>false</ScaleCrop>
  <HeadingPairs>
    <vt:vector size="2" baseType="variant">
      <vt:variant>
        <vt:lpstr>Title</vt:lpstr>
      </vt:variant>
      <vt:variant>
        <vt:i4>1</vt:i4>
      </vt:variant>
    </vt:vector>
  </HeadingPairs>
  <TitlesOfParts>
    <vt:vector size="1" baseType="lpstr">
      <vt:lpstr>Assessing the risks of endemic and exotic diseases to Victorian wildlife</vt:lpstr>
    </vt:vector>
  </TitlesOfParts>
  <Company/>
  <LinksUpToDate>false</LinksUpToDate>
  <CharactersWithSpaces>590601</CharactersWithSpaces>
  <SharedDoc>false</SharedDoc>
  <HLinks>
    <vt:vector size="108" baseType="variant">
      <vt:variant>
        <vt:i4>458830</vt:i4>
      </vt:variant>
      <vt:variant>
        <vt:i4>183</vt:i4>
      </vt:variant>
      <vt:variant>
        <vt:i4>0</vt:i4>
      </vt:variant>
      <vt:variant>
        <vt:i4>5</vt:i4>
      </vt:variant>
      <vt:variant>
        <vt:lpwstr>https://www.woah.org/en/home/</vt:lpwstr>
      </vt:variant>
      <vt:variant>
        <vt:lpwstr/>
      </vt:variant>
      <vt:variant>
        <vt:i4>4521996</vt:i4>
      </vt:variant>
      <vt:variant>
        <vt:i4>180</vt:i4>
      </vt:variant>
      <vt:variant>
        <vt:i4>0</vt:i4>
      </vt:variant>
      <vt:variant>
        <vt:i4>5</vt:i4>
      </vt:variant>
      <vt:variant>
        <vt:lpwstr>https://animalhealthaustralia.com.au/ausvetplan/</vt:lpwstr>
      </vt:variant>
      <vt:variant>
        <vt:lpwstr/>
      </vt:variant>
      <vt:variant>
        <vt:i4>7995451</vt:i4>
      </vt:variant>
      <vt:variant>
        <vt:i4>177</vt:i4>
      </vt:variant>
      <vt:variant>
        <vt:i4>0</vt:i4>
      </vt:variant>
      <vt:variant>
        <vt:i4>5</vt:i4>
      </vt:variant>
      <vt:variant>
        <vt:lpwstr>https://wildlifehealthaustralia.com.au/Resource-Centre/Fact-Sheets</vt:lpwstr>
      </vt:variant>
      <vt:variant>
        <vt:lpwstr/>
      </vt:variant>
      <vt:variant>
        <vt:i4>1376313</vt:i4>
      </vt:variant>
      <vt:variant>
        <vt:i4>134</vt:i4>
      </vt:variant>
      <vt:variant>
        <vt:i4>0</vt:i4>
      </vt:variant>
      <vt:variant>
        <vt:i4>5</vt:i4>
      </vt:variant>
      <vt:variant>
        <vt:lpwstr/>
      </vt:variant>
      <vt:variant>
        <vt:lpwstr>_Toc175744964</vt:lpwstr>
      </vt:variant>
      <vt:variant>
        <vt:i4>1376313</vt:i4>
      </vt:variant>
      <vt:variant>
        <vt:i4>125</vt:i4>
      </vt:variant>
      <vt:variant>
        <vt:i4>0</vt:i4>
      </vt:variant>
      <vt:variant>
        <vt:i4>5</vt:i4>
      </vt:variant>
      <vt:variant>
        <vt:lpwstr/>
      </vt:variant>
      <vt:variant>
        <vt:lpwstr>_Toc175744962</vt:lpwstr>
      </vt:variant>
      <vt:variant>
        <vt:i4>1376313</vt:i4>
      </vt:variant>
      <vt:variant>
        <vt:i4>119</vt:i4>
      </vt:variant>
      <vt:variant>
        <vt:i4>0</vt:i4>
      </vt:variant>
      <vt:variant>
        <vt:i4>5</vt:i4>
      </vt:variant>
      <vt:variant>
        <vt:lpwstr/>
      </vt:variant>
      <vt:variant>
        <vt:lpwstr>_Toc175744961</vt:lpwstr>
      </vt:variant>
      <vt:variant>
        <vt:i4>1376313</vt:i4>
      </vt:variant>
      <vt:variant>
        <vt:i4>113</vt:i4>
      </vt:variant>
      <vt:variant>
        <vt:i4>0</vt:i4>
      </vt:variant>
      <vt:variant>
        <vt:i4>5</vt:i4>
      </vt:variant>
      <vt:variant>
        <vt:lpwstr/>
      </vt:variant>
      <vt:variant>
        <vt:lpwstr>_Toc175744960</vt:lpwstr>
      </vt:variant>
      <vt:variant>
        <vt:i4>1441849</vt:i4>
      </vt:variant>
      <vt:variant>
        <vt:i4>107</vt:i4>
      </vt:variant>
      <vt:variant>
        <vt:i4>0</vt:i4>
      </vt:variant>
      <vt:variant>
        <vt:i4>5</vt:i4>
      </vt:variant>
      <vt:variant>
        <vt:lpwstr/>
      </vt:variant>
      <vt:variant>
        <vt:lpwstr>_Toc175744959</vt:lpwstr>
      </vt:variant>
      <vt:variant>
        <vt:i4>1441849</vt:i4>
      </vt:variant>
      <vt:variant>
        <vt:i4>101</vt:i4>
      </vt:variant>
      <vt:variant>
        <vt:i4>0</vt:i4>
      </vt:variant>
      <vt:variant>
        <vt:i4>5</vt:i4>
      </vt:variant>
      <vt:variant>
        <vt:lpwstr/>
      </vt:variant>
      <vt:variant>
        <vt:lpwstr>_Toc175744958</vt:lpwstr>
      </vt:variant>
      <vt:variant>
        <vt:i4>1441849</vt:i4>
      </vt:variant>
      <vt:variant>
        <vt:i4>95</vt:i4>
      </vt:variant>
      <vt:variant>
        <vt:i4>0</vt:i4>
      </vt:variant>
      <vt:variant>
        <vt:i4>5</vt:i4>
      </vt:variant>
      <vt:variant>
        <vt:lpwstr/>
      </vt:variant>
      <vt:variant>
        <vt:lpwstr>_Toc175744957</vt:lpwstr>
      </vt:variant>
      <vt:variant>
        <vt:i4>6488166</vt:i4>
      </vt:variant>
      <vt:variant>
        <vt:i4>6</vt:i4>
      </vt:variant>
      <vt:variant>
        <vt:i4>0</vt:i4>
      </vt:variant>
      <vt:variant>
        <vt:i4>5</vt:i4>
      </vt:variant>
      <vt:variant>
        <vt:lpwstr>http://creativecommons.org/licenses/by/4.0/</vt:lpwstr>
      </vt:variant>
      <vt:variant>
        <vt:lpwstr/>
      </vt:variant>
      <vt:variant>
        <vt:i4>6488166</vt:i4>
      </vt:variant>
      <vt:variant>
        <vt:i4>3</vt:i4>
      </vt:variant>
      <vt:variant>
        <vt:i4>0</vt:i4>
      </vt:variant>
      <vt:variant>
        <vt:i4>5</vt:i4>
      </vt:variant>
      <vt:variant>
        <vt:lpwstr>http://creativecommons.org/licenses/by/4.0/</vt:lpwstr>
      </vt:variant>
      <vt:variant>
        <vt:lpwstr/>
      </vt:variant>
      <vt:variant>
        <vt:i4>6881407</vt:i4>
      </vt:variant>
      <vt:variant>
        <vt:i4>0</vt:i4>
      </vt:variant>
      <vt:variant>
        <vt:i4>0</vt:i4>
      </vt:variant>
      <vt:variant>
        <vt:i4>5</vt:i4>
      </vt:variant>
      <vt:variant>
        <vt:lpwstr>http://www.ari.vic.gov.au/</vt:lpwstr>
      </vt:variant>
      <vt:variant>
        <vt:lpwstr/>
      </vt:variant>
      <vt:variant>
        <vt:i4>3276927</vt:i4>
      </vt:variant>
      <vt:variant>
        <vt:i4>9</vt:i4>
      </vt:variant>
      <vt:variant>
        <vt:i4>0</vt:i4>
      </vt:variant>
      <vt:variant>
        <vt:i4>5</vt:i4>
      </vt:variant>
      <vt:variant>
        <vt:lpwstr>https://mvs.unimelb.edu.au/research/one-health-research-group/projects/current/wildlife-health-victoria-surveillance</vt:lpwstr>
      </vt:variant>
      <vt:variant>
        <vt:lpwstr>events</vt:lpwstr>
      </vt:variant>
      <vt:variant>
        <vt:i4>7274561</vt:i4>
      </vt:variant>
      <vt:variant>
        <vt:i4>6</vt:i4>
      </vt:variant>
      <vt:variant>
        <vt:i4>0</vt:i4>
      </vt:variant>
      <vt:variant>
        <vt:i4>5</vt:i4>
      </vt:variant>
      <vt:variant>
        <vt:lpwstr>mailto:J.Welbergen@westernsydney.edu.au</vt:lpwstr>
      </vt:variant>
      <vt:variant>
        <vt:lpwstr/>
      </vt:variant>
      <vt:variant>
        <vt:i4>1179690</vt:i4>
      </vt:variant>
      <vt:variant>
        <vt:i4>3</vt:i4>
      </vt:variant>
      <vt:variant>
        <vt:i4>0</vt:i4>
      </vt:variant>
      <vt:variant>
        <vt:i4>5</vt:i4>
      </vt:variant>
      <vt:variant>
        <vt:lpwstr>mailto:C.Turbill@westernsydney.edu.au</vt:lpwstr>
      </vt:variant>
      <vt:variant>
        <vt:lpwstr/>
      </vt:variant>
      <vt:variant>
        <vt:i4>7340118</vt:i4>
      </vt:variant>
      <vt:variant>
        <vt:i4>0</vt:i4>
      </vt:variant>
      <vt:variant>
        <vt:i4>0</vt:i4>
      </vt:variant>
      <vt:variant>
        <vt:i4>5</vt:i4>
      </vt:variant>
      <vt:variant>
        <vt:lpwstr>mailto:michelle.wille@unimelb.edu.au</vt:lpwstr>
      </vt:variant>
      <vt:variant>
        <vt:lpwstr/>
      </vt:variant>
      <vt:variant>
        <vt:i4>1638431</vt:i4>
      </vt:variant>
      <vt:variant>
        <vt:i4>0</vt:i4>
      </vt:variant>
      <vt:variant>
        <vt:i4>0</vt:i4>
      </vt:variant>
      <vt:variant>
        <vt:i4>5</vt:i4>
      </vt:variant>
      <vt:variant>
        <vt:lpwstr>http://www.delwp.vic.gov.au/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Assessing the risks of endemic and exotic diseases to Victorian wildlife</dc:title>
  <dc:subject/>
  <dc:creator>Lindy F Lumsden (DELWP)</dc:creator>
  <cp:keywords/>
  <dc:description/>
  <cp:lastModifiedBy>Andrew Geschke (DEECA)</cp:lastModifiedBy>
  <cp:revision>7</cp:revision>
  <cp:lastPrinted>2025-05-23T01:27:00Z</cp:lastPrinted>
  <dcterms:created xsi:type="dcterms:W3CDTF">2025-05-23T01:19:00Z</dcterms:created>
  <dcterms:modified xsi:type="dcterms:W3CDTF">2025-07-15T00:12:00Z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0x0101009148F5A04DDD49CBA7127AADA5FB792B00AADE34325A8B49CDA8BB4DB53328F2140086ACF6BE223CB5449DC222CEA6489BF700E6199FF75A0C744DA61B8012CBCF5447</vt:lpwstr>
  </property>
  <property fmtid="{D5CDD505-2E9C-101B-9397-08002B2CF9AE}" pid="3" name="Agency">
    <vt:lpwstr>1;#Department of Environment, Land, Water and Planning|607a3f87-1228-4cd9-82a5-076aa8776274</vt:lpwstr>
  </property>
  <property fmtid="{D5CDD505-2E9C-101B-9397-08002B2CF9AE}" pid="4" name="Branch">
    <vt:lpwstr>6;#Arthur Rylah Institute|40bc2e25-0176-4bcf-8522-e378037ace7d</vt:lpwstr>
  </property>
  <property fmtid="{D5CDD505-2E9C-101B-9397-08002B2CF9AE}" pid="5" name="_dlc_DocIdItemGuid">
    <vt:lpwstr>052cc71a-dd63-4968-85d0-2811e54a617f</vt:lpwstr>
  </property>
  <property fmtid="{D5CDD505-2E9C-101B-9397-08002B2CF9AE}" pid="6" name="Division">
    <vt:lpwstr>4;#Biodiversity|a369ff78-9705-4b66-a29c-499bde0c7988</vt:lpwstr>
  </property>
  <property fmtid="{D5CDD505-2E9C-101B-9397-08002B2CF9AE}" pid="7" name="Dissemination Limiting Marker">
    <vt:lpwstr>2;#FOUO|955eb6fc-b35a-4808-8aa5-31e514fa3f26</vt:lpwstr>
  </property>
  <property fmtid="{D5CDD505-2E9C-101B-9397-08002B2CF9AE}" pid="8" name="Security Classification">
    <vt:lpwstr>3;#Unclassified|7fa379f4-4aba-4692-ab80-7d39d3a23cf4</vt:lpwstr>
  </property>
  <property fmtid="{D5CDD505-2E9C-101B-9397-08002B2CF9AE}" pid="9" name="MSIP_Label_4257e2ab-f512-40e2-9c9a-c64247360765_Enabled">
    <vt:lpwstr>true</vt:lpwstr>
  </property>
  <property fmtid="{D5CDD505-2E9C-101B-9397-08002B2CF9AE}" pid="10" name="MSIP_Label_4257e2ab-f512-40e2-9c9a-c64247360765_SetDate">
    <vt:lpwstr>2023-07-12T13:54:21Z</vt:lpwstr>
  </property>
  <property fmtid="{D5CDD505-2E9C-101B-9397-08002B2CF9AE}" pid="11" name="MSIP_Label_4257e2ab-f512-40e2-9c9a-c64247360765_Method">
    <vt:lpwstr>Privileged</vt:lpwstr>
  </property>
  <property fmtid="{D5CDD505-2E9C-101B-9397-08002B2CF9AE}" pid="12" name="MSIP_Label_4257e2ab-f512-40e2-9c9a-c64247360765_Name">
    <vt:lpwstr>OFFICIAL</vt:lpwstr>
  </property>
  <property fmtid="{D5CDD505-2E9C-101B-9397-08002B2CF9AE}" pid="13" name="MSIP_Label_4257e2ab-f512-40e2-9c9a-c64247360765_SiteId">
    <vt:lpwstr>e8bdd6f7-fc18-4e48-a554-7f547927223b</vt:lpwstr>
  </property>
  <property fmtid="{D5CDD505-2E9C-101B-9397-08002B2CF9AE}" pid="14" name="MSIP_Label_4257e2ab-f512-40e2-9c9a-c64247360765_ActionId">
    <vt:lpwstr>5e1b7eb0-5ee6-4127-97ec-4bd4876e6fd3</vt:lpwstr>
  </property>
  <property fmtid="{D5CDD505-2E9C-101B-9397-08002B2CF9AE}" pid="15" name="MSIP_Label_4257e2ab-f512-40e2-9c9a-c64247360765_ContentBits">
    <vt:lpwstr>2</vt:lpwstr>
  </property>
  <property fmtid="{D5CDD505-2E9C-101B-9397-08002B2CF9AE}" pid="16" name="Sub-Section">
    <vt:lpwstr/>
  </property>
  <property fmtid="{D5CDD505-2E9C-101B-9397-08002B2CF9AE}" pid="17" name="Document type">
    <vt:lpwstr/>
  </property>
  <property fmtid="{D5CDD505-2E9C-101B-9397-08002B2CF9AE}" pid="18" name="Records Classification">
    <vt:lpwstr/>
  </property>
  <property fmtid="{D5CDD505-2E9C-101B-9397-08002B2CF9AE}" pid="19" name="o85941e134754762b9719660a258a6e6">
    <vt:lpwstr/>
  </property>
  <property fmtid="{D5CDD505-2E9C-101B-9397-08002B2CF9AE}" pid="20" name="MediaServiceImageTags">
    <vt:lpwstr/>
  </property>
  <property fmtid="{D5CDD505-2E9C-101B-9397-08002B2CF9AE}" pid="21" name="Location_x0020_Type">
    <vt:lpwstr/>
  </property>
  <property fmtid="{D5CDD505-2E9C-101B-9397-08002B2CF9AE}" pid="22" name="Copyright_x0020_Licence_x0020_Name">
    <vt:lpwstr/>
  </property>
  <property fmtid="{D5CDD505-2E9C-101B-9397-08002B2CF9AE}" pid="23" name="df723ab3fe1c4eb7a0b151674e7ac40d">
    <vt:lpwstr/>
  </property>
  <property fmtid="{D5CDD505-2E9C-101B-9397-08002B2CF9AE}" pid="24" name="o2e611f6ba3e4c8f9a895dfb7980639e">
    <vt:lpwstr/>
  </property>
  <property fmtid="{D5CDD505-2E9C-101B-9397-08002B2CF9AE}" pid="25" name="lcf76f155ced4ddcb4097134ff3c332f">
    <vt:lpwstr/>
  </property>
  <property fmtid="{D5CDD505-2E9C-101B-9397-08002B2CF9AE}" pid="26" name="Copyright_x0020_License_x0020_Type">
    <vt:lpwstr/>
  </property>
  <property fmtid="{D5CDD505-2E9C-101B-9397-08002B2CF9AE}" pid="27" name="Copyright Licence Name">
    <vt:lpwstr/>
  </property>
  <property fmtid="{D5CDD505-2E9C-101B-9397-08002B2CF9AE}" pid="28" name="Copyright License Type">
    <vt:lpwstr/>
  </property>
  <property fmtid="{D5CDD505-2E9C-101B-9397-08002B2CF9AE}" pid="29" name="Location Type">
    <vt:lpwstr/>
  </property>
  <property fmtid="{D5CDD505-2E9C-101B-9397-08002B2CF9AE}" pid="30" name="Group1">
    <vt:lpwstr>9;#Environment and Climate Change|b90772f5-2afa-408f-b8b8-93ad6baba774</vt:lpwstr>
  </property>
  <property fmtid="{D5CDD505-2E9C-101B-9397-08002B2CF9AE}" pid="31" name="SharedWithUsers">
    <vt:lpwstr>40;#Dave S Ramsey (DEECA);#76;#Michael P Scroggie (DEECA)</vt:lpwstr>
  </property>
  <property fmtid="{D5CDD505-2E9C-101B-9397-08002B2CF9AE}" pid="32" name="ZOTERO_PREF_1">
    <vt:lpwstr>&lt;data data-version="3" zotero-version="6.0.36"&gt;&lt;session id="UN8xZqLg"/&gt;&lt;style id="http://www.zotero.org/styles/wildlife-research" hasBibliography="1" bibliographyStyleHasBeenSet="1"/&gt;&lt;prefs&gt;&lt;pref name="fieldType" value="Field"/&gt;&lt;/prefs&gt;&lt;/data&gt;</vt:lpwstr>
  </property>
  <property fmtid="{D5CDD505-2E9C-101B-9397-08002B2CF9AE}" pid="33" name="Security_x0020_Classification">
    <vt:lpwstr>3;#Unclassified|7fa379f4-4aba-4692-ab80-7d39d3a23cf4</vt:lpwstr>
  </property>
  <property fmtid="{D5CDD505-2E9C-101B-9397-08002B2CF9AE}" pid="34" name="Dissemination_x0020_Limiting_x0020_Marker">
    <vt:lpwstr>2;#FOUO|955eb6fc-b35a-4808-8aa5-31e514fa3f26</vt:lpwstr>
  </property>
  <property fmtid="{D5CDD505-2E9C-101B-9397-08002B2CF9AE}" pid="35" name="Records Class Project">
    <vt:lpwstr>243;#Reporting - Project / Program Evaluation|a5a6bee4-f827-49d9-a73e-dea4bb37a6ce</vt:lpwstr>
  </property>
  <property fmtid="{D5CDD505-2E9C-101B-9397-08002B2CF9AE}" pid="36" name="Records_x0020_Class_x0020_Project">
    <vt:lpwstr>243;#Reporting - Project / Program Evaluation|a5a6bee4-f827-49d9-a73e-dea4bb37a6ce</vt:lpwstr>
  </property>
  <property fmtid="{D5CDD505-2E9C-101B-9397-08002B2CF9AE}" pid="37" name="Record Purpose">
    <vt:lpwstr/>
  </property>
  <property fmtid="{D5CDD505-2E9C-101B-9397-08002B2CF9AE}" pid="38" name="Record_x0020_Purpose">
    <vt:lpwstr/>
  </property>
  <property fmtid="{D5CDD505-2E9C-101B-9397-08002B2CF9AE}" pid="39" name="Department_x0020_Document_x0020_Type">
    <vt:lpwstr/>
  </property>
  <property fmtid="{D5CDD505-2E9C-101B-9397-08002B2CF9AE}" pid="40" name="Department Document Type">
    <vt:lpwstr/>
  </property>
  <property fmtid="{D5CDD505-2E9C-101B-9397-08002B2CF9AE}" pid="41" name="_dlc_DocId">
    <vt:lpwstr>DOCID94-329244477-404</vt:lpwstr>
  </property>
  <property fmtid="{D5CDD505-2E9C-101B-9397-08002B2CF9AE}" pid="42" name="_dlc_DocIdUrl">
    <vt:lpwstr>https://delwpvicgovau.sharepoint.com/sites/ecm_94/_layouts/15/DocIdRedir.aspx?ID=DOCID94-329244477-404, DOCID94-329244477-404</vt:lpwstr>
  </property>
  <property fmtid="{D5CDD505-2E9C-101B-9397-08002B2CF9AE}" pid="43" name="_dlc_DocIdPersistId">
    <vt:lpwstr/>
  </property>
  <property fmtid="{D5CDD505-2E9C-101B-9397-08002B2CF9AE}" pid="44" name="TaxCatchAll">
    <vt:lpwstr/>
  </property>
  <property fmtid="{D5CDD505-2E9C-101B-9397-08002B2CF9AE}" pid="45" name="ARIContact">
    <vt:lpwstr/>
  </property>
  <property fmtid="{D5CDD505-2E9C-101B-9397-08002B2CF9AE}" pid="46" name="Section">
    <vt:lpwstr>7;#Wildlife Ecology|6e539436-42e7-4d57-bad1-ce1c1c08dfa4</vt:lpwstr>
  </property>
  <property fmtid="{D5CDD505-2E9C-101B-9397-08002B2CF9AE}" pid="47" name="Records_x0020_Classification">
    <vt:lpwstr/>
  </property>
  <property fmtid="{D5CDD505-2E9C-101B-9397-08002B2CF9AE}" pid="48" name="Sub_x002d_Section">
    <vt:lpwstr/>
  </property>
  <property fmtid="{D5CDD505-2E9C-101B-9397-08002B2CF9AE}" pid="49" name="Document_x0020_type">
    <vt:lpwstr/>
  </property>
</Properties>
</file>