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11"/>
        <w:tblW w:w="10842" w:type="dxa"/>
        <w:tblLook w:val="01E0" w:firstRow="1" w:lastRow="1" w:firstColumn="1" w:lastColumn="1" w:noHBand="0" w:noVBand="0"/>
      </w:tblPr>
      <w:tblGrid>
        <w:gridCol w:w="10842"/>
      </w:tblGrid>
      <w:tr w:rsidR="00203F6C" w:rsidRPr="00F74678" w:rsidTr="00203F6C">
        <w:trPr>
          <w:trHeight w:hRule="exact" w:val="2410"/>
        </w:trPr>
        <w:tc>
          <w:tcPr>
            <w:tcW w:w="10842" w:type="dxa"/>
            <w:shd w:val="clear" w:color="auto" w:fill="auto"/>
          </w:tcPr>
          <w:bookmarkStart w:id="0" w:name="_GoBack"/>
          <w:bookmarkEnd w:id="0"/>
          <w:p w:rsidR="00203F6C" w:rsidRPr="00203F6C" w:rsidRDefault="00203F6C" w:rsidP="00203F6C">
            <w:pPr>
              <w:pStyle w:val="CertHBWhite"/>
              <w:rPr>
                <w:sz w:val="44"/>
                <w:szCs w:val="44"/>
              </w:rPr>
            </w:pPr>
            <w:r w:rsidRPr="00203F6C">
              <w:rPr>
                <w:noProof/>
                <w:sz w:val="44"/>
                <w:szCs w:val="44"/>
                <w:lang w:eastAsia="en-AU"/>
              </w:rPr>
              <mc:AlternateContent>
                <mc:Choice Requires="wps">
                  <w:drawing>
                    <wp:anchor distT="0" distB="0" distL="114300" distR="114300" simplePos="0" relativeHeight="251670016" behindDoc="0" locked="0" layoutInCell="1" allowOverlap="1" wp14:anchorId="626FF984" wp14:editId="7CC426D3">
                      <wp:simplePos x="0" y="0"/>
                      <wp:positionH relativeFrom="column">
                        <wp:posOffset>-72390</wp:posOffset>
                      </wp:positionH>
                      <wp:positionV relativeFrom="paragraph">
                        <wp:posOffset>1251433</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F6C" w:rsidRPr="00203F6C" w:rsidRDefault="00203F6C" w:rsidP="00203F6C">
                                  <w:pPr>
                                    <w:pStyle w:val="CertHDWhite"/>
                                    <w:rPr>
                                      <w:sz w:val="36"/>
                                      <w:szCs w:val="36"/>
                                    </w:rPr>
                                  </w:pPr>
                                  <w:r w:rsidRPr="00203F6C">
                                    <w:rPr>
                                      <w:sz w:val="36"/>
                                      <w:szCs w:val="36"/>
                                    </w:rPr>
                                    <w:t>Fact sheet 1 – VEFMAP Stage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98.55pt;width:440pt;height:29.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" filled="f" stroked="f">
                      <v:textbox>
                        <w:txbxContent>
                          <w:p w:rsidR="00203F6C" w:rsidRPr="00203F6C" w:rsidRDefault="00203F6C" w:rsidP="00203F6C">
                            <w:pPr>
                              <w:pStyle w:val="CertHDWhite"/>
                              <w:rPr>
                                <w:sz w:val="36"/>
                                <w:szCs w:val="36"/>
                              </w:rPr>
                            </w:pPr>
                            <w:r w:rsidRPr="00203F6C">
                              <w:rPr>
                                <w:sz w:val="36"/>
                                <w:szCs w:val="36"/>
                              </w:rPr>
                              <w:t>Fact sheet 1 – VEFMAP Stage 5</w:t>
                            </w:r>
                          </w:p>
                        </w:txbxContent>
                      </v:textbox>
                    </v:shape>
                  </w:pict>
                </mc:Fallback>
              </mc:AlternateContent>
            </w:r>
            <w:r w:rsidRPr="00203F6C">
              <w:rPr>
                <w:sz w:val="44"/>
                <w:szCs w:val="44"/>
              </w:rPr>
              <w:t>Benefits of environmental water – The Victorian Environmental Flow Monitoring and Assessment Program</w:t>
            </w:r>
          </w:p>
        </w:tc>
      </w:tr>
    </w:tbl>
    <w:p w:rsidR="00644C88" w:rsidRDefault="00683345" w:rsidP="006D471D">
      <w:pPr>
        <w:pStyle w:val="HA"/>
        <w:spacing w:after="480"/>
      </w:pPr>
      <w:r>
        <w:t xml:space="preserve">Managing environmental </w:t>
      </w:r>
      <w:r w:rsidR="00B33910">
        <w:t>water</w:t>
      </w:r>
      <w:r>
        <w:t xml:space="preserve"> in Victoria</w:t>
      </w:r>
    </w:p>
    <w:p w:rsidR="000064A4" w:rsidRPr="000064A4" w:rsidRDefault="000064A4" w:rsidP="000064A4">
      <w:pPr>
        <w:autoSpaceDE w:val="0"/>
        <w:autoSpaceDN w:val="0"/>
        <w:adjustRightInd w:val="0"/>
        <w:spacing w:after="40"/>
        <w:rPr>
          <w:rFonts w:eastAsia="Calibri" w:cs="Arial"/>
          <w:color w:val="228591"/>
          <w:sz w:val="24"/>
        </w:rPr>
      </w:pPr>
      <w:bookmarkStart w:id="1" w:name="Here"/>
      <w:bookmarkEnd w:id="1"/>
      <w:r w:rsidRPr="000064A4">
        <w:rPr>
          <w:rFonts w:eastAsia="Calibri" w:cs="Arial"/>
          <w:color w:val="228591"/>
          <w:sz w:val="24"/>
        </w:rPr>
        <w:t xml:space="preserve">‘Environmental </w:t>
      </w:r>
      <w:r w:rsidR="00B33910">
        <w:rPr>
          <w:rFonts w:eastAsia="Calibri" w:cs="Arial"/>
          <w:color w:val="228591"/>
          <w:sz w:val="24"/>
        </w:rPr>
        <w:t>water</w:t>
      </w:r>
      <w:r w:rsidR="00B33910" w:rsidRPr="000064A4">
        <w:rPr>
          <w:rFonts w:eastAsia="Calibri" w:cs="Arial"/>
          <w:color w:val="228591"/>
          <w:sz w:val="24"/>
        </w:rPr>
        <w:t xml:space="preserve">’ </w:t>
      </w:r>
      <w:r w:rsidRPr="000064A4">
        <w:rPr>
          <w:rFonts w:eastAsia="Calibri" w:cs="Arial"/>
          <w:color w:val="228591"/>
          <w:sz w:val="24"/>
        </w:rPr>
        <w:t xml:space="preserve">is water that is specifically allocated to protect and restore </w:t>
      </w:r>
      <w:r w:rsidR="003D6D17">
        <w:rPr>
          <w:rFonts w:eastAsia="Calibri" w:cs="Arial"/>
          <w:color w:val="228591"/>
          <w:sz w:val="24"/>
        </w:rPr>
        <w:t xml:space="preserve">a </w:t>
      </w:r>
      <w:r w:rsidRPr="000064A4">
        <w:rPr>
          <w:rFonts w:eastAsia="Calibri" w:cs="Arial"/>
          <w:color w:val="228591"/>
          <w:sz w:val="24"/>
        </w:rPr>
        <w:t xml:space="preserve">healthy environment within rivers, the floodplain, wetlands and estuaries. </w:t>
      </w:r>
    </w:p>
    <w:p w:rsidR="006E1455" w:rsidRPr="00683345" w:rsidRDefault="006E1455" w:rsidP="006E1455">
      <w:pPr>
        <w:pStyle w:val="HB"/>
      </w:pPr>
      <w:r>
        <w:t>Partnership</w:t>
      </w:r>
    </w:p>
    <w:p w:rsidR="006E1455" w:rsidRDefault="006E1455" w:rsidP="006E1455">
      <w:pPr>
        <w:autoSpaceDE w:val="0"/>
        <w:autoSpaceDN w:val="0"/>
        <w:adjustRightInd w:val="0"/>
        <w:spacing w:after="40"/>
      </w:pPr>
      <w:r>
        <w:t>Many ag</w:t>
      </w:r>
      <w:r w:rsidR="00F761D5" w:rsidRPr="0033591D">
        <w:t>encies</w:t>
      </w:r>
      <w:r w:rsidR="00F761D5">
        <w:t xml:space="preserve"> work together </w:t>
      </w:r>
      <w:r w:rsidR="000064A4">
        <w:t>to develop and implement environmental watering program</w:t>
      </w:r>
      <w:r w:rsidR="00056E71">
        <w:t>s</w:t>
      </w:r>
      <w:r w:rsidR="000064A4">
        <w:t xml:space="preserve"> in Victoria. This includes </w:t>
      </w:r>
      <w:r w:rsidR="0021679F">
        <w:t xml:space="preserve">the </w:t>
      </w:r>
      <w:r w:rsidR="008E6988">
        <w:t xml:space="preserve">Department of Environment, Land, Water </w:t>
      </w:r>
      <w:r>
        <w:t>and</w:t>
      </w:r>
      <w:r w:rsidR="008E6988">
        <w:t xml:space="preserve"> Planning (DELWP)</w:t>
      </w:r>
      <w:r>
        <w:t xml:space="preserve">, </w:t>
      </w:r>
      <w:r w:rsidR="000064A4">
        <w:t xml:space="preserve">the Victorian Environmental Water Holder </w:t>
      </w:r>
      <w:r>
        <w:t xml:space="preserve">(VEWH), </w:t>
      </w:r>
      <w:r w:rsidR="008E6988">
        <w:t>Catchment Management Authorities (CMAs)</w:t>
      </w:r>
      <w:r>
        <w:t xml:space="preserve">, land managers and </w:t>
      </w:r>
      <w:r w:rsidR="000064A4">
        <w:t xml:space="preserve">water </w:t>
      </w:r>
      <w:r w:rsidR="008E6988">
        <w:t>authorities</w:t>
      </w:r>
      <w:r>
        <w:t xml:space="preserve">, </w:t>
      </w:r>
      <w:r w:rsidR="003D6D17">
        <w:t xml:space="preserve">the </w:t>
      </w:r>
      <w:r>
        <w:t>Commonwealth Environmental Water Office (CEWO) and the Murray-Darling Basin Authority (MDBA).</w:t>
      </w:r>
    </w:p>
    <w:p w:rsidR="00704024" w:rsidRDefault="00704024" w:rsidP="000064A4">
      <w:pPr>
        <w:autoSpaceDE w:val="0"/>
        <w:autoSpaceDN w:val="0"/>
        <w:adjustRightInd w:val="0"/>
        <w:spacing w:after="40"/>
      </w:pPr>
    </w:p>
    <w:p w:rsidR="000064A4" w:rsidRDefault="008E6988" w:rsidP="000064A4">
      <w:pPr>
        <w:autoSpaceDE w:val="0"/>
        <w:autoSpaceDN w:val="0"/>
        <w:adjustRightInd w:val="0"/>
        <w:spacing w:after="40"/>
      </w:pPr>
      <w:r>
        <w:t>Water is a scarce resource and</w:t>
      </w:r>
      <w:r w:rsidR="000064A4">
        <w:t xml:space="preserve"> it is important to use environmental water as effectively as possible. Delivery of environmental water is targeted </w:t>
      </w:r>
      <w:r w:rsidR="002977F4">
        <w:t>to</w:t>
      </w:r>
      <w:r w:rsidR="000064A4">
        <w:t xml:space="preserve"> priority areas</w:t>
      </w:r>
      <w:r w:rsidR="002977F4">
        <w:t xml:space="preserve"> </w:t>
      </w:r>
      <w:r w:rsidR="00D66D95" w:rsidRPr="0033591D">
        <w:t>where significant environmental values exist</w:t>
      </w:r>
      <w:r w:rsidR="000064A4" w:rsidRPr="0033591D">
        <w:t>.</w:t>
      </w:r>
    </w:p>
    <w:p w:rsidR="000064A4" w:rsidRDefault="000064A4" w:rsidP="000064A4">
      <w:pPr>
        <w:autoSpaceDE w:val="0"/>
        <w:autoSpaceDN w:val="0"/>
        <w:adjustRightInd w:val="0"/>
        <w:spacing w:after="40"/>
      </w:pPr>
    </w:p>
    <w:p w:rsidR="0004692B" w:rsidRDefault="0004692B" w:rsidP="00644C88">
      <w:pPr>
        <w:pStyle w:val="HC"/>
      </w:pPr>
    </w:p>
    <w:p w:rsidR="00683345" w:rsidRPr="008153DC" w:rsidRDefault="00F761D5" w:rsidP="00683345">
      <w:pPr>
        <w:pStyle w:val="Caption"/>
        <w:rPr>
          <w:i/>
        </w:rPr>
      </w:pPr>
      <w:r w:rsidRPr="008153DC">
        <w:rPr>
          <w:i/>
        </w:rPr>
        <w:t xml:space="preserve">Environmental flows </w:t>
      </w:r>
      <w:r w:rsidR="00683345" w:rsidRPr="008153DC">
        <w:rPr>
          <w:i/>
        </w:rPr>
        <w:t>achieve many ecological benefit</w:t>
      </w:r>
      <w:r w:rsidR="006E1455" w:rsidRPr="008153DC">
        <w:rPr>
          <w:i/>
        </w:rPr>
        <w:t>s</w:t>
      </w:r>
    </w:p>
    <w:p w:rsidR="00683345" w:rsidRDefault="00683345" w:rsidP="00683345">
      <w:pPr>
        <w:pStyle w:val="Caption"/>
      </w:pPr>
    </w:p>
    <w:p w:rsidR="000064A4" w:rsidRPr="000064A4" w:rsidRDefault="000064A4" w:rsidP="00683345">
      <w:pPr>
        <w:pStyle w:val="HB"/>
      </w:pPr>
      <w:r w:rsidRPr="000064A4">
        <w:t>The Victorian Government approach - VEFMAP</w:t>
      </w:r>
    </w:p>
    <w:p w:rsidR="000064A4" w:rsidRDefault="000064A4" w:rsidP="000064A4">
      <w:pPr>
        <w:autoSpaceDE w:val="0"/>
        <w:autoSpaceDN w:val="0"/>
        <w:adjustRightInd w:val="0"/>
        <w:spacing w:after="40"/>
      </w:pPr>
      <w:r>
        <w:t>DELWP</w:t>
      </w:r>
      <w:r w:rsidR="0021679F">
        <w:t>,</w:t>
      </w:r>
      <w:r>
        <w:t xml:space="preserve"> </w:t>
      </w:r>
      <w:r w:rsidR="0021679F">
        <w:t xml:space="preserve">which </w:t>
      </w:r>
      <w:r>
        <w:t xml:space="preserve">plays a </w:t>
      </w:r>
      <w:r w:rsidR="0021679F">
        <w:t xml:space="preserve">key </w:t>
      </w:r>
      <w:r>
        <w:t>role in overseeing the environmental watering program</w:t>
      </w:r>
      <w:r w:rsidR="0021679F">
        <w:t xml:space="preserve">, </w:t>
      </w:r>
      <w:r w:rsidR="006E1455">
        <w:t>e</w:t>
      </w:r>
      <w:r>
        <w:t xml:space="preserve">stablished the Victorian Environmental Flows Monitoring and Assessment Program (VEFMAP) in 2005. </w:t>
      </w:r>
      <w:r w:rsidR="006E1455">
        <w:t xml:space="preserve">This </w:t>
      </w:r>
      <w:r>
        <w:t>is a large-scale, long-term monitoring program to assess e</w:t>
      </w:r>
      <w:r w:rsidR="00A3374D">
        <w:t>cosystem responses to environmental watering in eight regulated rivers</w:t>
      </w:r>
      <w:r w:rsidR="00203F6C">
        <w:t xml:space="preserve"> in Victoria</w:t>
      </w:r>
      <w:r>
        <w:t xml:space="preserve">. The results </w:t>
      </w:r>
      <w:r w:rsidR="00B34F84">
        <w:t xml:space="preserve">help </w:t>
      </w:r>
      <w:r>
        <w:t xml:space="preserve">inform decision-making for </w:t>
      </w:r>
      <w:r w:rsidR="00A3374D">
        <w:t xml:space="preserve">future </w:t>
      </w:r>
      <w:r>
        <w:t xml:space="preserve">environmental watering. </w:t>
      </w:r>
    </w:p>
    <w:p w:rsidR="000064A4" w:rsidRDefault="0021679F" w:rsidP="000064A4">
      <w:pPr>
        <w:pStyle w:val="HC"/>
      </w:pPr>
      <w:r>
        <w:rPr>
          <w:rFonts w:cs="Times New Roman"/>
          <w:b w:val="0"/>
          <w:sz w:val="22"/>
        </w:rPr>
        <w:t xml:space="preserve">A </w:t>
      </w:r>
      <w:r w:rsidR="00B34F84">
        <w:rPr>
          <w:rFonts w:cs="Times New Roman"/>
          <w:b w:val="0"/>
          <w:sz w:val="22"/>
        </w:rPr>
        <w:t xml:space="preserve">2014 </w:t>
      </w:r>
      <w:r>
        <w:rPr>
          <w:rFonts w:cs="Times New Roman"/>
          <w:b w:val="0"/>
          <w:sz w:val="22"/>
        </w:rPr>
        <w:t xml:space="preserve">review </w:t>
      </w:r>
      <w:r w:rsidR="00413E85">
        <w:rPr>
          <w:rFonts w:cs="Times New Roman"/>
          <w:b w:val="0"/>
          <w:sz w:val="22"/>
        </w:rPr>
        <w:t>of VEFMAP</w:t>
      </w:r>
      <w:r>
        <w:rPr>
          <w:rFonts w:cs="Times New Roman"/>
          <w:b w:val="0"/>
          <w:sz w:val="22"/>
        </w:rPr>
        <w:t xml:space="preserve"> recommended</w:t>
      </w:r>
      <w:r w:rsidR="00B34F84">
        <w:rPr>
          <w:rFonts w:cs="Times New Roman"/>
          <w:b w:val="0"/>
          <w:sz w:val="22"/>
        </w:rPr>
        <w:t xml:space="preserve"> that</w:t>
      </w:r>
      <w:r>
        <w:rPr>
          <w:rFonts w:cs="Times New Roman"/>
          <w:b w:val="0"/>
          <w:sz w:val="22"/>
        </w:rPr>
        <w:t xml:space="preserve"> </w:t>
      </w:r>
      <w:r w:rsidR="009C3EF0">
        <w:rPr>
          <w:rFonts w:cs="Times New Roman"/>
          <w:b w:val="0"/>
          <w:sz w:val="22"/>
        </w:rPr>
        <w:t>Stage 5</w:t>
      </w:r>
      <w:r>
        <w:rPr>
          <w:rFonts w:cs="Times New Roman"/>
          <w:b w:val="0"/>
          <w:sz w:val="22"/>
        </w:rPr>
        <w:t xml:space="preserve"> should focus </w:t>
      </w:r>
      <w:r w:rsidR="00B83CF6">
        <w:rPr>
          <w:rFonts w:cs="Times New Roman"/>
          <w:b w:val="0"/>
          <w:sz w:val="22"/>
        </w:rPr>
        <w:t xml:space="preserve">primarily </w:t>
      </w:r>
      <w:r>
        <w:rPr>
          <w:rFonts w:cs="Times New Roman"/>
          <w:b w:val="0"/>
          <w:sz w:val="22"/>
        </w:rPr>
        <w:t xml:space="preserve">on </w:t>
      </w:r>
      <w:r w:rsidR="00B83CF6">
        <w:rPr>
          <w:rFonts w:cs="Times New Roman"/>
          <w:b w:val="0"/>
          <w:sz w:val="22"/>
        </w:rPr>
        <w:t>the</w:t>
      </w:r>
      <w:r w:rsidR="00B33910">
        <w:rPr>
          <w:rFonts w:cs="Times New Roman"/>
          <w:b w:val="0"/>
          <w:sz w:val="22"/>
        </w:rPr>
        <w:t xml:space="preserve"> </w:t>
      </w:r>
      <w:r>
        <w:rPr>
          <w:rFonts w:cs="Times New Roman"/>
          <w:b w:val="0"/>
          <w:sz w:val="22"/>
        </w:rPr>
        <w:t xml:space="preserve">analysis of </w:t>
      </w:r>
      <w:r w:rsidR="00056E71">
        <w:rPr>
          <w:rFonts w:cs="Times New Roman"/>
          <w:b w:val="0"/>
          <w:sz w:val="22"/>
        </w:rPr>
        <w:t xml:space="preserve">native </w:t>
      </w:r>
      <w:r>
        <w:rPr>
          <w:rFonts w:cs="Times New Roman"/>
          <w:b w:val="0"/>
          <w:sz w:val="22"/>
        </w:rPr>
        <w:t>fish and riparian vegetation</w:t>
      </w:r>
      <w:r w:rsidR="00056E71">
        <w:rPr>
          <w:rFonts w:cs="Times New Roman"/>
          <w:b w:val="0"/>
          <w:sz w:val="22"/>
        </w:rPr>
        <w:t xml:space="preserve"> responses</w:t>
      </w:r>
      <w:r w:rsidR="00203F6C">
        <w:rPr>
          <w:rFonts w:cs="Times New Roman"/>
          <w:b w:val="0"/>
          <w:sz w:val="22"/>
        </w:rPr>
        <w:t xml:space="preserve"> to environmental water</w:t>
      </w:r>
      <w:r>
        <w:rPr>
          <w:rFonts w:cs="Times New Roman"/>
          <w:b w:val="0"/>
          <w:sz w:val="22"/>
        </w:rPr>
        <w:t>.</w:t>
      </w:r>
    </w:p>
    <w:p w:rsidR="000064A4" w:rsidRPr="000064A4" w:rsidRDefault="000064A4" w:rsidP="000064A4">
      <w:pPr>
        <w:pStyle w:val="HB"/>
      </w:pPr>
      <w:r w:rsidRPr="000064A4">
        <w:t>VEFMAP</w:t>
      </w:r>
      <w:r w:rsidR="00013B16">
        <w:t xml:space="preserve"> Stage 5</w:t>
      </w:r>
    </w:p>
    <w:p w:rsidR="006E1455" w:rsidRDefault="00B34F84" w:rsidP="006E1455">
      <w:pPr>
        <w:spacing w:after="40"/>
      </w:pPr>
      <w:r>
        <w:t xml:space="preserve">VEFMAP </w:t>
      </w:r>
      <w:r w:rsidR="000064A4">
        <w:t xml:space="preserve">Stage 5 </w:t>
      </w:r>
      <w:r w:rsidR="0050535D">
        <w:t>runs</w:t>
      </w:r>
      <w:r>
        <w:t xml:space="preserve"> from </w:t>
      </w:r>
      <w:r w:rsidR="000064A4">
        <w:t xml:space="preserve">March 2015 </w:t>
      </w:r>
      <w:r>
        <w:t>to</w:t>
      </w:r>
      <w:r w:rsidR="006E1455">
        <w:t xml:space="preserve"> June 2016. It is </w:t>
      </w:r>
      <w:r w:rsidR="000064A4">
        <w:t xml:space="preserve">led by </w:t>
      </w:r>
      <w:r w:rsidR="00A3374D">
        <w:t>the Arthur Rylah Institute (</w:t>
      </w:r>
      <w:r w:rsidR="000064A4">
        <w:t>ARI</w:t>
      </w:r>
      <w:r w:rsidR="00A3374D">
        <w:t>)</w:t>
      </w:r>
      <w:r w:rsidR="006E1455">
        <w:t xml:space="preserve">, in partnership with DELWP and </w:t>
      </w:r>
      <w:r w:rsidR="003D6D17">
        <w:t xml:space="preserve">the University of </w:t>
      </w:r>
      <w:r w:rsidR="006E1455">
        <w:t>Melbourne</w:t>
      </w:r>
      <w:r w:rsidR="000064A4">
        <w:t xml:space="preserve">. </w:t>
      </w:r>
      <w:r w:rsidR="006E1455">
        <w:t xml:space="preserve">A multi-agency Technical Reference Group also includes participants from the Glenelg Hopkins CMA, Goulburn-Broken CMA and independent scientists from </w:t>
      </w:r>
      <w:r w:rsidR="00343D66">
        <w:t>across Australia</w:t>
      </w:r>
      <w:r w:rsidR="00413E85">
        <w:t>.</w:t>
      </w:r>
    </w:p>
    <w:p w:rsidR="00D66D95" w:rsidRPr="009C3EF0" w:rsidRDefault="004A4216" w:rsidP="000064A4">
      <w:pPr>
        <w:spacing w:after="40"/>
        <w:rPr>
          <w:sz w:val="16"/>
          <w:szCs w:val="16"/>
        </w:rPr>
      </w:pPr>
      <w:r>
        <w:rPr>
          <w:noProof/>
          <w:lang w:eastAsia="en-AU"/>
        </w:rPr>
        <w:drawing>
          <wp:anchor distT="0" distB="0" distL="114300" distR="114300" simplePos="0" relativeHeight="251666944" behindDoc="1" locked="0" layoutInCell="1" allowOverlap="1" wp14:anchorId="04F73613" wp14:editId="1AE2382B">
            <wp:simplePos x="0" y="0"/>
            <wp:positionH relativeFrom="column">
              <wp:posOffset>-3363595</wp:posOffset>
            </wp:positionH>
            <wp:positionV relativeFrom="paragraph">
              <wp:posOffset>2881630</wp:posOffset>
            </wp:positionV>
            <wp:extent cx="2808605" cy="2106295"/>
            <wp:effectExtent l="0" t="0" r="0" b="8255"/>
            <wp:wrapTight wrapText="bothSides">
              <wp:wrapPolygon edited="0">
                <wp:start x="0" y="0"/>
                <wp:lineTo x="0" y="21489"/>
                <wp:lineTo x="21390" y="21489"/>
                <wp:lineTo x="2139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05_us2_lscape_1 May 2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8605" cy="2106295"/>
                    </a:xfrm>
                    <a:prstGeom prst="rect">
                      <a:avLst/>
                    </a:prstGeom>
                  </pic:spPr>
                </pic:pic>
              </a:graphicData>
            </a:graphic>
            <wp14:sizeRelH relativeFrom="page">
              <wp14:pctWidth>0</wp14:pctWidth>
            </wp14:sizeRelH>
            <wp14:sizeRelV relativeFrom="page">
              <wp14:pctHeight>0</wp14:pctHeight>
            </wp14:sizeRelV>
          </wp:anchor>
        </w:drawing>
      </w:r>
    </w:p>
    <w:p w:rsidR="0021679F" w:rsidRDefault="0021679F" w:rsidP="000064A4">
      <w:pPr>
        <w:spacing w:after="40"/>
      </w:pPr>
      <w:r>
        <w:t>Stage 5 objectives are</w:t>
      </w:r>
      <w:r w:rsidR="00203F6C">
        <w:t xml:space="preserve"> to</w:t>
      </w:r>
      <w:r>
        <w:t>:</w:t>
      </w:r>
    </w:p>
    <w:p w:rsidR="0021679F" w:rsidRDefault="0021679F" w:rsidP="0021679F">
      <w:pPr>
        <w:pStyle w:val="ListParagraph"/>
        <w:numPr>
          <w:ilvl w:val="0"/>
          <w:numId w:val="24"/>
        </w:numPr>
        <w:spacing w:after="40"/>
      </w:pPr>
      <w:r>
        <w:t>continue to demonstrate the ecological importance of environmental water</w:t>
      </w:r>
      <w:r w:rsidR="00261F8B">
        <w:t>.</w:t>
      </w:r>
    </w:p>
    <w:p w:rsidR="0021679F" w:rsidRDefault="0021679F" w:rsidP="0021679F">
      <w:pPr>
        <w:pStyle w:val="ListParagraph"/>
        <w:numPr>
          <w:ilvl w:val="0"/>
          <w:numId w:val="24"/>
        </w:numPr>
        <w:spacing w:after="40"/>
      </w:pPr>
      <w:r>
        <w:t>increase the effectiveness of VEFMAP’s contribution to adaptive management of environmental water,</w:t>
      </w:r>
      <w:r w:rsidR="00B34F84">
        <w:t xml:space="preserve"> including</w:t>
      </w:r>
      <w:r>
        <w:t xml:space="preserve"> refin</w:t>
      </w:r>
      <w:r w:rsidR="00B34F84">
        <w:t>ing</w:t>
      </w:r>
      <w:r>
        <w:t xml:space="preserve"> </w:t>
      </w:r>
      <w:r w:rsidR="00413E85">
        <w:t>our understanding of flow-biota relationships, undertaking</w:t>
      </w:r>
      <w:r>
        <w:t xml:space="preserve"> further data analys</w:t>
      </w:r>
      <w:r w:rsidR="00056E71">
        <w:t>e</w:t>
      </w:r>
      <w:r>
        <w:t>s</w:t>
      </w:r>
      <w:r w:rsidR="00B34F84">
        <w:t xml:space="preserve"> and</w:t>
      </w:r>
      <w:r>
        <w:t xml:space="preserve"> develop</w:t>
      </w:r>
      <w:r w:rsidR="00B34F84">
        <w:t>ing</w:t>
      </w:r>
      <w:r>
        <w:t xml:space="preserve"> case studies</w:t>
      </w:r>
      <w:r w:rsidR="00B34F84">
        <w:t>.</w:t>
      </w:r>
    </w:p>
    <w:p w:rsidR="0050535D" w:rsidRDefault="001B2663" w:rsidP="0021679F">
      <w:pPr>
        <w:pStyle w:val="ListParagraph"/>
        <w:numPr>
          <w:ilvl w:val="0"/>
          <w:numId w:val="24"/>
        </w:numPr>
        <w:spacing w:after="40"/>
      </w:pPr>
      <w:r>
        <w:t xml:space="preserve">plan an approach for a proposed </w:t>
      </w:r>
      <w:r w:rsidR="0050535D">
        <w:t>Stage 6.</w:t>
      </w:r>
    </w:p>
    <w:p w:rsidR="00704024" w:rsidRDefault="000064A4" w:rsidP="009C3EF0">
      <w:pPr>
        <w:spacing w:before="120" w:after="40"/>
      </w:pPr>
      <w:r>
        <w:t>There is now</w:t>
      </w:r>
      <w:r w:rsidR="00704024" w:rsidRPr="00704024">
        <w:t xml:space="preserve"> </w:t>
      </w:r>
      <w:r w:rsidR="00704024">
        <w:t>an increased emphasis on:</w:t>
      </w:r>
    </w:p>
    <w:p w:rsidR="00704024" w:rsidRDefault="000064A4" w:rsidP="00704024">
      <w:pPr>
        <w:pStyle w:val="ListParagraph"/>
        <w:numPr>
          <w:ilvl w:val="0"/>
          <w:numId w:val="24"/>
        </w:numPr>
        <w:spacing w:after="40"/>
      </w:pPr>
      <w:r>
        <w:t>linking with complementary prog</w:t>
      </w:r>
      <w:r w:rsidR="00A3374D">
        <w:t xml:space="preserve">rams and data sources related to fish and vegetation response to </w:t>
      </w:r>
      <w:r w:rsidR="00704024">
        <w:t>flow</w:t>
      </w:r>
      <w:r w:rsidR="00A3374D">
        <w:t>s</w:t>
      </w:r>
      <w:r w:rsidR="00261F8B">
        <w:t>.</w:t>
      </w:r>
    </w:p>
    <w:p w:rsidR="00B34F84" w:rsidRDefault="000064A4" w:rsidP="00704024">
      <w:pPr>
        <w:pStyle w:val="ListParagraph"/>
        <w:numPr>
          <w:ilvl w:val="0"/>
          <w:numId w:val="24"/>
        </w:numPr>
        <w:spacing w:after="40"/>
      </w:pPr>
      <w:r>
        <w:lastRenderedPageBreak/>
        <w:t>sharing information and results broadly</w:t>
      </w:r>
      <w:r w:rsidR="00D623DC">
        <w:t xml:space="preserve"> </w:t>
      </w:r>
      <w:r w:rsidR="00407870">
        <w:t>with all stakeholders to highlight the benefits of environmental water.</w:t>
      </w:r>
      <w:r w:rsidR="0059486A">
        <w:t xml:space="preserve"> </w:t>
      </w:r>
    </w:p>
    <w:p w:rsidR="00413E85" w:rsidRPr="00413E85" w:rsidRDefault="00A3374D" w:rsidP="0050535D">
      <w:pPr>
        <w:pStyle w:val="ListParagraph"/>
        <w:numPr>
          <w:ilvl w:val="0"/>
          <w:numId w:val="24"/>
        </w:numPr>
        <w:spacing w:after="40"/>
      </w:pPr>
      <w:r w:rsidRPr="00413E85">
        <w:t xml:space="preserve">more targeted monitoring </w:t>
      </w:r>
      <w:r w:rsidR="00B34F84" w:rsidRPr="00413E85">
        <w:t xml:space="preserve">of specific </w:t>
      </w:r>
      <w:r w:rsidR="0040449C" w:rsidRPr="00413E85">
        <w:t xml:space="preserve">flow </w:t>
      </w:r>
      <w:r w:rsidR="00B34F84" w:rsidRPr="00413E85">
        <w:t>events</w:t>
      </w:r>
      <w:r w:rsidR="00F843DC" w:rsidRPr="00413E85">
        <w:t>, population responses</w:t>
      </w:r>
      <w:r w:rsidR="00B34F84" w:rsidRPr="00413E85">
        <w:t xml:space="preserve"> and </w:t>
      </w:r>
      <w:r w:rsidR="0040449C" w:rsidRPr="00413E85">
        <w:t>specific sites</w:t>
      </w:r>
      <w:r w:rsidR="00413E85">
        <w:t>.</w:t>
      </w:r>
      <w:r w:rsidRPr="00413E85">
        <w:t xml:space="preserve"> </w:t>
      </w:r>
    </w:p>
    <w:p w:rsidR="00B34F84" w:rsidRDefault="00B34F84" w:rsidP="000064A4">
      <w:pPr>
        <w:pStyle w:val="HB"/>
      </w:pPr>
      <w:r>
        <w:t>Meeting stakeholders’ needs</w:t>
      </w:r>
    </w:p>
    <w:p w:rsidR="00B34F84" w:rsidRDefault="0040449C" w:rsidP="00B34F84">
      <w:pPr>
        <w:spacing w:after="40"/>
      </w:pPr>
      <w:r>
        <w:t>In October 2015, ARI undertook a survey of stakehol</w:t>
      </w:r>
      <w:r w:rsidR="00B34F84">
        <w:t xml:space="preserve">ders within CMAs, Melbourne Water and VEWH </w:t>
      </w:r>
      <w:r>
        <w:t xml:space="preserve">to </w:t>
      </w:r>
      <w:r w:rsidR="003D6D17">
        <w:t>understand</w:t>
      </w:r>
      <w:r>
        <w:t xml:space="preserve"> their views on VEFMAP, and </w:t>
      </w:r>
      <w:r w:rsidR="003D6D17">
        <w:t xml:space="preserve">identify </w:t>
      </w:r>
      <w:r>
        <w:t>what they want and need from the program. The comprehensive feedback has provide</w:t>
      </w:r>
      <w:r w:rsidR="003D6D17">
        <w:t>d</w:t>
      </w:r>
      <w:r w:rsidRPr="0040449C">
        <w:t xml:space="preserve"> the project team with </w:t>
      </w:r>
      <w:r>
        <w:t>strong guidance for an</w:t>
      </w:r>
      <w:r w:rsidRPr="0040449C">
        <w:t xml:space="preserve"> approach to </w:t>
      </w:r>
      <w:r w:rsidR="00343D66">
        <w:t xml:space="preserve">deliver </w:t>
      </w:r>
      <w:r>
        <w:t xml:space="preserve">Stage 5 and </w:t>
      </w:r>
      <w:r w:rsidR="00343D66">
        <w:t xml:space="preserve">plan </w:t>
      </w:r>
      <w:r w:rsidR="001B2663">
        <w:t xml:space="preserve">a proposed </w:t>
      </w:r>
      <w:r w:rsidRPr="0040449C">
        <w:t>Stage 6</w:t>
      </w:r>
      <w:r>
        <w:t>.</w:t>
      </w:r>
    </w:p>
    <w:p w:rsidR="000064A4" w:rsidRPr="000064A4" w:rsidRDefault="00343D66" w:rsidP="000064A4">
      <w:pPr>
        <w:pStyle w:val="HB"/>
      </w:pPr>
      <w:r>
        <w:t>Key f</w:t>
      </w:r>
      <w:r w:rsidR="0040449C">
        <w:t xml:space="preserve">indings </w:t>
      </w:r>
    </w:p>
    <w:p w:rsidR="0040449C" w:rsidRDefault="0040449C" w:rsidP="0040449C">
      <w:pPr>
        <w:spacing w:after="40"/>
      </w:pPr>
      <w:r>
        <w:t xml:space="preserve">The </w:t>
      </w:r>
      <w:r w:rsidR="0097338C">
        <w:t xml:space="preserve">key findings of the </w:t>
      </w:r>
      <w:r w:rsidR="001C0C36">
        <w:t xml:space="preserve">Stage 5 </w:t>
      </w:r>
      <w:r>
        <w:t xml:space="preserve">analysis of VEFMAP and complementary data </w:t>
      </w:r>
      <w:r w:rsidR="0097338C">
        <w:t>include</w:t>
      </w:r>
      <w:r>
        <w:t xml:space="preserve"> that:</w:t>
      </w:r>
    </w:p>
    <w:p w:rsidR="0040449C" w:rsidRDefault="0040449C" w:rsidP="0040449C">
      <w:pPr>
        <w:pStyle w:val="ListParagraph"/>
        <w:numPr>
          <w:ilvl w:val="0"/>
          <w:numId w:val="29"/>
        </w:numPr>
        <w:spacing w:after="40"/>
      </w:pPr>
      <w:r>
        <w:t xml:space="preserve">VEFMAP as a large scale, long-term program, has provided valuable </w:t>
      </w:r>
      <w:r w:rsidRPr="001C0E79">
        <w:rPr>
          <w:b/>
        </w:rPr>
        <w:t xml:space="preserve">baseline </w:t>
      </w:r>
      <w:r w:rsidR="0059486A" w:rsidRPr="001C0E79">
        <w:rPr>
          <w:b/>
        </w:rPr>
        <w:t xml:space="preserve">information </w:t>
      </w:r>
      <w:r w:rsidR="0059486A">
        <w:rPr>
          <w:b/>
        </w:rPr>
        <w:t xml:space="preserve">on </w:t>
      </w:r>
      <w:r w:rsidRPr="001C0E79">
        <w:rPr>
          <w:b/>
        </w:rPr>
        <w:t>fish communit</w:t>
      </w:r>
      <w:r w:rsidR="0059486A">
        <w:rPr>
          <w:b/>
        </w:rPr>
        <w:t>ies</w:t>
      </w:r>
      <w:r w:rsidRPr="001C0E79">
        <w:rPr>
          <w:b/>
        </w:rPr>
        <w:t xml:space="preserve"> </w:t>
      </w:r>
      <w:r>
        <w:t xml:space="preserve">to support managers. The monitoring has confirmed the threatened status of 11 native fish species, and the dominance of non-native fish species such as </w:t>
      </w:r>
      <w:r w:rsidR="008153DC">
        <w:t>Carp</w:t>
      </w:r>
      <w:r>
        <w:t>.</w:t>
      </w:r>
    </w:p>
    <w:p w:rsidR="001C0E79" w:rsidRDefault="0097338C" w:rsidP="0040449C">
      <w:pPr>
        <w:pStyle w:val="ListParagraph"/>
        <w:numPr>
          <w:ilvl w:val="0"/>
          <w:numId w:val="29"/>
        </w:numPr>
        <w:spacing w:after="40"/>
      </w:pPr>
      <w:r>
        <w:t>s</w:t>
      </w:r>
      <w:r w:rsidR="001C0E79">
        <w:t xml:space="preserve">ome </w:t>
      </w:r>
      <w:r w:rsidR="001C0E79" w:rsidRPr="001C0E79">
        <w:rPr>
          <w:b/>
        </w:rPr>
        <w:t>patterns in abundance and distribution</w:t>
      </w:r>
      <w:r w:rsidR="001C0E79">
        <w:t xml:space="preserve"> of particular native and non-native fish species are apparent. These include recovery of Murray </w:t>
      </w:r>
      <w:proofErr w:type="spellStart"/>
      <w:r w:rsidR="008153DC">
        <w:t>Rainbowfish</w:t>
      </w:r>
      <w:proofErr w:type="spellEnd"/>
      <w:r w:rsidR="008153DC">
        <w:t xml:space="preserve"> </w:t>
      </w:r>
      <w:r w:rsidR="001C0E79">
        <w:t xml:space="preserve">in some northern rivers, range expansions of several native coastal fish species, and </w:t>
      </w:r>
      <w:r w:rsidR="003D6D17">
        <w:t xml:space="preserve">some </w:t>
      </w:r>
      <w:r w:rsidR="00F843DC">
        <w:t xml:space="preserve">spawning </w:t>
      </w:r>
      <w:r w:rsidR="001C0E79">
        <w:t xml:space="preserve">responses of </w:t>
      </w:r>
      <w:r w:rsidR="00261F8B">
        <w:t xml:space="preserve">Carp </w:t>
      </w:r>
      <w:r w:rsidR="001C0E79">
        <w:t>to flooding events</w:t>
      </w:r>
      <w:r w:rsidR="0050535D">
        <w:t>.</w:t>
      </w:r>
    </w:p>
    <w:p w:rsidR="00D623DC" w:rsidRDefault="00D623DC" w:rsidP="00D623DC">
      <w:pPr>
        <w:spacing w:after="40"/>
        <w:ind w:left="360"/>
      </w:pPr>
    </w:p>
    <w:p w:rsidR="001C0E79" w:rsidRDefault="0097338C" w:rsidP="0040449C">
      <w:pPr>
        <w:pStyle w:val="ListParagraph"/>
        <w:numPr>
          <w:ilvl w:val="0"/>
          <w:numId w:val="29"/>
        </w:numPr>
        <w:spacing w:after="40"/>
      </w:pPr>
      <w:r>
        <w:rPr>
          <w:b/>
        </w:rPr>
        <w:lastRenderedPageBreak/>
        <w:t>r</w:t>
      </w:r>
      <w:r w:rsidR="001C0E79" w:rsidRPr="001C0E79">
        <w:rPr>
          <w:b/>
        </w:rPr>
        <w:t>egional case studies</w:t>
      </w:r>
      <w:r w:rsidR="001C0E79">
        <w:t xml:space="preserve"> of Australian </w:t>
      </w:r>
      <w:r w:rsidR="008153DC">
        <w:t>Grayling</w:t>
      </w:r>
      <w:r w:rsidR="001C0E79">
        <w:t xml:space="preserve">, </w:t>
      </w:r>
      <w:r w:rsidR="003D6D17">
        <w:t>G</w:t>
      </w:r>
      <w:r w:rsidR="001C0E79">
        <w:t xml:space="preserve">olden </w:t>
      </w:r>
      <w:r w:rsidR="003D6D17">
        <w:t>P</w:t>
      </w:r>
      <w:r w:rsidR="001C0E79">
        <w:t xml:space="preserve">erch and </w:t>
      </w:r>
      <w:r w:rsidR="003D6D17">
        <w:t>S</w:t>
      </w:r>
      <w:r w:rsidR="001C0E79">
        <w:t xml:space="preserve">ilver </w:t>
      </w:r>
      <w:r w:rsidR="003D6D17">
        <w:t>P</w:t>
      </w:r>
      <w:r w:rsidR="001C0E79">
        <w:t>erch have identified ecological responses to environmental flows which can inform planning.</w:t>
      </w:r>
    </w:p>
    <w:p w:rsidR="001C0E79" w:rsidRPr="00D623DC" w:rsidRDefault="001C0E79" w:rsidP="001C0E79">
      <w:pPr>
        <w:pStyle w:val="ListParagraph"/>
        <w:spacing w:after="40"/>
        <w:rPr>
          <w:szCs w:val="22"/>
        </w:rPr>
      </w:pPr>
    </w:p>
    <w:p w:rsidR="00946DD3" w:rsidRDefault="001C0E79" w:rsidP="00946DD3">
      <w:r>
        <w:t xml:space="preserve">A final report on the </w:t>
      </w:r>
      <w:r w:rsidR="0059486A">
        <w:t xml:space="preserve">Stage 5 </w:t>
      </w:r>
      <w:r>
        <w:t xml:space="preserve">analyses will be available by June 2016. </w:t>
      </w:r>
      <w:r w:rsidR="0098570C">
        <w:t>F</w:t>
      </w:r>
      <w:r w:rsidR="00946DD3">
        <w:t xml:space="preserve">act sheets are </w:t>
      </w:r>
      <w:r w:rsidR="00F843DC">
        <w:t xml:space="preserve">also </w:t>
      </w:r>
      <w:r w:rsidR="00946DD3">
        <w:t xml:space="preserve">being developed to </w:t>
      </w:r>
      <w:r w:rsidR="0097338C">
        <w:t>summarise the results of the analyses, to support water manager</w:t>
      </w:r>
      <w:r w:rsidR="00F843DC">
        <w:t>s in designing and implementing future environmental watering events.</w:t>
      </w:r>
    </w:p>
    <w:p w:rsidR="001C0E79" w:rsidRPr="000064A4" w:rsidRDefault="001C0E79" w:rsidP="001C0E79">
      <w:pPr>
        <w:pStyle w:val="HB"/>
      </w:pPr>
      <w:r>
        <w:t>VEFMAP Stage 6</w:t>
      </w:r>
    </w:p>
    <w:p w:rsidR="00946DD3" w:rsidRDefault="0097338C">
      <w:r>
        <w:t xml:space="preserve">Early planning for </w:t>
      </w:r>
      <w:r w:rsidR="001B2663">
        <w:t xml:space="preserve">a proposed </w:t>
      </w:r>
      <w:r w:rsidR="00946DD3">
        <w:t xml:space="preserve">VEFMAP Stage 6 </w:t>
      </w:r>
      <w:r>
        <w:t xml:space="preserve">has commenced. There will be </w:t>
      </w:r>
      <w:r w:rsidR="00946DD3">
        <w:t>strong consultation with stakeholders</w:t>
      </w:r>
      <w:r>
        <w:t xml:space="preserve"> to ensure this program meets their needs</w:t>
      </w:r>
      <w:r w:rsidR="00946DD3">
        <w:t>.</w:t>
      </w:r>
      <w:r>
        <w:t xml:space="preserve"> This will involve forums</w:t>
      </w:r>
      <w:r w:rsidR="00F843DC" w:rsidRPr="00B6658A">
        <w:t xml:space="preserve"> with the CMAs and independent scientific input.</w:t>
      </w:r>
    </w:p>
    <w:p w:rsidR="00946DD3" w:rsidRPr="00D623DC" w:rsidRDefault="00946DD3">
      <w:pPr>
        <w:rPr>
          <w:szCs w:val="22"/>
        </w:rPr>
      </w:pPr>
    </w:p>
    <w:p w:rsidR="00946DD3" w:rsidRDefault="0097338C">
      <w:r>
        <w:t xml:space="preserve">VEFMAP Stage 6 </w:t>
      </w:r>
      <w:r w:rsidR="00946DD3">
        <w:t>w</w:t>
      </w:r>
      <w:r w:rsidR="0059486A">
        <w:t>ill</w:t>
      </w:r>
      <w:r w:rsidR="00946DD3">
        <w:t xml:space="preserve"> focus on:</w:t>
      </w:r>
    </w:p>
    <w:p w:rsidR="00946DD3" w:rsidRDefault="0050535D" w:rsidP="00946DD3">
      <w:pPr>
        <w:pStyle w:val="ListParagraph"/>
        <w:numPr>
          <w:ilvl w:val="0"/>
          <w:numId w:val="29"/>
        </w:numPr>
        <w:spacing w:after="40"/>
      </w:pPr>
      <w:r>
        <w:t>s</w:t>
      </w:r>
      <w:r w:rsidR="00946DD3">
        <w:t>trong science, best practice and use of an adaptive and consultative approach. It will be forward looking</w:t>
      </w:r>
      <w:r w:rsidR="00F843DC">
        <w:t xml:space="preserve"> and apply the scientific</w:t>
      </w:r>
      <w:r w:rsidR="00946DD3">
        <w:t xml:space="preserve"> learnings so far.</w:t>
      </w:r>
    </w:p>
    <w:p w:rsidR="00946DD3" w:rsidRDefault="0050535D" w:rsidP="00946DD3">
      <w:pPr>
        <w:pStyle w:val="ListParagraph"/>
        <w:numPr>
          <w:ilvl w:val="0"/>
          <w:numId w:val="29"/>
        </w:numPr>
        <w:spacing w:after="40"/>
      </w:pPr>
      <w:r>
        <w:t>d</w:t>
      </w:r>
      <w:r w:rsidR="00946DD3">
        <w:t>eveloping a series of regional and system</w:t>
      </w:r>
      <w:r w:rsidR="003D6D17">
        <w:t>-</w:t>
      </w:r>
      <w:r w:rsidR="00946DD3">
        <w:t>specific objectives</w:t>
      </w:r>
      <w:r w:rsidR="003D6D17">
        <w:t>.</w:t>
      </w:r>
    </w:p>
    <w:p w:rsidR="00946DD3" w:rsidRPr="00946DD3" w:rsidRDefault="005D190F" w:rsidP="00D623DC">
      <w:pPr>
        <w:pStyle w:val="ListParagraph"/>
        <w:numPr>
          <w:ilvl w:val="0"/>
          <w:numId w:val="29"/>
        </w:numPr>
        <w:spacing w:after="40"/>
      </w:pPr>
      <w:r w:rsidRPr="005D190F">
        <w:t>developing regional approaches that are based on clear hypotheses, spe</w:t>
      </w:r>
      <w:r w:rsidR="004A4216">
        <w:t>cies-specific conceptual models</w:t>
      </w:r>
      <w:r w:rsidRPr="005D190F">
        <w:t xml:space="preserve"> and practical monitoring methods.</w:t>
      </w:r>
      <w:r>
        <w:t xml:space="preserve"> </w:t>
      </w:r>
      <w:r w:rsidR="00F843DC">
        <w:t>The new approach</w:t>
      </w:r>
      <w:r w:rsidR="00946DD3">
        <w:t xml:space="preserve"> will be highly transferable among rivers, </w:t>
      </w:r>
      <w:r w:rsidR="00F843DC">
        <w:t>to</w:t>
      </w:r>
      <w:r w:rsidR="00946DD3">
        <w:t xml:space="preserve"> maximise the benefits at </w:t>
      </w:r>
      <w:r w:rsidR="00F843DC">
        <w:t>broad geographic</w:t>
      </w:r>
      <w:r w:rsidR="00946DD3">
        <w:t xml:space="preserve"> scales.</w:t>
      </w:r>
    </w:p>
    <w:sectPr w:rsidR="00946DD3" w:rsidRPr="00946DD3" w:rsidSect="00B87CF6">
      <w:headerReference w:type="default" r:id="rId9"/>
      <w:footerReference w:type="default" r:id="rId10"/>
      <w:headerReference w:type="first" r:id="rId11"/>
      <w:footerReference w:type="first" r:id="rId12"/>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76D" w:rsidRDefault="0065376D">
      <w:r>
        <w:separator/>
      </w:r>
    </w:p>
  </w:endnote>
  <w:endnote w:type="continuationSeparator" w:id="0">
    <w:p w:rsidR="0065376D" w:rsidRDefault="0065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88" w:rsidRPr="00644C88" w:rsidRDefault="00644C88" w:rsidP="00644C88">
    <w:pPr>
      <w:pBdr>
        <w:top w:val="dotted" w:sz="12" w:space="1" w:color="3BBEB4"/>
      </w:pBdr>
      <w:rPr>
        <w:rFonts w:ascii="Arial" w:hAnsi="Arial" w:cs="Arial"/>
        <w:sz w:val="8"/>
        <w:szCs w:val="8"/>
      </w:rPr>
    </w:pPr>
  </w:p>
  <w:tbl>
    <w:tblPr>
      <w:tblW w:w="10456" w:type="dxa"/>
      <w:tblLook w:val="01E0" w:firstRow="1" w:lastRow="1" w:firstColumn="1" w:lastColumn="1" w:noHBand="0" w:noVBand="0"/>
    </w:tblPr>
    <w:tblGrid>
      <w:gridCol w:w="5228"/>
      <w:gridCol w:w="5228"/>
    </w:tblGrid>
    <w:tr w:rsidR="0072604A" w:rsidRPr="0072604A" w:rsidTr="00786FA6">
      <w:trPr>
        <w:trHeight w:val="2241"/>
      </w:trPr>
      <w:tc>
        <w:tcPr>
          <w:tcW w:w="5228" w:type="dxa"/>
          <w:shd w:val="clear" w:color="auto" w:fill="auto"/>
        </w:tcPr>
        <w:p w:rsidR="0072604A" w:rsidRPr="0072604A" w:rsidRDefault="0072604A" w:rsidP="0072604A">
          <w:pPr>
            <w:pStyle w:val="ImprintText"/>
          </w:pPr>
          <w:r w:rsidRPr="0072604A">
            <w:t xml:space="preserve">© The State of Victoria Department of Environment, Land, Water and </w:t>
          </w:r>
          <w:r w:rsidRPr="0072604A">
            <w:br/>
            <w:t>Planning 201</w:t>
          </w:r>
          <w:r w:rsidR="008153DC">
            <w:t>6</w:t>
          </w:r>
        </w:p>
        <w:p w:rsidR="0072604A" w:rsidRPr="0072604A" w:rsidRDefault="0072604A" w:rsidP="0072604A">
          <w:pPr>
            <w:pStyle w:val="ImprintText"/>
          </w:pPr>
          <w:r w:rsidRPr="0072604A">
            <w:rPr>
              <w:noProof/>
              <w:lang w:eastAsia="en-AU"/>
            </w:rPr>
            <w:drawing>
              <wp:inline distT="0" distB="0" distL="0" distR="0" wp14:anchorId="5892ADE1" wp14:editId="0E25658B">
                <wp:extent cx="762000" cy="266700"/>
                <wp:effectExtent l="0" t="0" r="0" b="0"/>
                <wp:docPr id="2" name="Picture 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p>
        <w:p w:rsidR="0072604A" w:rsidRPr="0072604A" w:rsidRDefault="0072604A" w:rsidP="0072604A">
          <w:pPr>
            <w:pStyle w:val="ImprintText"/>
          </w:pPr>
          <w:r w:rsidRPr="0072604A">
            <w:t xml:space="preserve">This work is licensed under a Creative Commons Attribution 3.0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logo. To view a copy of this licence, visit </w:t>
          </w:r>
          <w:hyperlink r:id="rId2" w:history="1">
            <w:r w:rsidRPr="0072604A">
              <w:rPr>
                <w:color w:val="0000FF"/>
                <w:u w:val="single"/>
              </w:rPr>
              <w:t>http://creativecommons.org/licenses/by/3.0/au/deed.en</w:t>
            </w:r>
          </w:hyperlink>
        </w:p>
        <w:p w:rsidR="0072604A" w:rsidRDefault="0072604A" w:rsidP="004A4216">
          <w:pPr>
            <w:pStyle w:val="ImprintText"/>
            <w:spacing w:after="0" w:line="240" w:lineRule="auto"/>
          </w:pPr>
          <w:r w:rsidRPr="0072604A">
            <w:br/>
            <w:t xml:space="preserve">ISBN </w:t>
          </w:r>
          <w:r w:rsidR="008153DC" w:rsidRPr="008153DC">
            <w:t>978-1-74146-992-9</w:t>
          </w:r>
          <w:r w:rsidR="00D623DC">
            <w:t xml:space="preserve"> (pdf)</w:t>
          </w:r>
        </w:p>
        <w:p w:rsidR="00D623DC" w:rsidRPr="0072604A" w:rsidRDefault="00D623DC" w:rsidP="004A4216">
          <w:pPr>
            <w:pStyle w:val="ImprintText"/>
            <w:spacing w:after="0" w:line="240" w:lineRule="auto"/>
            <w:rPr>
              <w:b/>
              <w:bCs/>
            </w:rPr>
          </w:pPr>
          <w:r w:rsidRPr="00D623DC">
            <w:t>ISBN 978-1-76047-027-2 (</w:t>
          </w:r>
          <w:r>
            <w:t>p</w:t>
          </w:r>
          <w:r w:rsidRPr="00D623DC">
            <w:t>rint)</w:t>
          </w:r>
        </w:p>
      </w:tc>
      <w:tc>
        <w:tcPr>
          <w:tcW w:w="5228" w:type="dxa"/>
          <w:shd w:val="clear" w:color="auto" w:fill="auto"/>
        </w:tcPr>
        <w:p w:rsidR="0072604A" w:rsidRPr="0072604A" w:rsidRDefault="0072604A" w:rsidP="0072604A">
          <w:pPr>
            <w:pStyle w:val="ImprintText"/>
          </w:pPr>
          <w:r w:rsidRPr="0072604A">
            <w:rPr>
              <w:b/>
              <w:bCs/>
            </w:rPr>
            <w:t>Accessibility</w:t>
          </w:r>
          <w:r w:rsidRPr="0072604A">
            <w:br/>
            <w:t xml:space="preserve">If you would like to receive this publication in an alternative format, please telephone DELWP Customer Service Centre 136 186, email </w:t>
          </w:r>
          <w:hyperlink r:id="rId3" w:history="1">
            <w:r w:rsidRPr="0072604A">
              <w:rPr>
                <w:color w:val="0000FF"/>
                <w:u w:val="single"/>
              </w:rPr>
              <w:t>customer.service@delwp.vic.gov.au</w:t>
            </w:r>
          </w:hyperlink>
          <w:r w:rsidRPr="0072604A">
            <w:t xml:space="preserve">, via the National Relay Service on 133 677 </w:t>
          </w:r>
          <w:hyperlink r:id="rId4" w:history="1">
            <w:r w:rsidRPr="0072604A">
              <w:rPr>
                <w:color w:val="0000FF"/>
                <w:u w:val="single"/>
              </w:rPr>
              <w:t>www.relayservice.com.au</w:t>
            </w:r>
          </w:hyperlink>
          <w:r w:rsidRPr="0072604A">
            <w:t xml:space="preserve">. This document is also available on the internet at </w:t>
          </w:r>
          <w:hyperlink r:id="rId5" w:history="1">
            <w:r w:rsidRPr="0072604A">
              <w:rPr>
                <w:color w:val="0000FF"/>
                <w:u w:val="single"/>
              </w:rPr>
              <w:t>www.delwp.vic.gov.au</w:t>
            </w:r>
          </w:hyperlink>
          <w:r w:rsidRPr="0072604A">
            <w:br/>
          </w:r>
          <w:r w:rsidRPr="0072604A">
            <w:rPr>
              <w:b/>
              <w:bCs/>
            </w:rPr>
            <w:br/>
            <w:t>Disclaimer</w:t>
          </w:r>
          <w:r w:rsidRPr="0072604A">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p w:rsidR="002015AD" w:rsidRPr="0072604A" w:rsidRDefault="0072604A" w:rsidP="0072604A">
    <w:pPr>
      <w:spacing w:before="480"/>
      <w:rPr>
        <w:rFonts w:cs="Calibri"/>
        <w:color w:val="636466"/>
        <w:sz w:val="26"/>
      </w:rPr>
    </w:pPr>
    <w:r w:rsidRPr="0072604A">
      <w:rPr>
        <w:rFonts w:cs="Calibri"/>
        <w:color w:val="636466"/>
        <w:sz w:val="26"/>
      </w:rPr>
      <w:t>www.delwp.vic.gov.au</w:t>
    </w:r>
    <w:r w:rsidRPr="0072604A">
      <w:rPr>
        <w:rFonts w:cs="Calibri"/>
        <w:noProof/>
        <w:color w:val="636466"/>
        <w:sz w:val="54"/>
        <w:lang w:eastAsia="en-AU"/>
      </w:rPr>
      <w:drawing>
        <wp:anchor distT="0" distB="0" distL="114300" distR="114300" simplePos="0" relativeHeight="251660288" behindDoc="0" locked="0" layoutInCell="1" allowOverlap="1" wp14:anchorId="4BB53FF1" wp14:editId="0362CE1B">
          <wp:simplePos x="0" y="0"/>
          <wp:positionH relativeFrom="column">
            <wp:posOffset>4827270</wp:posOffset>
          </wp:positionH>
          <wp:positionV relativeFrom="paragraph">
            <wp:posOffset>107315</wp:posOffset>
          </wp:positionV>
          <wp:extent cx="1706880" cy="381000"/>
          <wp:effectExtent l="0" t="0" r="7620" b="0"/>
          <wp:wrapNone/>
          <wp:docPr id="4" name="Picture 4" descr="(DELWP) Insignia PMS541 Right 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WP) Insignia PMS541 Right Alig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6880" cy="381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BC0B9F" w:rsidP="002015AD">
    <w:pPr>
      <w:pStyle w:val="Footer"/>
    </w:pPr>
    <w:r>
      <w:rPr>
        <w:noProof/>
        <w:lang w:eastAsia="en-AU"/>
      </w:rPr>
      <w:drawing>
        <wp:anchor distT="0" distB="0" distL="114300" distR="114300" simplePos="0" relativeHeight="251658240" behindDoc="0" locked="0" layoutInCell="1" allowOverlap="1" wp14:anchorId="35423E4D" wp14:editId="495CE949">
          <wp:simplePos x="0" y="0"/>
          <wp:positionH relativeFrom="column">
            <wp:posOffset>4267200</wp:posOffset>
          </wp:positionH>
          <wp:positionV relativeFrom="paragraph">
            <wp:posOffset>0</wp:posOffset>
          </wp:positionV>
          <wp:extent cx="2157095" cy="481330"/>
          <wp:effectExtent l="0" t="0" r="0" b="0"/>
          <wp:wrapNone/>
          <wp:docPr id="17" name="Picture 17" descr="(DELWP) Insignia PMS541 Right 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LWP) Insignia PMS541 Right Alig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095" cy="481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76D" w:rsidRDefault="0065376D">
      <w:r>
        <w:separator/>
      </w:r>
    </w:p>
  </w:footnote>
  <w:footnote w:type="continuationSeparator" w:id="0">
    <w:p w:rsidR="0065376D" w:rsidRDefault="00653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18DA0BC1" wp14:editId="00019A8C">
                <wp:simplePos x="0" y="0"/>
                <wp:positionH relativeFrom="column">
                  <wp:posOffset>-407670</wp:posOffset>
                </wp:positionH>
                <wp:positionV relativeFrom="paragraph">
                  <wp:posOffset>5715</wp:posOffset>
                </wp:positionV>
                <wp:extent cx="6867525" cy="819150"/>
                <wp:effectExtent l="0" t="0" r="9525" b="0"/>
                <wp:wrapNone/>
                <wp:docPr id="13" name="Picture 1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F83A6F" w:rsidRDefault="000064A4" w:rsidP="000064A4">
          <w:pPr>
            <w:pStyle w:val="CertHDWhite"/>
            <w:tabs>
              <w:tab w:val="left" w:pos="7513"/>
            </w:tabs>
          </w:pPr>
          <w:r>
            <w:t>VEFMAP Stage 5</w:t>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00899537" wp14:editId="392E0352">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6" name="Picture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74D23"/>
    <w:multiLevelType w:val="hybridMultilevel"/>
    <w:tmpl w:val="D5BAC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190E55"/>
    <w:multiLevelType w:val="hybridMultilevel"/>
    <w:tmpl w:val="29342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041110"/>
    <w:multiLevelType w:val="hybridMultilevel"/>
    <w:tmpl w:val="9F3C28B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nsid w:val="238E3DEE"/>
    <w:multiLevelType w:val="hybridMultilevel"/>
    <w:tmpl w:val="28906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70902E0"/>
    <w:multiLevelType w:val="hybridMultilevel"/>
    <w:tmpl w:val="E0801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DA3480"/>
    <w:multiLevelType w:val="multilevel"/>
    <w:tmpl w:val="B946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4A7FF5"/>
    <w:multiLevelType w:val="hybridMultilevel"/>
    <w:tmpl w:val="470ACA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68683629"/>
    <w:multiLevelType w:val="hybridMultilevel"/>
    <w:tmpl w:val="1734739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5"/>
  </w:num>
  <w:num w:numId="14">
    <w:abstractNumId w:val="18"/>
  </w:num>
  <w:num w:numId="15">
    <w:abstractNumId w:val="24"/>
  </w:num>
  <w:num w:numId="16">
    <w:abstractNumId w:val="12"/>
  </w:num>
  <w:num w:numId="17">
    <w:abstractNumId w:val="24"/>
  </w:num>
  <w:num w:numId="18">
    <w:abstractNumId w:val="24"/>
  </w:num>
  <w:num w:numId="19">
    <w:abstractNumId w:val="24"/>
  </w:num>
  <w:num w:numId="20">
    <w:abstractNumId w:val="11"/>
  </w:num>
  <w:num w:numId="21">
    <w:abstractNumId w:val="14"/>
  </w:num>
  <w:num w:numId="22">
    <w:abstractNumId w:val="19"/>
  </w:num>
  <w:num w:numId="23">
    <w:abstractNumId w:val="21"/>
  </w:num>
  <w:num w:numId="24">
    <w:abstractNumId w:val="15"/>
  </w:num>
  <w:num w:numId="25">
    <w:abstractNumId w:val="13"/>
  </w:num>
  <w:num w:numId="26">
    <w:abstractNumId w:val="23"/>
  </w:num>
  <w:num w:numId="27">
    <w:abstractNumId w:val="20"/>
  </w:num>
  <w:num w:numId="28">
    <w:abstractNumId w:val="16"/>
  </w:num>
  <w:num w:numId="29">
    <w:abstractNumId w:val="1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attachedTemplate r:id="rId1"/>
  <w:documentProtection w:edit="readOnly" w:enforcement="1" w:cryptProviderType="rsaFull" w:cryptAlgorithmClass="hash" w:cryptAlgorithmType="typeAny" w:cryptAlgorithmSid="4" w:cryptSpinCount="100000" w:hash="ewIJ/z0LGkSZIgH6UZHvEivp8Rs=" w:salt="yOnHq64koPBRSczqMJ8COA=="/>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064A4"/>
    <w:rsid w:val="00012793"/>
    <w:rsid w:val="00013B16"/>
    <w:rsid w:val="00013D7A"/>
    <w:rsid w:val="00016636"/>
    <w:rsid w:val="0003050C"/>
    <w:rsid w:val="00034D96"/>
    <w:rsid w:val="0003535F"/>
    <w:rsid w:val="0004692B"/>
    <w:rsid w:val="00053700"/>
    <w:rsid w:val="00055FEF"/>
    <w:rsid w:val="00056E71"/>
    <w:rsid w:val="00063E31"/>
    <w:rsid w:val="000840BF"/>
    <w:rsid w:val="0008754B"/>
    <w:rsid w:val="00091E87"/>
    <w:rsid w:val="0009699E"/>
    <w:rsid w:val="000C3259"/>
    <w:rsid w:val="000C39E4"/>
    <w:rsid w:val="000E157A"/>
    <w:rsid w:val="000F6ED1"/>
    <w:rsid w:val="00120C40"/>
    <w:rsid w:val="00120F3F"/>
    <w:rsid w:val="00125376"/>
    <w:rsid w:val="00135491"/>
    <w:rsid w:val="00154577"/>
    <w:rsid w:val="00177115"/>
    <w:rsid w:val="00181FBC"/>
    <w:rsid w:val="001824DF"/>
    <w:rsid w:val="001A243B"/>
    <w:rsid w:val="001B2663"/>
    <w:rsid w:val="001C0C36"/>
    <w:rsid w:val="001C0E79"/>
    <w:rsid w:val="001C3014"/>
    <w:rsid w:val="001D223F"/>
    <w:rsid w:val="001E2024"/>
    <w:rsid w:val="002015AD"/>
    <w:rsid w:val="0020255B"/>
    <w:rsid w:val="00203F6C"/>
    <w:rsid w:val="002122D2"/>
    <w:rsid w:val="0021679F"/>
    <w:rsid w:val="00217D52"/>
    <w:rsid w:val="00220235"/>
    <w:rsid w:val="002358B5"/>
    <w:rsid w:val="00236DA4"/>
    <w:rsid w:val="00246D68"/>
    <w:rsid w:val="002526EA"/>
    <w:rsid w:val="0025594B"/>
    <w:rsid w:val="00261DCB"/>
    <w:rsid w:val="00261F8B"/>
    <w:rsid w:val="00265C25"/>
    <w:rsid w:val="00271B91"/>
    <w:rsid w:val="0027224D"/>
    <w:rsid w:val="00285925"/>
    <w:rsid w:val="002977F4"/>
    <w:rsid w:val="002B696E"/>
    <w:rsid w:val="002B7CC7"/>
    <w:rsid w:val="002C12E4"/>
    <w:rsid w:val="002C4BC3"/>
    <w:rsid w:val="002C5BA2"/>
    <w:rsid w:val="002D3CC8"/>
    <w:rsid w:val="002D680B"/>
    <w:rsid w:val="002E2EC1"/>
    <w:rsid w:val="002E4B16"/>
    <w:rsid w:val="002F1F31"/>
    <w:rsid w:val="00321F9E"/>
    <w:rsid w:val="00330679"/>
    <w:rsid w:val="003341BF"/>
    <w:rsid w:val="0033591D"/>
    <w:rsid w:val="003438C5"/>
    <w:rsid w:val="00343D66"/>
    <w:rsid w:val="00350482"/>
    <w:rsid w:val="0039604B"/>
    <w:rsid w:val="003C2962"/>
    <w:rsid w:val="003C400D"/>
    <w:rsid w:val="003D1813"/>
    <w:rsid w:val="003D6D17"/>
    <w:rsid w:val="003E0B9A"/>
    <w:rsid w:val="003F437F"/>
    <w:rsid w:val="003F5A5C"/>
    <w:rsid w:val="0040449C"/>
    <w:rsid w:val="00404EF3"/>
    <w:rsid w:val="00407870"/>
    <w:rsid w:val="00413E85"/>
    <w:rsid w:val="0043348E"/>
    <w:rsid w:val="004426E1"/>
    <w:rsid w:val="00453021"/>
    <w:rsid w:val="00455AC0"/>
    <w:rsid w:val="00456304"/>
    <w:rsid w:val="0047538B"/>
    <w:rsid w:val="004969C1"/>
    <w:rsid w:val="004A4216"/>
    <w:rsid w:val="004E4BDF"/>
    <w:rsid w:val="004E4DDF"/>
    <w:rsid w:val="004E6888"/>
    <w:rsid w:val="004F134C"/>
    <w:rsid w:val="0050535D"/>
    <w:rsid w:val="0050769F"/>
    <w:rsid w:val="00512102"/>
    <w:rsid w:val="005229C6"/>
    <w:rsid w:val="00524C52"/>
    <w:rsid w:val="005304F7"/>
    <w:rsid w:val="00534B38"/>
    <w:rsid w:val="00540762"/>
    <w:rsid w:val="00542102"/>
    <w:rsid w:val="00544B68"/>
    <w:rsid w:val="00557AFB"/>
    <w:rsid w:val="00557B17"/>
    <w:rsid w:val="00573E23"/>
    <w:rsid w:val="00575F3A"/>
    <w:rsid w:val="00582724"/>
    <w:rsid w:val="0059486A"/>
    <w:rsid w:val="005B3CE8"/>
    <w:rsid w:val="005C1100"/>
    <w:rsid w:val="005D190F"/>
    <w:rsid w:val="00603134"/>
    <w:rsid w:val="00606451"/>
    <w:rsid w:val="0061787A"/>
    <w:rsid w:val="00623482"/>
    <w:rsid w:val="006322A4"/>
    <w:rsid w:val="006425A4"/>
    <w:rsid w:val="00644C88"/>
    <w:rsid w:val="0065376D"/>
    <w:rsid w:val="00656186"/>
    <w:rsid w:val="0065656D"/>
    <w:rsid w:val="006741C5"/>
    <w:rsid w:val="00675636"/>
    <w:rsid w:val="00683345"/>
    <w:rsid w:val="006B4312"/>
    <w:rsid w:val="006B4688"/>
    <w:rsid w:val="006D471D"/>
    <w:rsid w:val="006E1455"/>
    <w:rsid w:val="006F53DB"/>
    <w:rsid w:val="006F707D"/>
    <w:rsid w:val="0070362A"/>
    <w:rsid w:val="00704024"/>
    <w:rsid w:val="0072604A"/>
    <w:rsid w:val="007274E6"/>
    <w:rsid w:val="00731631"/>
    <w:rsid w:val="007429A1"/>
    <w:rsid w:val="007500FE"/>
    <w:rsid w:val="00752E36"/>
    <w:rsid w:val="00756A07"/>
    <w:rsid w:val="007702BD"/>
    <w:rsid w:val="007A3846"/>
    <w:rsid w:val="007B0E45"/>
    <w:rsid w:val="007B1469"/>
    <w:rsid w:val="007B62F8"/>
    <w:rsid w:val="007B6E26"/>
    <w:rsid w:val="007D45AF"/>
    <w:rsid w:val="007E3E33"/>
    <w:rsid w:val="007F20B2"/>
    <w:rsid w:val="007F29B5"/>
    <w:rsid w:val="007F5211"/>
    <w:rsid w:val="008153DC"/>
    <w:rsid w:val="00817C9C"/>
    <w:rsid w:val="00824C60"/>
    <w:rsid w:val="0083541B"/>
    <w:rsid w:val="00865A63"/>
    <w:rsid w:val="00872BAF"/>
    <w:rsid w:val="008732EE"/>
    <w:rsid w:val="008832F9"/>
    <w:rsid w:val="008A3B87"/>
    <w:rsid w:val="008A6BBA"/>
    <w:rsid w:val="008B61B5"/>
    <w:rsid w:val="008C1B1D"/>
    <w:rsid w:val="008E6988"/>
    <w:rsid w:val="008F4932"/>
    <w:rsid w:val="00914E6B"/>
    <w:rsid w:val="00926BDE"/>
    <w:rsid w:val="00927E6A"/>
    <w:rsid w:val="00946DD3"/>
    <w:rsid w:val="00946DDE"/>
    <w:rsid w:val="00953344"/>
    <w:rsid w:val="00962D3B"/>
    <w:rsid w:val="00972191"/>
    <w:rsid w:val="0097338C"/>
    <w:rsid w:val="00981EA2"/>
    <w:rsid w:val="0098570C"/>
    <w:rsid w:val="009872FB"/>
    <w:rsid w:val="009907BF"/>
    <w:rsid w:val="009C3B5A"/>
    <w:rsid w:val="009C3EF0"/>
    <w:rsid w:val="009C602E"/>
    <w:rsid w:val="009E666D"/>
    <w:rsid w:val="009E66AE"/>
    <w:rsid w:val="009F2D92"/>
    <w:rsid w:val="009F7CDE"/>
    <w:rsid w:val="00A0021E"/>
    <w:rsid w:val="00A03F08"/>
    <w:rsid w:val="00A04614"/>
    <w:rsid w:val="00A11FE6"/>
    <w:rsid w:val="00A22FF9"/>
    <w:rsid w:val="00A24AAC"/>
    <w:rsid w:val="00A24DF0"/>
    <w:rsid w:val="00A3374D"/>
    <w:rsid w:val="00A357C2"/>
    <w:rsid w:val="00A36BC9"/>
    <w:rsid w:val="00A37BFA"/>
    <w:rsid w:val="00A4593C"/>
    <w:rsid w:val="00A56C4D"/>
    <w:rsid w:val="00A6450E"/>
    <w:rsid w:val="00A67D11"/>
    <w:rsid w:val="00A730A4"/>
    <w:rsid w:val="00A83A7C"/>
    <w:rsid w:val="00A85593"/>
    <w:rsid w:val="00A968AE"/>
    <w:rsid w:val="00AA47CC"/>
    <w:rsid w:val="00AA6401"/>
    <w:rsid w:val="00AC0ECF"/>
    <w:rsid w:val="00AD60FE"/>
    <w:rsid w:val="00AE5740"/>
    <w:rsid w:val="00AE5760"/>
    <w:rsid w:val="00AE60F2"/>
    <w:rsid w:val="00AF4DB4"/>
    <w:rsid w:val="00B068DA"/>
    <w:rsid w:val="00B077CF"/>
    <w:rsid w:val="00B11D60"/>
    <w:rsid w:val="00B137B4"/>
    <w:rsid w:val="00B210B0"/>
    <w:rsid w:val="00B24A07"/>
    <w:rsid w:val="00B2548B"/>
    <w:rsid w:val="00B33910"/>
    <w:rsid w:val="00B34F84"/>
    <w:rsid w:val="00B475BF"/>
    <w:rsid w:val="00B6658A"/>
    <w:rsid w:val="00B83CF6"/>
    <w:rsid w:val="00B87CF6"/>
    <w:rsid w:val="00B95745"/>
    <w:rsid w:val="00B97691"/>
    <w:rsid w:val="00BB37E4"/>
    <w:rsid w:val="00BC0B9F"/>
    <w:rsid w:val="00BD4BC3"/>
    <w:rsid w:val="00BF4208"/>
    <w:rsid w:val="00BF62F9"/>
    <w:rsid w:val="00C061DD"/>
    <w:rsid w:val="00C12A10"/>
    <w:rsid w:val="00C12DE5"/>
    <w:rsid w:val="00C36059"/>
    <w:rsid w:val="00C403BA"/>
    <w:rsid w:val="00C46B5E"/>
    <w:rsid w:val="00C51B63"/>
    <w:rsid w:val="00C60F4D"/>
    <w:rsid w:val="00C651CE"/>
    <w:rsid w:val="00C73267"/>
    <w:rsid w:val="00C772CA"/>
    <w:rsid w:val="00C86B17"/>
    <w:rsid w:val="00CA19B7"/>
    <w:rsid w:val="00CB466A"/>
    <w:rsid w:val="00CC7F24"/>
    <w:rsid w:val="00CD1BED"/>
    <w:rsid w:val="00CD5180"/>
    <w:rsid w:val="00CE10A1"/>
    <w:rsid w:val="00CF5E50"/>
    <w:rsid w:val="00D0185C"/>
    <w:rsid w:val="00D031F0"/>
    <w:rsid w:val="00D033C6"/>
    <w:rsid w:val="00D114E4"/>
    <w:rsid w:val="00D11924"/>
    <w:rsid w:val="00D13102"/>
    <w:rsid w:val="00D24713"/>
    <w:rsid w:val="00D25AAE"/>
    <w:rsid w:val="00D33BE6"/>
    <w:rsid w:val="00D444E8"/>
    <w:rsid w:val="00D5354B"/>
    <w:rsid w:val="00D54DE0"/>
    <w:rsid w:val="00D57FF0"/>
    <w:rsid w:val="00D623DC"/>
    <w:rsid w:val="00D634D8"/>
    <w:rsid w:val="00D66D95"/>
    <w:rsid w:val="00D86023"/>
    <w:rsid w:val="00D87F2A"/>
    <w:rsid w:val="00DA0042"/>
    <w:rsid w:val="00DB2279"/>
    <w:rsid w:val="00DC1F9A"/>
    <w:rsid w:val="00DC68E1"/>
    <w:rsid w:val="00DD0AB3"/>
    <w:rsid w:val="00DD3436"/>
    <w:rsid w:val="00DE2624"/>
    <w:rsid w:val="00DE5117"/>
    <w:rsid w:val="00DF6665"/>
    <w:rsid w:val="00E07718"/>
    <w:rsid w:val="00E15BD0"/>
    <w:rsid w:val="00E227EC"/>
    <w:rsid w:val="00E2394C"/>
    <w:rsid w:val="00E30FFD"/>
    <w:rsid w:val="00E325A1"/>
    <w:rsid w:val="00E464E4"/>
    <w:rsid w:val="00E51072"/>
    <w:rsid w:val="00E56D27"/>
    <w:rsid w:val="00E6278D"/>
    <w:rsid w:val="00E701C4"/>
    <w:rsid w:val="00E776CC"/>
    <w:rsid w:val="00E8448C"/>
    <w:rsid w:val="00E9178F"/>
    <w:rsid w:val="00EA31C2"/>
    <w:rsid w:val="00EB2BB2"/>
    <w:rsid w:val="00EB75EA"/>
    <w:rsid w:val="00EC446A"/>
    <w:rsid w:val="00EC4DCD"/>
    <w:rsid w:val="00EC6F19"/>
    <w:rsid w:val="00ED2406"/>
    <w:rsid w:val="00F0013D"/>
    <w:rsid w:val="00F12082"/>
    <w:rsid w:val="00F13B95"/>
    <w:rsid w:val="00F15CF7"/>
    <w:rsid w:val="00F213E4"/>
    <w:rsid w:val="00F27E16"/>
    <w:rsid w:val="00F341F7"/>
    <w:rsid w:val="00F46148"/>
    <w:rsid w:val="00F54CCE"/>
    <w:rsid w:val="00F67782"/>
    <w:rsid w:val="00F708A6"/>
    <w:rsid w:val="00F74678"/>
    <w:rsid w:val="00F761D5"/>
    <w:rsid w:val="00F82685"/>
    <w:rsid w:val="00F83A6F"/>
    <w:rsid w:val="00F841B8"/>
    <w:rsid w:val="00F843DC"/>
    <w:rsid w:val="00F845F4"/>
    <w:rsid w:val="00F910D5"/>
    <w:rsid w:val="00F91C0F"/>
    <w:rsid w:val="00F930FD"/>
    <w:rsid w:val="00FA2BC8"/>
    <w:rsid w:val="00FB3E3E"/>
    <w:rsid w:val="00FC01F8"/>
    <w:rsid w:val="00FD149F"/>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styleId="ListParagraph">
    <w:name w:val="List Paragraph"/>
    <w:basedOn w:val="Normal"/>
    <w:uiPriority w:val="34"/>
    <w:qFormat/>
    <w:rsid w:val="00704024"/>
    <w:pPr>
      <w:ind w:left="720"/>
      <w:contextualSpacing/>
    </w:pPr>
  </w:style>
  <w:style w:type="character" w:styleId="CommentReference">
    <w:name w:val="annotation reference"/>
    <w:basedOn w:val="DefaultParagraphFont"/>
    <w:semiHidden/>
    <w:rsid w:val="007D45AF"/>
    <w:rPr>
      <w:sz w:val="16"/>
      <w:szCs w:val="16"/>
    </w:rPr>
  </w:style>
  <w:style w:type="paragraph" w:styleId="CommentText">
    <w:name w:val="annotation text"/>
    <w:basedOn w:val="Normal"/>
    <w:link w:val="CommentTextChar"/>
    <w:semiHidden/>
    <w:rsid w:val="007D45AF"/>
    <w:rPr>
      <w:sz w:val="20"/>
      <w:szCs w:val="20"/>
    </w:rPr>
  </w:style>
  <w:style w:type="character" w:customStyle="1" w:styleId="CommentTextChar">
    <w:name w:val="Comment Text Char"/>
    <w:basedOn w:val="DefaultParagraphFont"/>
    <w:link w:val="CommentText"/>
    <w:semiHidden/>
    <w:rsid w:val="007D45AF"/>
    <w:rPr>
      <w:rFonts w:ascii="Calibri" w:hAnsi="Calibri"/>
      <w:lang w:eastAsia="en-US"/>
    </w:rPr>
  </w:style>
  <w:style w:type="paragraph" w:styleId="CommentSubject">
    <w:name w:val="annotation subject"/>
    <w:basedOn w:val="CommentText"/>
    <w:next w:val="CommentText"/>
    <w:link w:val="CommentSubjectChar"/>
    <w:semiHidden/>
    <w:rsid w:val="007D45AF"/>
    <w:rPr>
      <w:b/>
      <w:bCs/>
    </w:rPr>
  </w:style>
  <w:style w:type="character" w:customStyle="1" w:styleId="CommentSubjectChar">
    <w:name w:val="Comment Subject Char"/>
    <w:basedOn w:val="CommentTextChar"/>
    <w:link w:val="CommentSubject"/>
    <w:semiHidden/>
    <w:rsid w:val="007D45AF"/>
    <w:rPr>
      <w:rFonts w:ascii="Calibri" w:hAnsi="Calibri"/>
      <w:b/>
      <w:bCs/>
      <w:lang w:eastAsia="en-US"/>
    </w:rPr>
  </w:style>
  <w:style w:type="character" w:customStyle="1" w:styleId="valuetext1">
    <w:name w:val="valuetext1"/>
    <w:basedOn w:val="DefaultParagraphFont"/>
    <w:rsid w:val="008153DC"/>
    <w:rPr>
      <w:color w:val="0000C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styleId="ListParagraph">
    <w:name w:val="List Paragraph"/>
    <w:basedOn w:val="Normal"/>
    <w:uiPriority w:val="34"/>
    <w:qFormat/>
    <w:rsid w:val="00704024"/>
    <w:pPr>
      <w:ind w:left="720"/>
      <w:contextualSpacing/>
    </w:pPr>
  </w:style>
  <w:style w:type="character" w:styleId="CommentReference">
    <w:name w:val="annotation reference"/>
    <w:basedOn w:val="DefaultParagraphFont"/>
    <w:semiHidden/>
    <w:rsid w:val="007D45AF"/>
    <w:rPr>
      <w:sz w:val="16"/>
      <w:szCs w:val="16"/>
    </w:rPr>
  </w:style>
  <w:style w:type="paragraph" w:styleId="CommentText">
    <w:name w:val="annotation text"/>
    <w:basedOn w:val="Normal"/>
    <w:link w:val="CommentTextChar"/>
    <w:semiHidden/>
    <w:rsid w:val="007D45AF"/>
    <w:rPr>
      <w:sz w:val="20"/>
      <w:szCs w:val="20"/>
    </w:rPr>
  </w:style>
  <w:style w:type="character" w:customStyle="1" w:styleId="CommentTextChar">
    <w:name w:val="Comment Text Char"/>
    <w:basedOn w:val="DefaultParagraphFont"/>
    <w:link w:val="CommentText"/>
    <w:semiHidden/>
    <w:rsid w:val="007D45AF"/>
    <w:rPr>
      <w:rFonts w:ascii="Calibri" w:hAnsi="Calibri"/>
      <w:lang w:eastAsia="en-US"/>
    </w:rPr>
  </w:style>
  <w:style w:type="paragraph" w:styleId="CommentSubject">
    <w:name w:val="annotation subject"/>
    <w:basedOn w:val="CommentText"/>
    <w:next w:val="CommentText"/>
    <w:link w:val="CommentSubjectChar"/>
    <w:semiHidden/>
    <w:rsid w:val="007D45AF"/>
    <w:rPr>
      <w:b/>
      <w:bCs/>
    </w:rPr>
  </w:style>
  <w:style w:type="character" w:customStyle="1" w:styleId="CommentSubjectChar">
    <w:name w:val="Comment Subject Char"/>
    <w:basedOn w:val="CommentTextChar"/>
    <w:link w:val="CommentSubject"/>
    <w:semiHidden/>
    <w:rsid w:val="007D45AF"/>
    <w:rPr>
      <w:rFonts w:ascii="Calibri" w:hAnsi="Calibri"/>
      <w:b/>
      <w:bCs/>
      <w:lang w:eastAsia="en-US"/>
    </w:rPr>
  </w:style>
  <w:style w:type="character" w:customStyle="1" w:styleId="valuetext1">
    <w:name w:val="valuetext1"/>
    <w:basedOn w:val="DefaultParagraphFont"/>
    <w:rsid w:val="008153DC"/>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ustomer.service@delwp.vic.gov.au" TargetMode="External"/><Relationship Id="rId2" Type="http://schemas.openxmlformats.org/officeDocument/2006/relationships/hyperlink" Target="http://creativecommons.org/licenses/by/3.0/au/deed.en" TargetMode="External"/><Relationship Id="rId1" Type="http://schemas.openxmlformats.org/officeDocument/2006/relationships/image" Target="media/image3.emf"/><Relationship Id="rId6" Type="http://schemas.openxmlformats.org/officeDocument/2006/relationships/image" Target="media/image4.jpeg"/><Relationship Id="rId5" Type="http://schemas.openxmlformats.org/officeDocument/2006/relationships/hyperlink" Target="http://www.delwp.vic.gov.au" TargetMode="External"/><Relationship Id="rId4" Type="http://schemas.openxmlformats.org/officeDocument/2006/relationships/hyperlink" Target="http://www.relayservice.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689</Words>
  <Characters>4119</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2016-07-18T06:38:00Z</dcterms:created>
  <dcterms:modified xsi:type="dcterms:W3CDTF">2016-07-18T06:38:00Z</dcterms:modified>
</cp:coreProperties>
</file>