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639"/>
      </w:tblGrid>
      <w:tr w:rsidR="00BB6A87" w:rsidRPr="00243764" w14:paraId="09A860AF" w14:textId="77777777" w:rsidTr="006A54EF">
        <w:trPr>
          <w:trHeight w:val="2273"/>
        </w:trPr>
        <w:tc>
          <w:tcPr>
            <w:tcW w:w="9855" w:type="dxa"/>
            <w:vAlign w:val="center"/>
          </w:tcPr>
          <w:p w14:paraId="1F57E2E6" w14:textId="22A984F1" w:rsidR="00150C2F" w:rsidRPr="00477B29" w:rsidRDefault="00150C2F" w:rsidP="00FF1205">
            <w:pPr>
              <w:pStyle w:val="Caption-Table"/>
            </w:pPr>
            <w:bookmarkStart w:id="0" w:name="_MacBuGuideStaticData_80H"/>
            <w:bookmarkStart w:id="1" w:name="_MacBuGuideStaticData_16450H"/>
            <w:bookmarkStart w:id="2" w:name="_MacBuGuideStaticData_620V"/>
          </w:p>
        </w:tc>
      </w:tr>
      <w:tr w:rsidR="006A54EF" w:rsidRPr="00243764" w14:paraId="426049CF" w14:textId="77777777" w:rsidTr="00EE408C">
        <w:trPr>
          <w:trHeight w:val="1641"/>
        </w:trPr>
        <w:tc>
          <w:tcPr>
            <w:tcW w:w="9855" w:type="dxa"/>
            <w:vAlign w:val="center"/>
          </w:tcPr>
          <w:p w14:paraId="1B91C5DC" w14:textId="09B85F28" w:rsidR="006A54EF" w:rsidRPr="00243764" w:rsidRDefault="006A54EF" w:rsidP="00DC3852">
            <w:pPr>
              <w:pStyle w:val="Authorscover"/>
            </w:pPr>
          </w:p>
        </w:tc>
      </w:tr>
      <w:tr w:rsidR="006A54EF" w:rsidRPr="00243764" w14:paraId="29515164" w14:textId="77777777" w:rsidTr="006A54EF">
        <w:tc>
          <w:tcPr>
            <w:tcW w:w="9855" w:type="dxa"/>
            <w:vAlign w:val="center"/>
          </w:tcPr>
          <w:p w14:paraId="02FC6F95" w14:textId="012740A0" w:rsidR="006A54EF" w:rsidRPr="00243764" w:rsidRDefault="006A54EF" w:rsidP="00DC3852">
            <w:pPr>
              <w:pStyle w:val="Subtitle"/>
            </w:pPr>
          </w:p>
        </w:tc>
      </w:tr>
    </w:tbl>
    <w:p w14:paraId="2FAC2DE4" w14:textId="75E618DD" w:rsidR="00BB6A87" w:rsidRPr="00F56D9E" w:rsidRDefault="00684676" w:rsidP="00DC3852">
      <w:r>
        <w:rPr>
          <w:noProof/>
        </w:rPr>
        <w:drawing>
          <wp:anchor distT="0" distB="0" distL="114300" distR="114300" simplePos="0" relativeHeight="251658251" behindDoc="0" locked="0" layoutInCell="1" allowOverlap="1" wp14:anchorId="6D9F7BE6" wp14:editId="4E54F896">
            <wp:simplePos x="0" y="0"/>
            <wp:positionH relativeFrom="column">
              <wp:posOffset>1687306</wp:posOffset>
            </wp:positionH>
            <wp:positionV relativeFrom="paragraph">
              <wp:posOffset>-596265</wp:posOffset>
            </wp:positionV>
            <wp:extent cx="5140960" cy="7300595"/>
            <wp:effectExtent l="0" t="0" r="2540" b="0"/>
            <wp:wrapNone/>
            <wp:docPr id="14506421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cstate="email">
                      <a:alphaModFix amt="35000"/>
                      <a:extLst>
                        <a:ext uri="{28A0092B-C50C-407E-A947-70E740481C1C}">
                          <a14:useLocalDpi xmlns:a14="http://schemas.microsoft.com/office/drawing/2010/main"/>
                        </a:ext>
                      </a:extLst>
                    </a:blip>
                    <a:stretch>
                      <a:fillRect/>
                    </a:stretch>
                  </pic:blipFill>
                  <pic:spPr bwMode="auto">
                    <a:xfrm>
                      <a:off x="0" y="0"/>
                      <a:ext cx="5140960" cy="730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2A0F">
        <w:rPr>
          <w:noProof/>
          <w:lang w:val="en-GB" w:eastAsia="en-GB" w:bidi="lo-LA"/>
        </w:rPr>
        <w:drawing>
          <wp:anchor distT="0" distB="0" distL="114300" distR="114300" simplePos="0" relativeHeight="251658243" behindDoc="0" locked="0" layoutInCell="1" allowOverlap="1" wp14:anchorId="17AF67B6" wp14:editId="00F18EFA">
            <wp:simplePos x="0" y="0"/>
            <wp:positionH relativeFrom="column">
              <wp:posOffset>-737343</wp:posOffset>
            </wp:positionH>
            <wp:positionV relativeFrom="paragraph">
              <wp:posOffset>-573645</wp:posOffset>
            </wp:positionV>
            <wp:extent cx="3794821" cy="2508885"/>
            <wp:effectExtent l="0" t="0" r="0" b="5715"/>
            <wp:wrapNone/>
            <wp:docPr id="9" name="Picture 9" descr="Buckland via Clear Spot to Bright: 8 Reviews, Map - Victoria, Australia |  AllT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ckland via Clear Spot to Bright: 8 Reviews, Map - Victoria, Australia |  AllTrails"/>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3794882" cy="2508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2A0F">
        <w:rPr>
          <w:noProof/>
          <w:lang w:val="en-GB" w:eastAsia="en-GB" w:bidi="lo-LA"/>
        </w:rPr>
        <w:drawing>
          <wp:anchor distT="0" distB="0" distL="114300" distR="114300" simplePos="0" relativeHeight="251658244" behindDoc="0" locked="0" layoutInCell="1" allowOverlap="1" wp14:anchorId="578ADF1A" wp14:editId="0696BCEA">
            <wp:simplePos x="0" y="0"/>
            <wp:positionH relativeFrom="column">
              <wp:posOffset>3058375</wp:posOffset>
            </wp:positionH>
            <wp:positionV relativeFrom="paragraph">
              <wp:posOffset>-574532</wp:posOffset>
            </wp:positionV>
            <wp:extent cx="3907538" cy="2508885"/>
            <wp:effectExtent l="0" t="0" r="0" b="0"/>
            <wp:wrapNone/>
            <wp:docPr id="1077315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3907538" cy="2508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036A">
        <w:rPr>
          <w:noProof/>
        </w:rPr>
        <mc:AlternateContent>
          <mc:Choice Requires="wpg">
            <w:drawing>
              <wp:anchor distT="0" distB="0" distL="114300" distR="114300" simplePos="0" relativeHeight="251658240" behindDoc="0" locked="0" layoutInCell="1" allowOverlap="1" wp14:anchorId="1D7DCC96" wp14:editId="3CAA1A4F">
                <wp:simplePos x="0" y="0"/>
                <wp:positionH relativeFrom="column">
                  <wp:posOffset>-721995</wp:posOffset>
                </wp:positionH>
                <wp:positionV relativeFrom="paragraph">
                  <wp:posOffset>-3538855</wp:posOffset>
                </wp:positionV>
                <wp:extent cx="7649845" cy="2964180"/>
                <wp:effectExtent l="0" t="3175" r="635" b="4445"/>
                <wp:wrapNone/>
                <wp:docPr id="1076454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49845" cy="2964180"/>
                          <a:chOff x="-771" y="4375"/>
                          <a:chExt cx="76508" cy="29655"/>
                        </a:xfrm>
                      </wpg:grpSpPr>
                      <wps:wsp>
                        <wps:cNvPr id="1575625215" name="CoverProjectBar"/>
                        <wps:cNvSpPr txBox="1">
                          <a:spLocks noChangeArrowheads="1"/>
                        </wps:cNvSpPr>
                        <wps:spPr bwMode="auto">
                          <a:xfrm>
                            <a:off x="-771" y="27956"/>
                            <a:ext cx="76507" cy="6075"/>
                          </a:xfrm>
                          <a:prstGeom prst="rect">
                            <a:avLst/>
                          </a:prstGeom>
                          <a:solidFill>
                            <a:srgbClr val="20154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8B0301" w14:textId="652ADF9D" w:rsidR="00CB267A" w:rsidRPr="00F41119" w:rsidRDefault="00CB267A" w:rsidP="00DB02BB">
                              <w:pPr>
                                <w:pStyle w:val="Reportdetails"/>
                                <w:ind w:left="397"/>
                                <w:jc w:val="left"/>
                                <w:rPr>
                                  <w:color w:val="F8FAE8" w:themeColor="background2"/>
                                </w:rPr>
                              </w:pPr>
                              <w:r w:rsidRPr="003F78A0">
                                <w:rPr>
                                  <w:bCs w:val="0"/>
                                  <w:color w:val="FFFFFF" w:themeColor="background1"/>
                                </w:rPr>
                                <w:t>Arthur Rylah Institute for Environmental Research</w:t>
                              </w:r>
                              <w:r w:rsidR="0060477B" w:rsidRPr="003F78A0">
                                <w:rPr>
                                  <w:bCs w:val="0"/>
                                  <w:color w:val="FFFFFF" w:themeColor="background1"/>
                                </w:rPr>
                                <w:t xml:space="preserve"> </w:t>
                              </w:r>
                              <w:r w:rsidRPr="00FD726A">
                                <w:rPr>
                                  <w:color w:val="FFFFFF" w:themeColor="background1"/>
                                </w:rPr>
                                <w:t xml:space="preserve">Technical Report Series No. </w:t>
                              </w:r>
                              <w:r w:rsidR="00746266">
                                <w:rPr>
                                  <w:color w:val="FFFFFF" w:themeColor="background1"/>
                                </w:rPr>
                                <w:t>388</w:t>
                              </w:r>
                            </w:p>
                          </w:txbxContent>
                        </wps:txbx>
                        <wps:bodyPr rot="0" vert="horz" wrap="square" lIns="360000" tIns="0" rIns="360000" bIns="0" anchor="ctr" anchorCtr="0" upright="1">
                          <a:noAutofit/>
                        </wps:bodyPr>
                      </wps:wsp>
                      <wps:wsp>
                        <wps:cNvPr id="570511539" name="Rectangle 1"/>
                        <wps:cNvSpPr>
                          <a:spLocks noChangeArrowheads="1"/>
                        </wps:cNvSpPr>
                        <wps:spPr bwMode="auto">
                          <a:xfrm>
                            <a:off x="5779" y="4375"/>
                            <a:ext cx="62922" cy="20147"/>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90CF8AC" w14:textId="10BE0A8B" w:rsidR="0060477B" w:rsidRDefault="00FD726A" w:rsidP="0060477B">
                              <w:pPr>
                                <w:rPr>
                                  <w:b/>
                                  <w:bCs/>
                                  <w:color w:val="201547"/>
                                  <w:sz w:val="40"/>
                                  <w:szCs w:val="40"/>
                                </w:rPr>
                              </w:pPr>
                              <w:r w:rsidRPr="00FD726A">
                                <w:rPr>
                                  <w:b/>
                                  <w:bCs/>
                                  <w:color w:val="201547"/>
                                  <w:sz w:val="40"/>
                                  <w:szCs w:val="40"/>
                                </w:rPr>
                                <w:t>Barry Mountains Ark</w:t>
                              </w:r>
                              <w:r w:rsidR="00F5185F">
                                <w:rPr>
                                  <w:b/>
                                  <w:bCs/>
                                  <w:color w:val="201547"/>
                                  <w:sz w:val="40"/>
                                  <w:szCs w:val="40"/>
                                </w:rPr>
                                <w:t xml:space="preserve"> – 202</w:t>
                              </w:r>
                              <w:r w:rsidR="00F81400">
                                <w:rPr>
                                  <w:b/>
                                  <w:bCs/>
                                  <w:color w:val="201547"/>
                                  <w:sz w:val="40"/>
                                  <w:szCs w:val="40"/>
                                </w:rPr>
                                <w:t>4</w:t>
                              </w:r>
                              <w:r w:rsidR="00F5185F">
                                <w:rPr>
                                  <w:b/>
                                  <w:bCs/>
                                  <w:color w:val="201547"/>
                                  <w:sz w:val="40"/>
                                  <w:szCs w:val="40"/>
                                </w:rPr>
                                <w:t xml:space="preserve"> Update</w:t>
                              </w:r>
                            </w:p>
                            <w:p w14:paraId="3BC5F679" w14:textId="5DE6A476" w:rsidR="00FF7617" w:rsidRDefault="00FD726A" w:rsidP="00FD726A">
                              <w:pPr>
                                <w:rPr>
                                  <w:b/>
                                  <w:bCs/>
                                  <w:color w:val="201547"/>
                                  <w:sz w:val="24"/>
                                </w:rPr>
                              </w:pPr>
                              <w:r>
                                <w:rPr>
                                  <w:b/>
                                  <w:bCs/>
                                  <w:color w:val="201547"/>
                                  <w:sz w:val="24"/>
                                </w:rPr>
                                <w:t>M</w:t>
                              </w:r>
                              <w:r w:rsidRPr="00FD726A">
                                <w:rPr>
                                  <w:b/>
                                  <w:bCs/>
                                  <w:color w:val="201547"/>
                                  <w:sz w:val="24"/>
                                </w:rPr>
                                <w:t>anaging the Great Dividing Range</w:t>
                              </w:r>
                              <w:r>
                                <w:rPr>
                                  <w:b/>
                                  <w:bCs/>
                                  <w:color w:val="201547"/>
                                  <w:sz w:val="24"/>
                                </w:rPr>
                                <w:t xml:space="preserve"> </w:t>
                              </w:r>
                              <w:r w:rsidRPr="00FD726A">
                                <w:rPr>
                                  <w:b/>
                                  <w:bCs/>
                                  <w:color w:val="201547"/>
                                  <w:sz w:val="24"/>
                                </w:rPr>
                                <w:t>Long-footed Potoroo population</w:t>
                              </w:r>
                            </w:p>
                            <w:p w14:paraId="70EDC591" w14:textId="77777777" w:rsidR="00FD726A" w:rsidRDefault="00FD726A" w:rsidP="00FD726A">
                              <w:pPr>
                                <w:spacing w:before="240"/>
                                <w:rPr>
                                  <w:b/>
                                  <w:bCs/>
                                  <w:color w:val="201547"/>
                                  <w:sz w:val="24"/>
                                </w:rPr>
                              </w:pPr>
                            </w:p>
                            <w:p w14:paraId="7C9130D3" w14:textId="51139310" w:rsidR="00FD726A" w:rsidRDefault="00FD726A" w:rsidP="00FD726A">
                              <w:pPr>
                                <w:spacing w:before="240"/>
                                <w:rPr>
                                  <w:b/>
                                  <w:bCs/>
                                  <w:color w:val="201547"/>
                                  <w:sz w:val="24"/>
                                </w:rPr>
                              </w:pPr>
                              <w:r w:rsidRPr="00FD726A">
                                <w:rPr>
                                  <w:b/>
                                  <w:bCs/>
                                  <w:color w:val="201547"/>
                                  <w:sz w:val="24"/>
                                </w:rPr>
                                <w:t xml:space="preserve">A. Robley, J. Thomson, E. Wemyss, L. Woodford and G. Melgaard </w:t>
                              </w:r>
                            </w:p>
                            <w:p w14:paraId="4A0AFC37" w14:textId="77777777" w:rsidR="00FD726A" w:rsidRDefault="00FD726A" w:rsidP="0060477B">
                              <w:pPr>
                                <w:spacing w:before="240"/>
                                <w:rPr>
                                  <w:b/>
                                  <w:bCs/>
                                  <w:color w:val="201547"/>
                                  <w:sz w:val="24"/>
                                </w:rPr>
                              </w:pPr>
                            </w:p>
                            <w:p w14:paraId="77C5D46D" w14:textId="521AFCCF" w:rsidR="004E1CE5" w:rsidRDefault="00746266" w:rsidP="0060477B">
                              <w:pPr>
                                <w:spacing w:before="240"/>
                                <w:rPr>
                                  <w:b/>
                                  <w:bCs/>
                                  <w:color w:val="201547"/>
                                  <w:sz w:val="24"/>
                                </w:rPr>
                              </w:pPr>
                              <w:r>
                                <w:rPr>
                                  <w:b/>
                                  <w:bCs/>
                                  <w:color w:val="201547"/>
                                  <w:sz w:val="24"/>
                                </w:rPr>
                                <w:t>June</w:t>
                              </w:r>
                              <w:r w:rsidR="00FD726A">
                                <w:rPr>
                                  <w:b/>
                                  <w:bCs/>
                                  <w:color w:val="201547"/>
                                  <w:sz w:val="24"/>
                                </w:rPr>
                                <w:t xml:space="preserve"> 202</w:t>
                              </w:r>
                              <w:r w:rsidR="00464F53">
                                <w:rPr>
                                  <w:b/>
                                  <w:bCs/>
                                  <w:color w:val="201547"/>
                                  <w:sz w:val="24"/>
                                </w:rPr>
                                <w:t>5</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7DCC96" id="Group 5" o:spid="_x0000_s1026" style="position:absolute;margin-left:-56.85pt;margin-top:-278.65pt;width:602.35pt;height:233.4pt;z-index:251658240;mso-width-relative:margin;mso-height-relative:margin" coordorigin="-771,4375" coordsize="76508,2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">
                <v:shapetype id="_x0000_t202" coordsize="21600,21600" o:spt="202" path="m,l,21600r21600,l21600,xe">
                  <v:stroke joinstyle="miter"/>
                  <v:path gradientshapeok="t" o:connecttype="rect"/>
                </v:shapetype>
                <v:shape id="CoverProjectBar" o:spid="_x0000_s1027" type="#_x0000_t202" style="position:absolute;left:-771;top:27956;width:76507;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" fillcolor="#201547" stroked="f">
                  <v:stroke joinstyle="round"/>
                  <v:textbox inset="10mm,0,10mm,0">
                    <w:txbxContent>
                      <w:p w14:paraId="4B8B0301" w14:textId="652ADF9D" w:rsidR="00CB267A" w:rsidRPr="00F41119" w:rsidRDefault="00CB267A" w:rsidP="00DB02BB">
                        <w:pPr>
                          <w:pStyle w:val="Reportdetails"/>
                          <w:ind w:left="397"/>
                          <w:jc w:val="left"/>
                          <w:rPr>
                            <w:color w:val="F8FAE8" w:themeColor="background2"/>
                          </w:rPr>
                        </w:pPr>
                        <w:r w:rsidRPr="003F78A0">
                          <w:rPr>
                            <w:bCs w:val="0"/>
                            <w:color w:val="FFFFFF" w:themeColor="background1"/>
                          </w:rPr>
                          <w:t>Arthur Rylah Institute for Environmental Research</w:t>
                        </w:r>
                        <w:r w:rsidR="0060477B" w:rsidRPr="003F78A0">
                          <w:rPr>
                            <w:bCs w:val="0"/>
                            <w:color w:val="FFFFFF" w:themeColor="background1"/>
                          </w:rPr>
                          <w:t xml:space="preserve"> </w:t>
                        </w:r>
                        <w:r w:rsidRPr="00FD726A">
                          <w:rPr>
                            <w:color w:val="FFFFFF" w:themeColor="background1"/>
                          </w:rPr>
                          <w:t xml:space="preserve">Technical Report Series No. </w:t>
                        </w:r>
                        <w:r w:rsidR="00746266">
                          <w:rPr>
                            <w:color w:val="FFFFFF" w:themeColor="background1"/>
                          </w:rPr>
                          <w:t>388</w:t>
                        </w:r>
                      </w:p>
                    </w:txbxContent>
                  </v:textbox>
                </v:shape>
                <v:rect id="Rectangle 1" o:spid="_x0000_s1028" style="position:absolute;left:5779;top:4375;width:62922;height:20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" fillcolor="white [3212]" stroked="f" strokeweight="2pt">
                  <v:textbox>
                    <w:txbxContent>
                      <w:p w14:paraId="690CF8AC" w14:textId="10BE0A8B" w:rsidR="0060477B" w:rsidRDefault="00FD726A" w:rsidP="0060477B">
                        <w:pPr>
                          <w:rPr>
                            <w:b/>
                            <w:bCs/>
                            <w:color w:val="201547"/>
                            <w:sz w:val="40"/>
                            <w:szCs w:val="40"/>
                          </w:rPr>
                        </w:pPr>
                        <w:r w:rsidRPr="00FD726A">
                          <w:rPr>
                            <w:b/>
                            <w:bCs/>
                            <w:color w:val="201547"/>
                            <w:sz w:val="40"/>
                            <w:szCs w:val="40"/>
                          </w:rPr>
                          <w:t>Barry Mountains Ark</w:t>
                        </w:r>
                        <w:r w:rsidR="00F5185F">
                          <w:rPr>
                            <w:b/>
                            <w:bCs/>
                            <w:color w:val="201547"/>
                            <w:sz w:val="40"/>
                            <w:szCs w:val="40"/>
                          </w:rPr>
                          <w:t xml:space="preserve"> – 202</w:t>
                        </w:r>
                        <w:r w:rsidR="00F81400">
                          <w:rPr>
                            <w:b/>
                            <w:bCs/>
                            <w:color w:val="201547"/>
                            <w:sz w:val="40"/>
                            <w:szCs w:val="40"/>
                          </w:rPr>
                          <w:t>4</w:t>
                        </w:r>
                        <w:r w:rsidR="00F5185F">
                          <w:rPr>
                            <w:b/>
                            <w:bCs/>
                            <w:color w:val="201547"/>
                            <w:sz w:val="40"/>
                            <w:szCs w:val="40"/>
                          </w:rPr>
                          <w:t xml:space="preserve"> Update</w:t>
                        </w:r>
                      </w:p>
                      <w:p w14:paraId="3BC5F679" w14:textId="5DE6A476" w:rsidR="00FF7617" w:rsidRDefault="00FD726A" w:rsidP="00FD726A">
                        <w:pPr>
                          <w:rPr>
                            <w:b/>
                            <w:bCs/>
                            <w:color w:val="201547"/>
                            <w:sz w:val="24"/>
                          </w:rPr>
                        </w:pPr>
                        <w:r>
                          <w:rPr>
                            <w:b/>
                            <w:bCs/>
                            <w:color w:val="201547"/>
                            <w:sz w:val="24"/>
                          </w:rPr>
                          <w:t>M</w:t>
                        </w:r>
                        <w:r w:rsidRPr="00FD726A">
                          <w:rPr>
                            <w:b/>
                            <w:bCs/>
                            <w:color w:val="201547"/>
                            <w:sz w:val="24"/>
                          </w:rPr>
                          <w:t>anaging the Great Dividing Range</w:t>
                        </w:r>
                        <w:r>
                          <w:rPr>
                            <w:b/>
                            <w:bCs/>
                            <w:color w:val="201547"/>
                            <w:sz w:val="24"/>
                          </w:rPr>
                          <w:t xml:space="preserve"> </w:t>
                        </w:r>
                        <w:r w:rsidRPr="00FD726A">
                          <w:rPr>
                            <w:b/>
                            <w:bCs/>
                            <w:color w:val="201547"/>
                            <w:sz w:val="24"/>
                          </w:rPr>
                          <w:t>Long-footed Potoroo population</w:t>
                        </w:r>
                      </w:p>
                      <w:p w14:paraId="70EDC591" w14:textId="77777777" w:rsidR="00FD726A" w:rsidRDefault="00FD726A" w:rsidP="00FD726A">
                        <w:pPr>
                          <w:spacing w:before="240"/>
                          <w:rPr>
                            <w:b/>
                            <w:bCs/>
                            <w:color w:val="201547"/>
                            <w:sz w:val="24"/>
                          </w:rPr>
                        </w:pPr>
                      </w:p>
                      <w:p w14:paraId="7C9130D3" w14:textId="51139310" w:rsidR="00FD726A" w:rsidRDefault="00FD726A" w:rsidP="00FD726A">
                        <w:pPr>
                          <w:spacing w:before="240"/>
                          <w:rPr>
                            <w:b/>
                            <w:bCs/>
                            <w:color w:val="201547"/>
                            <w:sz w:val="24"/>
                          </w:rPr>
                        </w:pPr>
                        <w:r w:rsidRPr="00FD726A">
                          <w:rPr>
                            <w:b/>
                            <w:bCs/>
                            <w:color w:val="201547"/>
                            <w:sz w:val="24"/>
                          </w:rPr>
                          <w:t xml:space="preserve">A. Robley, J. Thomson, E. Wemyss, L. Woodford and G. Melgaard </w:t>
                        </w:r>
                      </w:p>
                      <w:p w14:paraId="4A0AFC37" w14:textId="77777777" w:rsidR="00FD726A" w:rsidRDefault="00FD726A" w:rsidP="0060477B">
                        <w:pPr>
                          <w:spacing w:before="240"/>
                          <w:rPr>
                            <w:b/>
                            <w:bCs/>
                            <w:color w:val="201547"/>
                            <w:sz w:val="24"/>
                          </w:rPr>
                        </w:pPr>
                      </w:p>
                      <w:p w14:paraId="77C5D46D" w14:textId="521AFCCF" w:rsidR="004E1CE5" w:rsidRDefault="00746266" w:rsidP="0060477B">
                        <w:pPr>
                          <w:spacing w:before="240"/>
                          <w:rPr>
                            <w:b/>
                            <w:bCs/>
                            <w:color w:val="201547"/>
                            <w:sz w:val="24"/>
                          </w:rPr>
                        </w:pPr>
                        <w:r>
                          <w:rPr>
                            <w:b/>
                            <w:bCs/>
                            <w:color w:val="201547"/>
                            <w:sz w:val="24"/>
                          </w:rPr>
                          <w:t>June</w:t>
                        </w:r>
                        <w:r w:rsidR="00FD726A">
                          <w:rPr>
                            <w:b/>
                            <w:bCs/>
                            <w:color w:val="201547"/>
                            <w:sz w:val="24"/>
                          </w:rPr>
                          <w:t xml:space="preserve"> 202</w:t>
                        </w:r>
                        <w:r w:rsidR="00464F53">
                          <w:rPr>
                            <w:b/>
                            <w:bCs/>
                            <w:color w:val="201547"/>
                            <w:sz w:val="24"/>
                          </w:rPr>
                          <w:t>5</w:t>
                        </w:r>
                      </w:p>
                    </w:txbxContent>
                  </v:textbox>
                </v:rect>
              </v:group>
            </w:pict>
          </mc:Fallback>
        </mc:AlternateContent>
      </w:r>
    </w:p>
    <w:p w14:paraId="7B695605" w14:textId="72DE8B8F" w:rsidR="00BB6A87" w:rsidRPr="00243764" w:rsidRDefault="00BB6A87" w:rsidP="00DC3852">
      <w:pPr>
        <w:sectPr w:rsidR="00BB6A87" w:rsidRPr="00243764" w:rsidSect="00BB6A87">
          <w:headerReference w:type="default" r:id="rId17"/>
          <w:footerReference w:type="even" r:id="rId18"/>
          <w:footerReference w:type="default" r:id="rId19"/>
          <w:footerReference w:type="first" r:id="rId20"/>
          <w:type w:val="continuous"/>
          <w:pgSz w:w="11907" w:h="16840" w:code="9"/>
          <w:pgMar w:top="1701" w:right="1134" w:bottom="568" w:left="1134" w:header="709" w:footer="709" w:gutter="0"/>
          <w:cols w:space="708"/>
          <w:docGrid w:linePitch="360"/>
        </w:sectPr>
      </w:pPr>
    </w:p>
    <w:p w14:paraId="131607FD" w14:textId="0F07C585" w:rsidR="003C5068" w:rsidRPr="00933BDA" w:rsidRDefault="0038190E" w:rsidP="001C1818">
      <w:pPr>
        <w:tabs>
          <w:tab w:val="left" w:pos="4253"/>
        </w:tabs>
        <w:sectPr w:rsidR="003C5068" w:rsidRPr="00933BDA" w:rsidSect="00A74AEE">
          <w:headerReference w:type="default" r:id="rId21"/>
          <w:footerReference w:type="default" r:id="rId22"/>
          <w:type w:val="continuous"/>
          <w:pgSz w:w="11907" w:h="16840" w:code="9"/>
          <w:pgMar w:top="1134" w:right="1134" w:bottom="425" w:left="1134" w:header="709" w:footer="567" w:gutter="0"/>
          <w:pgNumType w:start="1"/>
          <w:cols w:space="708"/>
          <w:formProt w:val="0"/>
          <w:titlePg/>
          <w:docGrid w:linePitch="360"/>
        </w:sectPr>
      </w:pPr>
      <w:r>
        <w:rPr>
          <w:noProof/>
        </w:rPr>
        <w:drawing>
          <wp:anchor distT="0" distB="0" distL="114300" distR="114300" simplePos="0" relativeHeight="251658250" behindDoc="0" locked="0" layoutInCell="1" allowOverlap="1" wp14:anchorId="38312F1F" wp14:editId="56D6B97C">
            <wp:simplePos x="0" y="0"/>
            <wp:positionH relativeFrom="column">
              <wp:posOffset>3056780</wp:posOffset>
            </wp:positionH>
            <wp:positionV relativeFrom="paragraph">
              <wp:posOffset>1719718</wp:posOffset>
            </wp:positionV>
            <wp:extent cx="3774107" cy="2463800"/>
            <wp:effectExtent l="0" t="0" r="0" b="0"/>
            <wp:wrapNone/>
            <wp:docPr id="538202854" name="Picture 2" descr="A fox running through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02854" name="Picture 2" descr="A fox running through the grass&#10;&#10;AI-generated content may be incorrect."/>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3776252" cy="246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04C0">
        <w:rPr>
          <w:noProof/>
        </w:rPr>
        <w:drawing>
          <wp:anchor distT="0" distB="0" distL="114300" distR="114300" simplePos="0" relativeHeight="251658249" behindDoc="0" locked="0" layoutInCell="1" allowOverlap="1" wp14:anchorId="46C5218D" wp14:editId="66DD6774">
            <wp:simplePos x="0" y="0"/>
            <wp:positionH relativeFrom="column">
              <wp:posOffset>-718848</wp:posOffset>
            </wp:positionH>
            <wp:positionV relativeFrom="paragraph">
              <wp:posOffset>1718614</wp:posOffset>
            </wp:positionV>
            <wp:extent cx="3774440" cy="2463800"/>
            <wp:effectExtent l="0" t="0" r="0" b="0"/>
            <wp:wrapNone/>
            <wp:docPr id="2028349167" name="Picture 1" descr="A rodent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49167" name="Picture 1" descr="A rodent in the grass&#10;&#10;AI-generated content may be incorrect."/>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3774440" cy="2463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76C60">
        <w:rPr>
          <w:noProof/>
        </w:rPr>
        <w:drawing>
          <wp:anchor distT="0" distB="0" distL="114300" distR="114300" simplePos="0" relativeHeight="251658242" behindDoc="0" locked="0" layoutInCell="1" allowOverlap="1" wp14:anchorId="5CF530BB" wp14:editId="14795D94">
            <wp:simplePos x="0" y="0"/>
            <wp:positionH relativeFrom="column">
              <wp:posOffset>4040554</wp:posOffset>
            </wp:positionH>
            <wp:positionV relativeFrom="paragraph">
              <wp:posOffset>5383458</wp:posOffset>
            </wp:positionV>
            <wp:extent cx="2540329" cy="656019"/>
            <wp:effectExtent l="0" t="0" r="0" b="0"/>
            <wp:wrapNone/>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pic:cNvPicPr/>
                  </pic:nvPicPr>
                  <pic:blipFill>
                    <a:blip r:embed="rId25">
                      <a:extLst>
                        <a:ext uri="{96DAC541-7B7A-43D3-8B79-37D633B846F1}">
                          <asvg:svgBlip xmlns:asvg="http://schemas.microsoft.com/office/drawing/2016/SVG/main" r:embed="rId26"/>
                        </a:ext>
                      </a:extLst>
                    </a:blip>
                    <a:stretch>
                      <a:fillRect/>
                    </a:stretch>
                  </pic:blipFill>
                  <pic:spPr>
                    <a:xfrm>
                      <a:off x="0" y="0"/>
                      <a:ext cx="2540987" cy="656189"/>
                    </a:xfrm>
                    <a:prstGeom prst="rect">
                      <a:avLst/>
                    </a:prstGeom>
                  </pic:spPr>
                </pic:pic>
              </a:graphicData>
            </a:graphic>
            <wp14:sizeRelH relativeFrom="page">
              <wp14:pctWidth>0</wp14:pctWidth>
            </wp14:sizeRelH>
            <wp14:sizeRelV relativeFrom="page">
              <wp14:pctHeight>0</wp14:pctHeight>
            </wp14:sizeRelV>
          </wp:anchor>
        </w:drawing>
      </w:r>
      <w:r w:rsidR="00776C60" w:rsidRPr="00243764">
        <w:rPr>
          <w:noProof/>
        </w:rPr>
        <w:drawing>
          <wp:anchor distT="0" distB="0" distL="114300" distR="114300" simplePos="0" relativeHeight="251658241" behindDoc="0" locked="0" layoutInCell="1" allowOverlap="1" wp14:anchorId="674A1913" wp14:editId="31DC2DFF">
            <wp:simplePos x="0" y="0"/>
            <wp:positionH relativeFrom="page">
              <wp:posOffset>756059</wp:posOffset>
            </wp:positionH>
            <wp:positionV relativeFrom="page">
              <wp:posOffset>9595413</wp:posOffset>
            </wp:positionV>
            <wp:extent cx="1367879" cy="70997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RIlogo_colour_rgb.JPG"/>
                    <pic:cNvPicPr/>
                  </pic:nvPicPr>
                  <pic:blipFill>
                    <a:blip r:embed="rId27" cstate="email">
                      <a:extLst>
                        <a:ext uri="{28A0092B-C50C-407E-A947-70E740481C1C}">
                          <a14:useLocalDpi xmlns:a14="http://schemas.microsoft.com/office/drawing/2010/main"/>
                        </a:ext>
                      </a:extLst>
                    </a:blip>
                    <a:stretch>
                      <a:fillRect/>
                    </a:stretch>
                  </pic:blipFill>
                  <pic:spPr>
                    <a:xfrm>
                      <a:off x="0" y="0"/>
                      <a:ext cx="1376054" cy="714215"/>
                    </a:xfrm>
                    <a:prstGeom prst="rect">
                      <a:avLst/>
                    </a:prstGeom>
                  </pic:spPr>
                </pic:pic>
              </a:graphicData>
            </a:graphic>
            <wp14:sizeRelH relativeFrom="page">
              <wp14:pctWidth>0</wp14:pctWidth>
            </wp14:sizeRelH>
            <wp14:sizeRelV relativeFrom="page">
              <wp14:pctHeight>0</wp14:pctHeight>
            </wp14:sizeRelV>
          </wp:anchor>
        </w:drawing>
      </w:r>
      <w:r w:rsidR="00487748">
        <w:rPr>
          <w:noProof/>
        </w:rPr>
        <mc:AlternateContent>
          <mc:Choice Requires="wps">
            <w:drawing>
              <wp:anchor distT="0" distB="0" distL="114300" distR="114300" simplePos="0" relativeHeight="251658245" behindDoc="0" locked="0" layoutInCell="1" allowOverlap="1" wp14:anchorId="13B98ECB" wp14:editId="23EB64C0">
                <wp:simplePos x="0" y="0"/>
                <wp:positionH relativeFrom="column">
                  <wp:posOffset>2738755</wp:posOffset>
                </wp:positionH>
                <wp:positionV relativeFrom="paragraph">
                  <wp:posOffset>6108700</wp:posOffset>
                </wp:positionV>
                <wp:extent cx="771525" cy="254635"/>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254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1E29E8" id="Rectangle 22" o:spid="_x0000_s1026" style="position:absolute;margin-left:215.65pt;margin-top:481pt;width:60.75pt;height:20.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" fillcolor="white [3212]" stroked="f" strokeweight="2pt"/>
            </w:pict>
          </mc:Fallback>
        </mc:AlternateContent>
      </w:r>
    </w:p>
    <w:bookmarkEnd w:id="0"/>
    <w:bookmarkEnd w:id="1"/>
    <w:bookmarkEnd w:id="2"/>
    <w:p w14:paraId="2123E712" w14:textId="46924ECE" w:rsidR="00AE0893" w:rsidRPr="0054396F" w:rsidRDefault="00AE0893" w:rsidP="00260E30">
      <w:pPr>
        <w:autoSpaceDE w:val="0"/>
        <w:autoSpaceDN w:val="0"/>
        <w:adjustRightInd w:val="0"/>
        <w:spacing w:after="240"/>
        <w:rPr>
          <w:rStyle w:val="Imprint0"/>
          <w:sz w:val="18"/>
          <w:szCs w:val="18"/>
        </w:rPr>
      </w:pPr>
      <w:r w:rsidRPr="0054396F">
        <w:rPr>
          <w:rStyle w:val="Imprint0"/>
          <w:sz w:val="18"/>
          <w:szCs w:val="18"/>
        </w:rPr>
        <w:lastRenderedPageBreak/>
        <w:t xml:space="preserve">Arthur Rylah Institute for </w:t>
      </w:r>
      <w:r w:rsidRPr="1FBAE03C">
        <w:rPr>
          <w:rStyle w:val="Imprint0"/>
          <w:sz w:val="18"/>
          <w:szCs w:val="18"/>
        </w:rPr>
        <w:t>Environmental</w:t>
      </w:r>
      <w:r w:rsidRPr="0054396F">
        <w:rPr>
          <w:rStyle w:val="Imprint0"/>
          <w:sz w:val="18"/>
          <w:szCs w:val="18"/>
        </w:rPr>
        <w:t xml:space="preserve"> Research</w:t>
      </w:r>
      <w:r>
        <w:rPr>
          <w:rFonts w:eastAsiaTheme="minorHAnsi"/>
        </w:rPr>
        <w:br/>
      </w:r>
      <w:r w:rsidRPr="0054396F">
        <w:rPr>
          <w:rStyle w:val="Imprint0"/>
          <w:sz w:val="18"/>
          <w:szCs w:val="18"/>
        </w:rPr>
        <w:t>Department of Energy, Environment and Climate Action</w:t>
      </w:r>
      <w:r>
        <w:rPr>
          <w:rFonts w:eastAsiaTheme="minorHAnsi"/>
        </w:rPr>
        <w:br/>
      </w:r>
      <w:r w:rsidRPr="0054396F">
        <w:rPr>
          <w:rStyle w:val="Imprint0"/>
          <w:sz w:val="18"/>
          <w:szCs w:val="18"/>
        </w:rPr>
        <w:t>PO Box 137, Heidelberg, Victoria 3084</w:t>
      </w:r>
      <w:r>
        <w:rPr>
          <w:rFonts w:eastAsiaTheme="minorHAnsi"/>
        </w:rPr>
        <w:br/>
      </w:r>
      <w:r w:rsidRPr="0054396F">
        <w:rPr>
          <w:rStyle w:val="Imprint0"/>
          <w:sz w:val="18"/>
          <w:szCs w:val="18"/>
        </w:rPr>
        <w:t>Phone (03) 9450 8600</w:t>
      </w:r>
      <w:r>
        <w:rPr>
          <w:rFonts w:eastAsiaTheme="minorHAnsi"/>
        </w:rPr>
        <w:br/>
      </w:r>
      <w:r w:rsidRPr="0054396F">
        <w:rPr>
          <w:rStyle w:val="Imprint0"/>
          <w:sz w:val="18"/>
          <w:szCs w:val="18"/>
        </w:rPr>
        <w:t xml:space="preserve">Website: </w:t>
      </w:r>
      <w:hyperlink r:id="rId28">
        <w:r w:rsidRPr="1FBAE03C">
          <w:rPr>
            <w:rStyle w:val="Hyperlink"/>
            <w:rFonts w:eastAsia="Calibri"/>
            <w:sz w:val="18"/>
            <w:szCs w:val="18"/>
          </w:rPr>
          <w:t>www.ari.vic.gov.au</w:t>
        </w:r>
      </w:hyperlink>
    </w:p>
    <w:p w14:paraId="1939EFFB" w14:textId="1E627ACF" w:rsidR="00AE0893" w:rsidRPr="0054396F" w:rsidRDefault="00AE0893" w:rsidP="00260E30">
      <w:pPr>
        <w:autoSpaceDE w:val="0"/>
        <w:autoSpaceDN w:val="0"/>
        <w:adjustRightInd w:val="0"/>
        <w:spacing w:after="240"/>
        <w:rPr>
          <w:rStyle w:val="Imprint0"/>
          <w:sz w:val="18"/>
          <w:szCs w:val="18"/>
        </w:rPr>
      </w:pPr>
      <w:r w:rsidRPr="0054396F">
        <w:rPr>
          <w:rStyle w:val="Imprint0"/>
          <w:b/>
          <w:sz w:val="18"/>
          <w:szCs w:val="18"/>
        </w:rPr>
        <w:t>Citation</w:t>
      </w:r>
      <w:r w:rsidRPr="0054396F">
        <w:rPr>
          <w:rStyle w:val="Imprint0"/>
          <w:sz w:val="18"/>
          <w:szCs w:val="18"/>
        </w:rPr>
        <w:t xml:space="preserve">: </w:t>
      </w:r>
      <w:r w:rsidR="00054F92" w:rsidRPr="00054F92">
        <w:rPr>
          <w:rStyle w:val="Imprint0"/>
          <w:sz w:val="18"/>
          <w:szCs w:val="18"/>
        </w:rPr>
        <w:t xml:space="preserve">Robley, A., Thomson, </w:t>
      </w:r>
      <w:r w:rsidR="006271B4">
        <w:rPr>
          <w:rStyle w:val="Imprint0"/>
          <w:sz w:val="18"/>
          <w:szCs w:val="18"/>
        </w:rPr>
        <w:t xml:space="preserve">J., </w:t>
      </w:r>
      <w:r w:rsidR="00054F92" w:rsidRPr="00054F92">
        <w:rPr>
          <w:rStyle w:val="Imprint0"/>
          <w:sz w:val="18"/>
          <w:szCs w:val="18"/>
        </w:rPr>
        <w:t>Wemyss, E., Woodford, L. and Melgaard, G. (2024). Barry Mountains Ark</w:t>
      </w:r>
      <w:r w:rsidR="002E3115">
        <w:rPr>
          <w:rStyle w:val="Imprint0"/>
          <w:sz w:val="18"/>
          <w:szCs w:val="18"/>
        </w:rPr>
        <w:t xml:space="preserve"> </w:t>
      </w:r>
      <w:r w:rsidR="00054F92" w:rsidRPr="00054F92">
        <w:rPr>
          <w:rStyle w:val="Imprint0"/>
          <w:sz w:val="18"/>
          <w:szCs w:val="18"/>
        </w:rPr>
        <w:t>—</w:t>
      </w:r>
      <w:r w:rsidR="002E3115">
        <w:rPr>
          <w:rStyle w:val="Imprint0"/>
          <w:sz w:val="18"/>
          <w:szCs w:val="18"/>
        </w:rPr>
        <w:t xml:space="preserve"> 202</w:t>
      </w:r>
      <w:r w:rsidR="00FF1875">
        <w:rPr>
          <w:rStyle w:val="Imprint0"/>
          <w:sz w:val="18"/>
          <w:szCs w:val="18"/>
        </w:rPr>
        <w:t>4</w:t>
      </w:r>
      <w:r w:rsidR="002E3115">
        <w:rPr>
          <w:rStyle w:val="Imprint0"/>
          <w:sz w:val="18"/>
          <w:szCs w:val="18"/>
        </w:rPr>
        <w:t xml:space="preserve"> Update. M</w:t>
      </w:r>
      <w:r w:rsidR="00054F92" w:rsidRPr="00054F92">
        <w:rPr>
          <w:rStyle w:val="Imprint0"/>
          <w:sz w:val="18"/>
          <w:szCs w:val="18"/>
        </w:rPr>
        <w:t xml:space="preserve">anaging the Great Dividing Range Long-footed Potoroo population. Arthur Rylah Institute for Environmental Research Technical Report Series No. </w:t>
      </w:r>
      <w:r w:rsidR="00746266">
        <w:rPr>
          <w:rStyle w:val="Imprint0"/>
          <w:sz w:val="18"/>
          <w:szCs w:val="18"/>
        </w:rPr>
        <w:t>388</w:t>
      </w:r>
      <w:r w:rsidR="00054F92" w:rsidRPr="00054F92">
        <w:rPr>
          <w:rStyle w:val="Imprint0"/>
          <w:sz w:val="18"/>
          <w:szCs w:val="18"/>
        </w:rPr>
        <w:t>. Department of Energy, Environment and Climate Action, Heidelberg, Victoria.</w:t>
      </w:r>
    </w:p>
    <w:p w14:paraId="53E8AD04" w14:textId="148ECEAE" w:rsidR="00AE0893" w:rsidRPr="0054396F" w:rsidRDefault="00AE0893" w:rsidP="00260E30">
      <w:pPr>
        <w:autoSpaceDE w:val="0"/>
        <w:autoSpaceDN w:val="0"/>
        <w:adjustRightInd w:val="0"/>
        <w:spacing w:after="240"/>
        <w:rPr>
          <w:rStyle w:val="Imprint0"/>
          <w:sz w:val="18"/>
          <w:szCs w:val="18"/>
        </w:rPr>
      </w:pPr>
      <w:r w:rsidRPr="0054396F">
        <w:rPr>
          <w:rStyle w:val="Imprint0"/>
          <w:b/>
          <w:sz w:val="18"/>
          <w:szCs w:val="18"/>
        </w:rPr>
        <w:t>Front cover photo</w:t>
      </w:r>
      <w:r w:rsidRPr="00054F92">
        <w:rPr>
          <w:rStyle w:val="Imprint0"/>
          <w:sz w:val="18"/>
          <w:szCs w:val="18"/>
        </w:rPr>
        <w:t xml:space="preserve">: </w:t>
      </w:r>
      <w:r w:rsidR="00054F92" w:rsidRPr="00054F92">
        <w:rPr>
          <w:rStyle w:val="Imprint0"/>
          <w:sz w:val="18"/>
          <w:szCs w:val="18"/>
        </w:rPr>
        <w:t>Clockwise: Barry Mountains (Buckland Valley); DEECA staff setting cameras (DEECA)</w:t>
      </w:r>
      <w:r w:rsidR="00C508BE">
        <w:rPr>
          <w:rStyle w:val="Imprint0"/>
          <w:sz w:val="18"/>
          <w:szCs w:val="18"/>
        </w:rPr>
        <w:t xml:space="preserve">, </w:t>
      </w:r>
      <w:r w:rsidR="00C508BE" w:rsidRPr="00054F92">
        <w:rPr>
          <w:rStyle w:val="Imprint0"/>
          <w:sz w:val="18"/>
          <w:szCs w:val="18"/>
        </w:rPr>
        <w:t>Red Fox</w:t>
      </w:r>
      <w:r w:rsidR="001316FC">
        <w:rPr>
          <w:rStyle w:val="Imprint0"/>
          <w:sz w:val="18"/>
          <w:szCs w:val="18"/>
        </w:rPr>
        <w:t xml:space="preserve"> (DEECA)</w:t>
      </w:r>
      <w:r w:rsidR="00C508BE" w:rsidRPr="00054F92">
        <w:rPr>
          <w:rStyle w:val="Imprint0"/>
          <w:sz w:val="18"/>
          <w:szCs w:val="18"/>
        </w:rPr>
        <w:t>; Long-footed Potoroo</w:t>
      </w:r>
      <w:r w:rsidR="008D16F5">
        <w:rPr>
          <w:rStyle w:val="Imprint0"/>
          <w:sz w:val="18"/>
          <w:szCs w:val="18"/>
        </w:rPr>
        <w:t xml:space="preserve"> (DEECA)</w:t>
      </w:r>
      <w:r w:rsidRPr="00054F92">
        <w:rPr>
          <w:rStyle w:val="Imprint0"/>
          <w:sz w:val="18"/>
          <w:szCs w:val="18"/>
        </w:rPr>
        <w:t>.</w:t>
      </w:r>
    </w:p>
    <w:p w14:paraId="293149F5" w14:textId="44B7E9E8" w:rsidR="00AE0893" w:rsidRPr="00F52E34" w:rsidRDefault="00AE0893" w:rsidP="00260E30">
      <w:pPr>
        <w:autoSpaceDE w:val="0"/>
        <w:autoSpaceDN w:val="0"/>
        <w:adjustRightInd w:val="0"/>
        <w:spacing w:after="240" w:line="276" w:lineRule="auto"/>
        <w:rPr>
          <w:rStyle w:val="Imprint0"/>
          <w:sz w:val="18"/>
          <w:szCs w:val="18"/>
        </w:rPr>
      </w:pPr>
      <w:r w:rsidRPr="00F52E34">
        <w:rPr>
          <w:rStyle w:val="Imprint0"/>
          <w:sz w:val="18"/>
          <w:szCs w:val="18"/>
        </w:rPr>
        <w:t xml:space="preserve">Edited by </w:t>
      </w:r>
      <w:r w:rsidR="00F52E34" w:rsidRPr="00DC6599">
        <w:rPr>
          <w:rStyle w:val="Imprint0"/>
          <w:sz w:val="18"/>
          <w:szCs w:val="18"/>
        </w:rPr>
        <w:t>Fox Writing Services</w:t>
      </w:r>
    </w:p>
    <w:p w14:paraId="632E36B8" w14:textId="77777777" w:rsidR="003643B6" w:rsidRDefault="003643B6" w:rsidP="0098216A">
      <w:pPr>
        <w:pStyle w:val="ARIimprintpubdetails"/>
        <w:spacing w:after="120"/>
        <w:rPr>
          <w:rFonts w:ascii="Arial" w:hAnsi="Arial" w:cs="Arial"/>
          <w:b/>
          <w:bCs/>
          <w:color w:val="000000"/>
          <w:sz w:val="18"/>
          <w:szCs w:val="22"/>
        </w:rPr>
      </w:pPr>
      <w:r w:rsidRPr="003643B6">
        <w:rPr>
          <w:rFonts w:ascii="Arial" w:hAnsi="Arial" w:cs="Arial"/>
          <w:b/>
          <w:bCs/>
          <w:color w:val="000000"/>
          <w:sz w:val="18"/>
          <w:szCs w:val="22"/>
        </w:rPr>
        <w:t>ISBN 978-1-76176-114-0 (pdf/online/MS word)</w:t>
      </w:r>
    </w:p>
    <w:p w14:paraId="58C90C17" w14:textId="77C8889F" w:rsidR="0098216A" w:rsidRPr="005D7B20" w:rsidRDefault="0098216A" w:rsidP="0098216A">
      <w:pPr>
        <w:pStyle w:val="ARIimprintpubdetails"/>
        <w:spacing w:after="120"/>
        <w:rPr>
          <w:rStyle w:val="Imprint0"/>
          <w:b/>
          <w:bCs/>
          <w:sz w:val="18"/>
          <w:szCs w:val="18"/>
        </w:rPr>
      </w:pPr>
      <w:r w:rsidRPr="005D7B20">
        <w:rPr>
          <w:rStyle w:val="Imprint0"/>
          <w:b/>
          <w:bCs/>
          <w:sz w:val="18"/>
          <w:szCs w:val="18"/>
        </w:rPr>
        <w:t>ISSN 1835-3827 (print)</w:t>
      </w:r>
    </w:p>
    <w:p w14:paraId="33E1C5B8" w14:textId="77777777" w:rsidR="0098216A" w:rsidRPr="00D05863" w:rsidRDefault="0098216A" w:rsidP="0098216A">
      <w:pPr>
        <w:pStyle w:val="ARIimprintpubdetails"/>
        <w:rPr>
          <w:rStyle w:val="Imprint0"/>
          <w:b/>
          <w:bCs/>
          <w:sz w:val="18"/>
          <w:szCs w:val="18"/>
        </w:rPr>
      </w:pPr>
      <w:r w:rsidRPr="005D7B20">
        <w:rPr>
          <w:rStyle w:val="Imprint0"/>
          <w:b/>
          <w:bCs/>
          <w:sz w:val="18"/>
          <w:szCs w:val="18"/>
        </w:rPr>
        <w:t>ISSN 1835-3835 (pdf))</w:t>
      </w:r>
    </w:p>
    <w:p w14:paraId="285FEE9C" w14:textId="77777777" w:rsidR="00DB55E6" w:rsidRPr="00DB55E6" w:rsidRDefault="00DB55E6" w:rsidP="00DB55E6">
      <w:pPr>
        <w:autoSpaceDE w:val="0"/>
        <w:autoSpaceDN w:val="0"/>
        <w:rPr>
          <w:color w:val="000000"/>
          <w:sz w:val="18"/>
          <w:szCs w:val="22"/>
        </w:rPr>
      </w:pPr>
    </w:p>
    <w:p w14:paraId="64C5BBBF" w14:textId="2C6A42BF" w:rsidR="00D65DC2" w:rsidRPr="00D65DC2" w:rsidRDefault="00D7036A" w:rsidP="00DC3852">
      <w:pPr>
        <w:pStyle w:val="Titlepageheading"/>
        <w:rPr>
          <w:b w:val="0"/>
          <w:bCs w:val="0"/>
          <w:sz w:val="20"/>
          <w:szCs w:val="20"/>
        </w:rPr>
      </w:pPr>
      <w:r>
        <w:rPr>
          <w:noProof/>
        </w:rPr>
        <mc:AlternateContent>
          <mc:Choice Requires="wps">
            <w:drawing>
              <wp:inline distT="0" distB="0" distL="0" distR="0" wp14:anchorId="57E23009" wp14:editId="3BED6CF8">
                <wp:extent cx="4512310" cy="1475740"/>
                <wp:effectExtent l="0" t="9525" r="2540" b="635"/>
                <wp:docPr id="535850555" name="Freeform: Shape 32" descr="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4512310" cy="1475740"/>
                        </a:xfrm>
                        <a:custGeom>
                          <a:avLst/>
                          <a:gdLst>
                            <a:gd name="T0" fmla="*/ 0 w 3389661"/>
                            <a:gd name="T1" fmla="*/ 1476000 h 1106043"/>
                            <a:gd name="T2" fmla="*/ 0 w 3389661"/>
                            <a:gd name="T3" fmla="*/ 0 h 1106043"/>
                            <a:gd name="T4" fmla="*/ 4512216 w 3389661"/>
                            <a:gd name="T5" fmla="*/ 0 h 1106043"/>
                            <a:gd name="T6" fmla="*/ 3816245 w 3389661"/>
                            <a:gd name="T7" fmla="*/ 1476000 h 1106043"/>
                            <a:gd name="T8" fmla="*/ 0 w 3389661"/>
                            <a:gd name="T9" fmla="*/ 1476000 h 1106043"/>
                            <a:gd name="T10" fmla="*/ 0 60000 65536"/>
                            <a:gd name="T11" fmla="*/ 0 60000 65536"/>
                            <a:gd name="T12" fmla="*/ 0 60000 65536"/>
                            <a:gd name="T13" fmla="*/ 0 60000 65536"/>
                            <a:gd name="T14" fmla="*/ 0 60000 65536"/>
                            <a:gd name="T15" fmla="*/ 0 w 3389661"/>
                            <a:gd name="T16" fmla="*/ 0 h 1106043"/>
                            <a:gd name="T17" fmla="*/ 3389661 w 3389661"/>
                            <a:gd name="T18" fmla="*/ 1106043 h 1106043"/>
                          </a:gdLst>
                          <a:ahLst/>
                          <a:cxnLst>
                            <a:cxn ang="T10">
                              <a:pos x="T0" y="T1"/>
                            </a:cxn>
                            <a:cxn ang="T11">
                              <a:pos x="T2" y="T3"/>
                            </a:cxn>
                            <a:cxn ang="T12">
                              <a:pos x="T4" y="T5"/>
                            </a:cxn>
                            <a:cxn ang="T13">
                              <a:pos x="T6" y="T7"/>
                            </a:cxn>
                            <a:cxn ang="T14">
                              <a:pos x="T8" y="T9"/>
                            </a:cxn>
                          </a:cxnLst>
                          <a:rect l="T15" t="T16" r="T17" b="T18"/>
                          <a:pathLst>
                            <a:path w="3389661" h="1106043">
                              <a:moveTo>
                                <a:pt x="0" y="1106043"/>
                              </a:moveTo>
                              <a:lnTo>
                                <a:pt x="0" y="0"/>
                              </a:lnTo>
                              <a:lnTo>
                                <a:pt x="3389662" y="0"/>
                              </a:lnTo>
                              <a:lnTo>
                                <a:pt x="2866835" y="1106043"/>
                              </a:lnTo>
                              <a:lnTo>
                                <a:pt x="0" y="1106043"/>
                              </a:lnTo>
                              <a:close/>
                            </a:path>
                          </a:pathLst>
                        </a:custGeom>
                        <a:solidFill>
                          <a:schemeClr val="accent3">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58E8D" w14:textId="77777777" w:rsidR="00AD0527" w:rsidRDefault="00AD0527"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AD0527" w:rsidRDefault="00AD0527" w:rsidP="00AD0527">
                            <w:pPr>
                              <w:pStyle w:val="SmallBodyText"/>
                            </w:pPr>
                            <w:r>
                              <w:t xml:space="preserve">We honour Elders past and present whose knowledge and wisdom </w:t>
                            </w:r>
                            <w:r>
                              <w:br/>
                              <w:t>has ensured the continuation of culture and traditional practices.</w:t>
                            </w:r>
                          </w:p>
                          <w:p w14:paraId="78B4B5C1" w14:textId="77777777" w:rsidR="00AD0527" w:rsidRDefault="00AD0527" w:rsidP="00AD0527">
                            <w:pPr>
                              <w:pStyle w:val="SmallBodyText"/>
                            </w:pPr>
                            <w:r>
                              <w:t>DEECA is committed to genuinely partnering with Victorian Traditional Owners and Victoria’s Aboriginal community to progress their aspirations.</w:t>
                            </w:r>
                          </w:p>
                        </w:txbxContent>
                      </wps:txbx>
                      <wps:bodyPr rot="0" vert="horz" wrap="square" lIns="180000" tIns="90000" rIns="504000" bIns="108000" anchor="t" anchorCtr="0" upright="1">
                        <a:noAutofit/>
                      </wps:bodyPr>
                    </wps:wsp>
                  </a:graphicData>
                </a:graphic>
              </wp:inline>
            </w:drawing>
          </mc:Choice>
          <mc:Fallback>
            <w:pict>
              <v:shape w14:anchorId="57E23009" id="Freeform: Shape 32" o:spid="_x0000_s1029" alt="We acknowledge and respect Victorian Traditional Owners as the original custodians of Victoria’s land and waters, their unique ability to care for Country and deep spiritual connection to it.&#10;We honour Elders past and present whose knowledge and wisdom has ensured the continuation of culture and traditional practices.&#10;The Department of Energy, Environment and Climate Action is committed to genuinely partnering with Victorian Traditional Owners and Victoria’s Aboriginal community to progress their aspirations." style="width:355.3pt;height:116.2pt;visibility:visible;mso-wrap-style:square;mso-left-percent:-10001;mso-top-percent:-10001;mso-position-horizontal:absolute;mso-position-horizontal-relative:char;mso-position-vertical:absolute;mso-position-vertical-relative:line;mso-left-percent:-10001;mso-top-percent:-10001;v-text-anchor:top" coordsize="3389661,11060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" adj="-11796480,,5400" path="m,1106043l,,3389662,,2866835,1106043,,1106043xe" fillcolor="#201547 [3206]" stroked="f">
                <v:stroke joinstyle="miter"/>
                <v:formulas/>
                <v:path arrowok="t" o:connecttype="custom" o:connectlocs="0,1969356;0,0;6006653,0;5080178,1969356;0,1969356" o:connectangles="0,0,0,0,0" textboxrect="0,0,3389661,1106043"/>
                <o:lock v:ext="edit" aspectratio="t"/>
                <v:textbox inset="5mm,2.5mm,14mm,3mm">
                  <w:txbxContent>
                    <w:p w14:paraId="22258E8D" w14:textId="77777777" w:rsidR="00AD0527" w:rsidRDefault="00AD0527" w:rsidP="00AD0527">
                      <w:pPr>
                        <w:pStyle w:val="SmallBodyText"/>
                      </w:pPr>
                      <w:r>
                        <w:t>We acknowledge and respect Victorian Traditional Owners as the original custodians of Victoria’s land and waters, their unique ability to care for Country and deep spiritual connection to it.</w:t>
                      </w:r>
                    </w:p>
                    <w:p w14:paraId="15DA7484" w14:textId="77777777" w:rsidR="00AD0527" w:rsidRDefault="00AD0527" w:rsidP="00AD0527">
                      <w:pPr>
                        <w:pStyle w:val="SmallBodyText"/>
                      </w:pPr>
                      <w:r>
                        <w:t xml:space="preserve">We honour Elders past and present whose knowledge and wisdom </w:t>
                      </w:r>
                      <w:r>
                        <w:br/>
                        <w:t>has ensured the continuation of culture and traditional practices.</w:t>
                      </w:r>
                    </w:p>
                    <w:p w14:paraId="78B4B5C1" w14:textId="77777777" w:rsidR="00AD0527" w:rsidRDefault="00AD0527" w:rsidP="00AD0527">
                      <w:pPr>
                        <w:pStyle w:val="SmallBodyText"/>
                      </w:pPr>
                      <w:r>
                        <w:t>DEECA is committed to genuinely partnering with Victorian Traditional Owners and Victoria’s Aboriginal community to progress their aspirations.</w:t>
                      </w:r>
                    </w:p>
                  </w:txbxContent>
                </v:textbox>
                <w10:anchorlock/>
              </v:shape>
            </w:pict>
          </mc:Fallback>
        </mc:AlternateContent>
      </w:r>
      <w:r w:rsidR="00AD0527">
        <w:rPr>
          <w:noProof/>
        </w:rPr>
        <w:drawing>
          <wp:anchor distT="0" distB="0" distL="114300" distR="114300" simplePos="0" relativeHeight="251658246" behindDoc="1" locked="1" layoutInCell="1" allowOverlap="1" wp14:anchorId="1881E131" wp14:editId="02A93ED5">
            <wp:simplePos x="0" y="0"/>
            <wp:positionH relativeFrom="margin">
              <wp:posOffset>3810000</wp:posOffset>
            </wp:positionH>
            <wp:positionV relativeFrom="paragraph">
              <wp:posOffset>635</wp:posOffset>
            </wp:positionV>
            <wp:extent cx="2296795" cy="1475740"/>
            <wp:effectExtent l="0" t="0" r="8255"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cknowledgement Artwork">
                      <a:extLst>
                        <a:ext uri="{C183D7F6-B498-43B3-948B-1728B52AA6E4}">
                          <adec:decorative xmlns:adec="http://schemas.microsoft.com/office/drawing/2017/decorative" val="1"/>
                        </a:ext>
                      </a:extLst>
                    </pic:cNvPr>
                    <pic:cNvPicPr/>
                  </pic:nvPicPr>
                  <pic:blipFill>
                    <a:blip r:embed="rId29" cstate="email">
                      <a:extLst>
                        <a:ext uri="{28A0092B-C50C-407E-A947-70E740481C1C}">
                          <a14:useLocalDpi xmlns:a14="http://schemas.microsoft.com/office/drawing/2010/main"/>
                        </a:ext>
                      </a:extLst>
                    </a:blip>
                    <a:stretch>
                      <a:fillRect/>
                    </a:stretch>
                  </pic:blipFill>
                  <pic:spPr>
                    <a:xfrm>
                      <a:off x="0" y="0"/>
                      <a:ext cx="2296795" cy="1475740"/>
                    </a:xfrm>
                    <a:prstGeom prst="rect">
                      <a:avLst/>
                    </a:prstGeom>
                  </pic:spPr>
                </pic:pic>
              </a:graphicData>
            </a:graphic>
            <wp14:sizeRelH relativeFrom="page">
              <wp14:pctWidth>0</wp14:pctWidth>
            </wp14:sizeRelH>
            <wp14:sizeRelV relativeFrom="page">
              <wp14:pctHeight>0</wp14:pctHeight>
            </wp14:sizeRelV>
          </wp:anchor>
        </w:drawing>
      </w:r>
    </w:p>
    <w:p w14:paraId="6B98DDBA" w14:textId="11B69D37" w:rsidR="007749D1" w:rsidRPr="00252B7F" w:rsidRDefault="007749D1" w:rsidP="00673EB4">
      <w:pPr>
        <w:pStyle w:val="DisclaimerTextLeft"/>
        <w:framePr w:hSpace="0" w:wrap="auto" w:hAnchor="text" w:yAlign="inline"/>
        <w:spacing w:before="240"/>
        <w:suppressOverlap w:val="0"/>
        <w:rPr>
          <w:rFonts w:ascii="Arial" w:hAnsi="Arial"/>
        </w:rPr>
      </w:pPr>
      <w:r w:rsidRPr="00252B7F">
        <w:rPr>
          <w:rFonts w:ascii="Arial" w:hAnsi="Arial"/>
        </w:rPr>
        <w:t xml:space="preserve">© The State of Victoria Department of Energy, Environment and Climate Action </w:t>
      </w:r>
      <w:r w:rsidR="00746266">
        <w:rPr>
          <w:rFonts w:ascii="Arial" w:hAnsi="Arial"/>
        </w:rPr>
        <w:t>June</w:t>
      </w:r>
      <w:r w:rsidR="00054F92">
        <w:rPr>
          <w:rFonts w:ascii="Arial" w:hAnsi="Arial"/>
        </w:rPr>
        <w:t xml:space="preserve"> 202</w:t>
      </w:r>
      <w:r w:rsidR="00464F53">
        <w:rPr>
          <w:rFonts w:ascii="Arial" w:hAnsi="Arial"/>
        </w:rPr>
        <w:t>5</w:t>
      </w:r>
      <w:r w:rsidRPr="00252B7F">
        <w:rPr>
          <w:rFonts w:ascii="Arial" w:hAnsi="Arial"/>
        </w:rPr>
        <w:t>.</w:t>
      </w:r>
    </w:p>
    <w:p w14:paraId="65C7FD82" w14:textId="77777777" w:rsidR="007749D1" w:rsidRPr="00252B7F" w:rsidRDefault="007749D1" w:rsidP="007749D1">
      <w:pPr>
        <w:pStyle w:val="DisclaimerTextLeftBold"/>
        <w:framePr w:hSpace="0" w:wrap="auto" w:hAnchor="text" w:yAlign="inline"/>
        <w:suppressOverlap w:val="0"/>
        <w:rPr>
          <w:rFonts w:ascii="Arial" w:hAnsi="Arial"/>
        </w:rPr>
      </w:pPr>
      <w:r w:rsidRPr="00252B7F">
        <w:rPr>
          <w:rFonts w:ascii="Arial" w:hAnsi="Arial"/>
        </w:rPr>
        <w:t>Creative Commons</w:t>
      </w:r>
    </w:p>
    <w:p w14:paraId="445552BF" w14:textId="77777777" w:rsidR="007749D1" w:rsidRPr="00252B7F" w:rsidRDefault="007749D1" w:rsidP="007749D1">
      <w:pPr>
        <w:pStyle w:val="DisclaimerTextLeft"/>
        <w:framePr w:hSpace="0" w:wrap="auto" w:hAnchor="text" w:yAlign="inline"/>
        <w:suppressOverlap w:val="0"/>
        <w:rPr>
          <w:rFonts w:ascii="Arial" w:hAnsi="Arial"/>
        </w:rPr>
      </w:pPr>
      <w:r w:rsidRPr="00252B7F">
        <w:rPr>
          <w:rFonts w:ascii="Arial" w:hAnsi="Arial"/>
        </w:rPr>
        <w:t xml:space="preserve">This work is licensed under a Creative Commons Attribution 4.0 International licence, visit the </w:t>
      </w:r>
      <w:hyperlink r:id="rId30" w:tooltip="Creative Commons website" w:history="1">
        <w:r w:rsidRPr="00973D7E">
          <w:rPr>
            <w:rStyle w:val="Hyperlink"/>
            <w:color w:val="363534" w:themeColor="text1"/>
          </w:rPr>
          <w:t>Creative Commons website</w:t>
        </w:r>
      </w:hyperlink>
      <w:r w:rsidRPr="00252B7F">
        <w:rPr>
          <w:rFonts w:ascii="Arial" w:hAnsi="Arial"/>
        </w:rPr>
        <w:t xml:space="preserve"> (</w:t>
      </w:r>
      <w:hyperlink r:id="rId31" w:history="1">
        <w:r w:rsidRPr="00973D7E">
          <w:rPr>
            <w:rStyle w:val="Hyperlink"/>
            <w:color w:val="363534" w:themeColor="text1"/>
          </w:rPr>
          <w:t>http://creativecommons.org/licenses/by/4.0/</w:t>
        </w:r>
      </w:hyperlink>
      <w:r w:rsidRPr="00252B7F">
        <w:rPr>
          <w:rFonts w:ascii="Arial" w:hAnsi="Arial"/>
        </w:rPr>
        <w:t>).</w:t>
      </w:r>
    </w:p>
    <w:p w14:paraId="18544028" w14:textId="77777777" w:rsidR="007749D1" w:rsidRPr="00252B7F" w:rsidRDefault="007749D1" w:rsidP="007E7B78">
      <w:pPr>
        <w:pStyle w:val="DisclaimerTextLeft"/>
        <w:framePr w:hSpace="0" w:wrap="auto" w:hAnchor="text" w:yAlign="inline"/>
        <w:spacing w:after="120"/>
        <w:suppressOverlap w:val="0"/>
        <w:rPr>
          <w:rFonts w:ascii="Arial" w:hAnsi="Arial"/>
          <w:strike/>
        </w:rPr>
      </w:pPr>
      <w:r w:rsidRPr="00252B7F">
        <w:rPr>
          <w:rFonts w:ascii="Arial" w:hAnsi="Arial"/>
        </w:rPr>
        <w:t>You are free to re-use the work under that licence, on the condition that you credit the State of Victoria as author. The licence does not apply to any images, photographs or branding, including the Victorian Coat of Arms, and the Victorian Government</w:t>
      </w:r>
      <w:r w:rsidR="00606E9E" w:rsidRPr="00252B7F">
        <w:rPr>
          <w:rFonts w:ascii="Arial" w:hAnsi="Arial"/>
        </w:rPr>
        <w:t>, the</w:t>
      </w:r>
      <w:r w:rsidRPr="00252B7F">
        <w:rPr>
          <w:rFonts w:ascii="Arial" w:hAnsi="Arial"/>
        </w:rPr>
        <w:t xml:space="preserve"> Department </w:t>
      </w:r>
      <w:r w:rsidR="00606E9E" w:rsidRPr="00252B7F">
        <w:rPr>
          <w:rFonts w:ascii="Arial" w:hAnsi="Arial"/>
        </w:rPr>
        <w:t xml:space="preserve">and the ARI </w:t>
      </w:r>
      <w:r w:rsidRPr="00252B7F">
        <w:rPr>
          <w:rFonts w:ascii="Arial" w:hAnsi="Arial"/>
        </w:rPr>
        <w:t>logos.</w:t>
      </w:r>
    </w:p>
    <w:p w14:paraId="283C0BB1" w14:textId="77777777" w:rsidR="007749D1" w:rsidRPr="00252B7F" w:rsidRDefault="007749D1" w:rsidP="007749D1">
      <w:pPr>
        <w:pStyle w:val="DisclaimerTextRightBold"/>
        <w:framePr w:hSpace="0" w:wrap="auto" w:hAnchor="text" w:yAlign="inline"/>
        <w:suppressOverlap w:val="0"/>
        <w:rPr>
          <w:rFonts w:ascii="Arial" w:hAnsi="Arial"/>
          <w:b/>
        </w:rPr>
      </w:pPr>
      <w:r w:rsidRPr="00252B7F">
        <w:rPr>
          <w:rFonts w:ascii="Arial" w:hAnsi="Arial"/>
          <w:b/>
        </w:rPr>
        <w:t>Disclaimer</w:t>
      </w:r>
    </w:p>
    <w:p w14:paraId="22995A1F" w14:textId="44B13D80" w:rsidR="007749D1" w:rsidRPr="00252B7F" w:rsidRDefault="007749D1" w:rsidP="007E7B78">
      <w:pPr>
        <w:pStyle w:val="DisclaimerTextRight"/>
        <w:framePr w:hSpace="0" w:wrap="auto" w:hAnchor="text" w:yAlign="inline"/>
        <w:spacing w:after="120"/>
        <w:suppressOverlap w:val="0"/>
        <w:rPr>
          <w:rFonts w:ascii="Arial" w:hAnsi="Arial"/>
        </w:rPr>
      </w:pPr>
      <w:r w:rsidRPr="00252B7F">
        <w:rPr>
          <w:rFonts w:ascii="Arial" w:hAnsi="Arial"/>
        </w:rPr>
        <w:t xml:space="preserve">This publication may be of assistance to </w:t>
      </w:r>
      <w:r w:rsidR="00AF1CD2" w:rsidRPr="00252B7F">
        <w:rPr>
          <w:rFonts w:ascii="Arial" w:hAnsi="Arial"/>
        </w:rPr>
        <w:t>you,</w:t>
      </w:r>
      <w:r w:rsidRPr="00252B7F">
        <w:rPr>
          <w:rFonts w:ascii="Arial" w:hAnsi="Arial"/>
        </w:rPr>
        <w:t xml:space="preserve">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7023226A" w14:textId="77777777" w:rsidR="007749D1" w:rsidRPr="00252B7F" w:rsidRDefault="007749D1" w:rsidP="00441C1C">
      <w:pPr>
        <w:pStyle w:val="DisclaimerTextRightBold"/>
        <w:framePr w:hSpace="0" w:wrap="auto" w:hAnchor="text" w:yAlign="inline"/>
        <w:suppressOverlap w:val="0"/>
        <w:rPr>
          <w:rFonts w:ascii="Arial" w:hAnsi="Arial"/>
          <w:b/>
        </w:rPr>
      </w:pPr>
      <w:r w:rsidRPr="00252B7F">
        <w:rPr>
          <w:rFonts w:ascii="Arial" w:hAnsi="Arial"/>
          <w:b/>
        </w:rPr>
        <w:t>Accessibility</w:t>
      </w:r>
    </w:p>
    <w:p w14:paraId="77251869" w14:textId="77777777" w:rsidR="00837FE9" w:rsidRPr="00252B7F" w:rsidRDefault="00837FE9" w:rsidP="00837FE9">
      <w:pPr>
        <w:pStyle w:val="DisclaimerTextRight12pt"/>
        <w:framePr w:hSpace="0" w:wrap="auto" w:hAnchor="text" w:yAlign="inline"/>
        <w:suppressOverlap w:val="0"/>
        <w:rPr>
          <w:rFonts w:ascii="Arial" w:hAnsi="Arial"/>
        </w:rPr>
      </w:pPr>
      <w:r w:rsidRPr="00252B7F">
        <w:rPr>
          <w:rFonts w:ascii="Arial" w:hAnsi="Arial"/>
        </w:rPr>
        <w:t xml:space="preserve">To receive this document in an alternative format, phone the Customer Service Centre on 136 186, email </w:t>
      </w:r>
      <w:hyperlink r:id="rId32" w:history="1">
        <w:r w:rsidRPr="00CB1C0B">
          <w:rPr>
            <w:rStyle w:val="Hyperlink"/>
            <w:color w:val="363534" w:themeColor="text1"/>
          </w:rPr>
          <w:t>customer.service@delwp.vic.gov.au</w:t>
        </w:r>
      </w:hyperlink>
      <w:r w:rsidRPr="00252B7F">
        <w:rPr>
          <w:rFonts w:ascii="Arial" w:hAnsi="Arial"/>
        </w:rPr>
        <w:t xml:space="preserve">, or contact National Relay Service on 133 677. Available at </w:t>
      </w:r>
      <w:hyperlink r:id="rId33" w:tooltip="Department of Energy, Environment and Climate Action website" w:history="1">
        <w:r w:rsidRPr="00CB1C0B">
          <w:rPr>
            <w:rStyle w:val="Hyperlink"/>
            <w:color w:val="363534" w:themeColor="text1"/>
          </w:rPr>
          <w:t>DEECA website</w:t>
        </w:r>
      </w:hyperlink>
      <w:r w:rsidRPr="00252B7F">
        <w:rPr>
          <w:rFonts w:ascii="Arial" w:hAnsi="Arial"/>
        </w:rPr>
        <w:t xml:space="preserve"> (www.deeca.vic.gov.au). </w:t>
      </w:r>
    </w:p>
    <w:p w14:paraId="0EEC1D78" w14:textId="22D24170" w:rsidR="007749D1" w:rsidRPr="00441C1C" w:rsidRDefault="007749D1" w:rsidP="007749D1">
      <w:pPr>
        <w:pStyle w:val="DisclaimerTextRight12pt"/>
        <w:framePr w:hSpace="0" w:wrap="auto" w:hAnchor="text" w:yAlign="inline"/>
        <w:suppressOverlap w:val="0"/>
        <w:rPr>
          <w:rFonts w:ascii="Arial" w:hAnsi="Arial"/>
          <w:sz w:val="20"/>
        </w:rPr>
      </w:pPr>
      <w:r w:rsidRPr="00441C1C">
        <w:rPr>
          <w:rFonts w:ascii="Arial" w:hAnsi="Arial"/>
          <w:sz w:val="20"/>
        </w:rPr>
        <w:t xml:space="preserve">. </w:t>
      </w:r>
    </w:p>
    <w:p w14:paraId="2A526408" w14:textId="77777777" w:rsidR="007749D1" w:rsidRDefault="007749D1" w:rsidP="00DC3852">
      <w:pPr>
        <w:pStyle w:val="Titlepageheading"/>
        <w:sectPr w:rsidR="007749D1" w:rsidSect="005E0B7E">
          <w:headerReference w:type="default" r:id="rId34"/>
          <w:footerReference w:type="default" r:id="rId35"/>
          <w:headerReference w:type="first" r:id="rId36"/>
          <w:footerReference w:type="first" r:id="rId37"/>
          <w:pgSz w:w="11906" w:h="16838" w:code="9"/>
          <w:pgMar w:top="1134" w:right="1134" w:bottom="1134" w:left="1134" w:header="709" w:footer="709" w:gutter="0"/>
          <w:pgNumType w:fmt="lowerRoman"/>
          <w:cols w:space="708"/>
          <w:vAlign w:val="bottom"/>
          <w:titlePg/>
          <w:docGrid w:linePitch="360"/>
        </w:sectPr>
      </w:pPr>
    </w:p>
    <w:p w14:paraId="619FF660" w14:textId="77777777" w:rsidR="00FE4822" w:rsidRDefault="00FE4822" w:rsidP="00DC3852">
      <w:pPr>
        <w:pStyle w:val="Titlepageheading"/>
      </w:pPr>
    </w:p>
    <w:p w14:paraId="7C1A5277" w14:textId="74A60E27" w:rsidR="00243764" w:rsidRPr="008352D5" w:rsidRDefault="00054F92" w:rsidP="00DC3852">
      <w:pPr>
        <w:pStyle w:val="Titlepageheading"/>
      </w:pPr>
      <w:r w:rsidRPr="00054F92">
        <w:t>Barry Mountains Ark</w:t>
      </w:r>
      <w:r w:rsidR="00025AF4">
        <w:t xml:space="preserve"> – 202</w:t>
      </w:r>
      <w:r w:rsidR="00464F53">
        <w:t>4</w:t>
      </w:r>
      <w:r w:rsidR="00025AF4">
        <w:t xml:space="preserve"> Update</w:t>
      </w:r>
    </w:p>
    <w:p w14:paraId="18DAA9ED" w14:textId="5A02F1E1" w:rsidR="00DA7D7F" w:rsidRPr="008352D5" w:rsidRDefault="00054F92" w:rsidP="00DC3852">
      <w:pPr>
        <w:pStyle w:val="Titlepagesubtitle"/>
      </w:pPr>
      <w:r>
        <w:t>Managing the Great Dividing Range Long-footed Potoroo population</w:t>
      </w:r>
    </w:p>
    <w:p w14:paraId="17B5A4F8" w14:textId="77777777" w:rsidR="00243764" w:rsidRPr="00856D1B" w:rsidRDefault="00243764" w:rsidP="00DC3852">
      <w:pPr>
        <w:pStyle w:val="Titlepagesubtitle"/>
      </w:pPr>
    </w:p>
    <w:p w14:paraId="2E867697" w14:textId="77777777" w:rsidR="00243764" w:rsidRPr="00856D1B" w:rsidRDefault="00243764" w:rsidP="00DC3852">
      <w:pPr>
        <w:pStyle w:val="Titlepagesubtitle"/>
      </w:pPr>
    </w:p>
    <w:p w14:paraId="1198392F" w14:textId="44CA492F" w:rsidR="00243764" w:rsidRPr="008352D5" w:rsidRDefault="00054F92" w:rsidP="00DC3852">
      <w:pPr>
        <w:pStyle w:val="Titlepagesubtitle"/>
      </w:pPr>
      <w:r w:rsidRPr="00054F92">
        <w:t>Alan Robley, Jim Thomson, Elizabeth Wemyss</w:t>
      </w:r>
      <w:r w:rsidR="003E177E">
        <w:rPr>
          <w:vertAlign w:val="superscript"/>
        </w:rPr>
        <w:t>1</w:t>
      </w:r>
      <w:r w:rsidRPr="00054F92">
        <w:t>, Luke Woodford and Gavin Melgaard</w:t>
      </w:r>
      <w:r w:rsidR="000B6074">
        <w:rPr>
          <w:vertAlign w:val="superscript"/>
        </w:rPr>
        <w:t>2</w:t>
      </w:r>
    </w:p>
    <w:p w14:paraId="17D6810A" w14:textId="77777777" w:rsidR="00243764" w:rsidRPr="008352D5" w:rsidRDefault="00243764" w:rsidP="00DC3852">
      <w:pPr>
        <w:pStyle w:val="Titlepagesubtitle"/>
      </w:pPr>
    </w:p>
    <w:p w14:paraId="1B21229E" w14:textId="77777777" w:rsidR="00DD09BE" w:rsidRPr="008352D5" w:rsidRDefault="00DD09BE" w:rsidP="00DC3852">
      <w:pPr>
        <w:pStyle w:val="Titlepagesubtitle"/>
      </w:pPr>
    </w:p>
    <w:p w14:paraId="6139D3E6" w14:textId="77777777" w:rsidR="006A33F1" w:rsidRPr="008352D5" w:rsidRDefault="006A33F1" w:rsidP="00DC3852">
      <w:pPr>
        <w:pStyle w:val="Titlepagesubtitle"/>
      </w:pPr>
    </w:p>
    <w:p w14:paraId="028309DB" w14:textId="77777777" w:rsidR="006A33F1" w:rsidRPr="008352D5" w:rsidRDefault="006A33F1" w:rsidP="00DC3852">
      <w:pPr>
        <w:pStyle w:val="Titlepagesubtitle"/>
      </w:pPr>
    </w:p>
    <w:p w14:paraId="781DCE3A" w14:textId="77777777" w:rsidR="00744A3D" w:rsidRPr="00B455FF" w:rsidRDefault="00744A3D" w:rsidP="00DC3852">
      <w:pPr>
        <w:pStyle w:val="Subtitle"/>
      </w:pPr>
    </w:p>
    <w:p w14:paraId="2A7D85B4" w14:textId="186FD65E" w:rsidR="00744A3D" w:rsidRPr="00DD09BE" w:rsidRDefault="00744A3D" w:rsidP="00DC3852">
      <w:r w:rsidRPr="00DD09BE">
        <w:t>Arthur Rylah Institute for Environmental Research</w:t>
      </w:r>
      <w:r w:rsidR="00DB2DB2">
        <w:br/>
        <w:t>Department of Energy, Environment and Climate Action</w:t>
      </w:r>
      <w:r w:rsidRPr="00DD09BE">
        <w:t xml:space="preserve"> </w:t>
      </w:r>
      <w:r w:rsidRPr="00DD09BE">
        <w:br/>
        <w:t>123 Brown Street, Heidelberg, Victoria 3084</w:t>
      </w:r>
    </w:p>
    <w:p w14:paraId="2C7F13E6" w14:textId="7DC67781" w:rsidR="00744A3D" w:rsidRPr="00DD09BE" w:rsidRDefault="003E177E" w:rsidP="00054F92">
      <w:r>
        <w:rPr>
          <w:vertAlign w:val="superscript"/>
        </w:rPr>
        <w:t>1</w:t>
      </w:r>
      <w:r w:rsidR="00054F92">
        <w:t xml:space="preserve">, </w:t>
      </w:r>
      <w:r w:rsidR="00EC5FF1">
        <w:t xml:space="preserve">Department of Energy, Environment and Climate Action, </w:t>
      </w:r>
      <w:r w:rsidR="00BC50D2" w:rsidRPr="00C950FE">
        <w:t>Regions, Environment, Climate Action and First Peoples</w:t>
      </w:r>
      <w:r w:rsidR="00BC50D2">
        <w:t xml:space="preserve"> Division,</w:t>
      </w:r>
      <w:r w:rsidR="00054F92">
        <w:t xml:space="preserve"> Hume Region, </w:t>
      </w:r>
      <w:r w:rsidR="003D6EF9">
        <w:br/>
      </w:r>
      <w:r w:rsidR="00BC50D2">
        <w:t xml:space="preserve">1 </w:t>
      </w:r>
      <w:r w:rsidR="000B6074">
        <w:t xml:space="preserve">McKoy </w:t>
      </w:r>
      <w:r w:rsidR="003D6EF9">
        <w:t>Street, Wodonga V</w:t>
      </w:r>
      <w:r w:rsidR="00EC5FF1">
        <w:t>IC</w:t>
      </w:r>
      <w:r w:rsidR="003D6EF9">
        <w:t xml:space="preserve"> 3689</w:t>
      </w:r>
    </w:p>
    <w:p w14:paraId="2F66AC4E" w14:textId="2EA59F19" w:rsidR="00FF2571" w:rsidRPr="000B6074" w:rsidRDefault="000B6074" w:rsidP="00054F92">
      <w:r w:rsidRPr="000F1520">
        <w:rPr>
          <w:vertAlign w:val="superscript"/>
        </w:rPr>
        <w:t>2</w:t>
      </w:r>
      <w:r w:rsidR="00FF2571">
        <w:rPr>
          <w:vertAlign w:val="superscript"/>
        </w:rPr>
        <w:t xml:space="preserve"> </w:t>
      </w:r>
      <w:r w:rsidR="007F27C6">
        <w:t xml:space="preserve">Department of Energy, Environment and Climate Action, </w:t>
      </w:r>
      <w:r w:rsidR="00FF2571">
        <w:t xml:space="preserve">Bushfire and Forest Services, </w:t>
      </w:r>
      <w:r w:rsidR="007F27C6">
        <w:t xml:space="preserve">Hume Region, </w:t>
      </w:r>
      <w:r w:rsidR="006019EA">
        <w:br/>
      </w:r>
      <w:r w:rsidR="006019EA" w:rsidRPr="006019EA">
        <w:t>5340 Great Alpine Rd, Ovens VIC 3738</w:t>
      </w:r>
    </w:p>
    <w:p w14:paraId="6A766208" w14:textId="77777777" w:rsidR="00744A3D" w:rsidRPr="00DD09BE" w:rsidRDefault="00744A3D" w:rsidP="00DC3852">
      <w:pPr>
        <w:pStyle w:val="Subtitle"/>
      </w:pPr>
      <w:r w:rsidRPr="00DD09BE">
        <w:t>Date</w:t>
      </w:r>
    </w:p>
    <w:p w14:paraId="5A9BBC8C" w14:textId="77777777" w:rsidR="006A33F1" w:rsidRDefault="006A33F1" w:rsidP="00DC3852">
      <w:pPr>
        <w:pStyle w:val="Titlepagesubtitle"/>
      </w:pPr>
    </w:p>
    <w:p w14:paraId="239D396D" w14:textId="3E0DEE1E" w:rsidR="00B2382F" w:rsidRPr="00B2382F" w:rsidRDefault="006A33F1" w:rsidP="00DC3852">
      <w:pPr>
        <w:pStyle w:val="Titlepagesubtitle"/>
      </w:pPr>
      <w:r w:rsidRPr="00772526">
        <w:rPr>
          <w:b w:val="0"/>
        </w:rPr>
        <w:t>Arthur Rylah Institute for Environmental Research</w:t>
      </w:r>
      <w:r w:rsidRPr="008352D5">
        <w:br/>
      </w:r>
      <w:r w:rsidR="002F04B4" w:rsidRPr="00054F92">
        <w:t>Technical</w:t>
      </w:r>
      <w:r w:rsidR="00DE7B6D" w:rsidRPr="00054F92">
        <w:t xml:space="preserve"> Report </w:t>
      </w:r>
      <w:r w:rsidR="002F04B4" w:rsidRPr="00054F92">
        <w:t>Series No.</w:t>
      </w:r>
      <w:r w:rsidR="00DE7B6D" w:rsidRPr="00054F92">
        <w:t xml:space="preserve"> </w:t>
      </w:r>
      <w:r w:rsidR="00746266">
        <w:t>388</w:t>
      </w:r>
    </w:p>
    <w:p w14:paraId="61B0DA05" w14:textId="77777777" w:rsidR="00DA7D7F" w:rsidRPr="00243764" w:rsidRDefault="00DD09BE" w:rsidP="00DC3852">
      <w:r>
        <w:t xml:space="preserve"> </w:t>
      </w:r>
    </w:p>
    <w:p w14:paraId="58A8E056" w14:textId="77777777" w:rsidR="00DA7D7F" w:rsidRPr="00243764" w:rsidRDefault="00DA7D7F" w:rsidP="00DC3852">
      <w:pPr>
        <w:sectPr w:rsidR="00DA7D7F" w:rsidRPr="00243764" w:rsidSect="006A33F1">
          <w:pgSz w:w="11906" w:h="16838" w:code="9"/>
          <w:pgMar w:top="1134" w:right="1134" w:bottom="1134" w:left="1134" w:header="709" w:footer="709" w:gutter="0"/>
          <w:pgNumType w:fmt="lowerRoman"/>
          <w:cols w:space="708"/>
          <w:titlePg/>
          <w:docGrid w:linePitch="360"/>
        </w:sectPr>
      </w:pPr>
    </w:p>
    <w:p w14:paraId="61B31A02" w14:textId="77777777" w:rsidR="00843C86" w:rsidRPr="00B049AA" w:rsidRDefault="00843C86" w:rsidP="0071429D">
      <w:pPr>
        <w:pStyle w:val="Heading1"/>
        <w:rPr>
          <w:b w:val="0"/>
          <w:bCs/>
          <w:sz w:val="40"/>
          <w:szCs w:val="40"/>
        </w:rPr>
      </w:pPr>
      <w:bookmarkStart w:id="3" w:name="_Toc409798395"/>
      <w:bookmarkStart w:id="4" w:name="_Toc286018758"/>
      <w:bookmarkStart w:id="5" w:name="_Toc192146578"/>
      <w:r w:rsidRPr="00B049AA">
        <w:rPr>
          <w:b w:val="0"/>
          <w:bCs/>
          <w:sz w:val="40"/>
          <w:szCs w:val="40"/>
        </w:rPr>
        <w:lastRenderedPageBreak/>
        <w:t>Acknowledgements</w:t>
      </w:r>
      <w:bookmarkEnd w:id="3"/>
      <w:bookmarkEnd w:id="4"/>
      <w:bookmarkEnd w:id="5"/>
    </w:p>
    <w:p w14:paraId="16C13DBD" w14:textId="77777777" w:rsidR="00AC2ACC" w:rsidRDefault="00AC2ACC" w:rsidP="00AC2ACC">
      <w:bookmarkStart w:id="6" w:name="_Hlk187160236"/>
      <w:r>
        <w:t>This project was funded through the Victorian Government Bushfire Biodiversity Response and Recovery (BBRR) program (supporting Victoria’s bushfire-impacted wildlife and biodiversity), the Weeds and Pests on Public Land Program, and Parks Victoria. This funding was supported by the Australian Government's Bushfire Recovery Program for Wildlife and Their Habitat package.</w:t>
      </w:r>
    </w:p>
    <w:p w14:paraId="58422AE1" w14:textId="6DDD1571" w:rsidR="004D36A5" w:rsidRDefault="00AC2ACC" w:rsidP="004D36A5">
      <w:bookmarkStart w:id="7" w:name="_Hlk164321210"/>
      <w:r w:rsidRPr="000C50F2">
        <w:t>Field work for the 2020–202</w:t>
      </w:r>
      <w:r w:rsidR="00AB56BF">
        <w:t>4</w:t>
      </w:r>
      <w:r w:rsidRPr="000C50F2">
        <w:t xml:space="preserve"> sampling was undertaken by</w:t>
      </w:r>
      <w:r w:rsidR="00C7173A">
        <w:t>:</w:t>
      </w:r>
      <w:r w:rsidRPr="000C50F2">
        <w:t xml:space="preserve"> </w:t>
      </w:r>
    </w:p>
    <w:p w14:paraId="6D5AC4D8" w14:textId="21C58760" w:rsidR="004D36A5" w:rsidRDefault="004D36A5" w:rsidP="004D36A5">
      <w:r w:rsidRPr="00220574">
        <w:t>Jerry Alexander, Travis Applegarth,</w:t>
      </w:r>
      <w:r>
        <w:t xml:space="preserve"> </w:t>
      </w:r>
      <w:r w:rsidRPr="00220574">
        <w:t>Maddy Barker, Geoff Beach, Nathan Beach, Corey Bosley, Brett Bouker, Bec Briody,</w:t>
      </w:r>
      <w:r>
        <w:t xml:space="preserve"> </w:t>
      </w:r>
      <w:r w:rsidRPr="00220574">
        <w:t>Irene Brouwer,</w:t>
      </w:r>
      <w:r>
        <w:t xml:space="preserve"> </w:t>
      </w:r>
      <w:r w:rsidRPr="00220574">
        <w:t>Nick Buckley,</w:t>
      </w:r>
      <w:r>
        <w:t xml:space="preserve"> </w:t>
      </w:r>
      <w:r w:rsidRPr="00220574">
        <w:t>Mick Caf</w:t>
      </w:r>
      <w:r>
        <w:t>e</w:t>
      </w:r>
      <w:r w:rsidRPr="00220574">
        <w:t xml:space="preserve">, </w:t>
      </w:r>
      <w:r w:rsidRPr="00E6215B">
        <w:t xml:space="preserve">Laura Coverdale, </w:t>
      </w:r>
      <w:r w:rsidRPr="00220574">
        <w:t>Kylie Croucher, Kaustuv Dahal,</w:t>
      </w:r>
      <w:r w:rsidRPr="00E6215B">
        <w:t xml:space="preserve"> Diana Dogan,</w:t>
      </w:r>
      <w:r>
        <w:t xml:space="preserve"> </w:t>
      </w:r>
      <w:r w:rsidRPr="00220574">
        <w:t>Justine Dungan,</w:t>
      </w:r>
      <w:r>
        <w:t xml:space="preserve"> </w:t>
      </w:r>
      <w:r w:rsidRPr="00220574">
        <w:t>Brendan Fraser, Casey Hawkey, Matt Hicks, Alex Huggins, Carol Jadraque, Glen Johnson, Pennie Keenes, Lachlan King, Steve LeBrun, Dan Littlewood, Ella Loeffler, Vanessa Lucy, Damien McMaster, Gavin Melgaard, Mark Notman,</w:t>
      </w:r>
      <w:r>
        <w:t xml:space="preserve"> </w:t>
      </w:r>
      <w:r w:rsidRPr="00220574">
        <w:t>James O'Shea,</w:t>
      </w:r>
      <w:r>
        <w:t xml:space="preserve"> </w:t>
      </w:r>
      <w:r w:rsidRPr="00220574">
        <w:t>Joe Paterson, Daniel Pendavingh, Keith Primrose, Dylan Pritchard, Jane Roots, Josh Russo, Greg Scott, Monique Semmens, Nikki Sigmund, Ben Staker, Amy Stephens, Rhiannon Stute, Emily Voogt, Elizabeth Wemyss, Matt Whitney, Lydia Wilson</w:t>
      </w:r>
      <w:r>
        <w:t xml:space="preserve"> and </w:t>
      </w:r>
      <w:r w:rsidRPr="00220574">
        <w:t>Blair Yates</w:t>
      </w:r>
      <w:r>
        <w:t xml:space="preserve"> from </w:t>
      </w:r>
      <w:r w:rsidR="00CE17F9">
        <w:t xml:space="preserve">the </w:t>
      </w:r>
      <w:r>
        <w:t>Department of Energy, Environment and Climate Action.</w:t>
      </w:r>
    </w:p>
    <w:p w14:paraId="4E3E8256" w14:textId="77777777" w:rsidR="004D36A5" w:rsidRDefault="004D36A5" w:rsidP="004D36A5">
      <w:r w:rsidRPr="00220574">
        <w:t>Hannah Clemen, Jim Craven, Lili Donaldson, Remi Flynn-Lindsay,</w:t>
      </w:r>
      <w:r>
        <w:t xml:space="preserve"> Z</w:t>
      </w:r>
      <w:r w:rsidRPr="00220574">
        <w:t>oey Godfrey, Thomas Grounds, Noah Honeysett, Craig Hore, Alex Jennings,</w:t>
      </w:r>
      <w:r>
        <w:t xml:space="preserve"> </w:t>
      </w:r>
      <w:r w:rsidRPr="00220574">
        <w:t>Tim Northy, Steph Riley</w:t>
      </w:r>
      <w:r>
        <w:t xml:space="preserve"> and </w:t>
      </w:r>
      <w:r w:rsidRPr="00220574">
        <w:t>Tomas Sanchez</w:t>
      </w:r>
      <w:r>
        <w:t xml:space="preserve"> from Parks Victoria.</w:t>
      </w:r>
    </w:p>
    <w:p w14:paraId="4F1AFE6C" w14:textId="77777777" w:rsidR="004D36A5" w:rsidRDefault="004D36A5" w:rsidP="004D36A5">
      <w:r w:rsidRPr="00220574">
        <w:t>Darren Detez, Tom Griffiths, Skye Hunter,</w:t>
      </w:r>
      <w:r>
        <w:t xml:space="preserve"> </w:t>
      </w:r>
      <w:r w:rsidRPr="00220574">
        <w:t xml:space="preserve">Jack Hyatt, </w:t>
      </w:r>
      <w:r>
        <w:t>S</w:t>
      </w:r>
      <w:r w:rsidRPr="00220574">
        <w:t>hane Monk</w:t>
      </w:r>
      <w:r>
        <w:t xml:space="preserve"> and L</w:t>
      </w:r>
      <w:r w:rsidRPr="00220574">
        <w:t>ucas Russell</w:t>
      </w:r>
      <w:r>
        <w:t xml:space="preserve"> from Taungurung Land and Waters Council. </w:t>
      </w:r>
      <w:r w:rsidRPr="00220574">
        <w:t xml:space="preserve">Lochlann Allen, Blair McCallum, Veronika </w:t>
      </w:r>
      <w:r>
        <w:t>M</w:t>
      </w:r>
      <w:r w:rsidRPr="00220574">
        <w:t>unar, Bronte Munro, Aiden O’Dempsey, Jack Schenk</w:t>
      </w:r>
      <w:r>
        <w:t xml:space="preserve"> and </w:t>
      </w:r>
      <w:r w:rsidRPr="00220574">
        <w:t>Daphne Tripodi</w:t>
      </w:r>
      <w:r>
        <w:t xml:space="preserve"> from BIIK Environmental.</w:t>
      </w:r>
    </w:p>
    <w:p w14:paraId="599F65A0" w14:textId="55D822C5" w:rsidR="004D36A5" w:rsidRDefault="004D36A5" w:rsidP="004D36A5">
      <w:r>
        <w:t xml:space="preserve">Volunteers, University students, PhD Candidates and their supervisors Matthew Lincoln and Charlie Pascoe; </w:t>
      </w:r>
      <w:r w:rsidRPr="00E6215B">
        <w:t>Mikala Hackett</w:t>
      </w:r>
      <w:r>
        <w:t xml:space="preserve"> (Myrtleford P-12);</w:t>
      </w:r>
      <w:r w:rsidRPr="00E6215B">
        <w:t xml:space="preserve"> </w:t>
      </w:r>
      <w:r>
        <w:t xml:space="preserve">Christine Brazier, Ben Collins and Stephen Hart (Charles Sturt University); </w:t>
      </w:r>
      <w:r w:rsidRPr="00E6215B">
        <w:t>Aviya Naccarella</w:t>
      </w:r>
      <w:r>
        <w:t xml:space="preserve"> (Deakin University); </w:t>
      </w:r>
      <w:r w:rsidRPr="00E6215B">
        <w:t>Emily McIntyr</w:t>
      </w:r>
      <w:r>
        <w:t xml:space="preserve">e (Monash University) </w:t>
      </w:r>
      <w:r w:rsidR="0093621E">
        <w:t>and</w:t>
      </w:r>
      <w:r>
        <w:t xml:space="preserve"> </w:t>
      </w:r>
      <w:r w:rsidRPr="00E6215B">
        <w:t>Camille Truong</w:t>
      </w:r>
      <w:r>
        <w:t xml:space="preserve"> (Royal Botanic Gardens). </w:t>
      </w:r>
    </w:p>
    <w:p w14:paraId="19884FEF" w14:textId="26087290" w:rsidR="00AC2ACC" w:rsidRPr="000C50F2" w:rsidRDefault="004D36A5" w:rsidP="00AC2ACC">
      <w:r>
        <w:t>Rachael Bartlett and Willow Bourke from Wildlife Unlimited.</w:t>
      </w:r>
      <w:r w:rsidR="00AC2ACC" w:rsidRPr="000C50F2">
        <w:t xml:space="preserve"> </w:t>
      </w:r>
      <w:bookmarkEnd w:id="7"/>
      <w:r w:rsidR="00AC2ACC" w:rsidRPr="000C50F2">
        <w:t>The 2007–2009 field sampling was undertaken by Ryan Chick, Katie Howard, Micaela Jemison, Ruth Lennie, Phoebe Macak, Dan Purdey, Manieka Reid</w:t>
      </w:r>
      <w:r w:rsidR="001B48CE">
        <w:t>,</w:t>
      </w:r>
      <w:r w:rsidR="00AC2ACC" w:rsidRPr="000C50F2">
        <w:t xml:space="preserve"> </w:t>
      </w:r>
      <w:r w:rsidR="004975C3">
        <w:t xml:space="preserve">and </w:t>
      </w:r>
      <w:r w:rsidR="00AC2ACC" w:rsidRPr="000C50F2">
        <w:t>Steve Coulson, Amie Douglas, Rena Gabrov, Laura Owen and Heidi Snow (Wildlife Unlimited). This component was led by Lindy Lumsden, with contributions from Jerry Alexander, Charlie Pascoe and Michael Scroggie. Funding was provided from the (then) Department of Sustainability and Environment, the (then) Department of the Environment and Water Resources, and Parks Victoria.</w:t>
      </w:r>
    </w:p>
    <w:bookmarkEnd w:id="6"/>
    <w:p w14:paraId="3A52EDD8" w14:textId="245B23A3" w:rsidR="00422EA7" w:rsidRDefault="00AC2ACC" w:rsidP="00AC2ACC">
      <w:r w:rsidRPr="00B4576E">
        <w:t xml:space="preserve">Earlier drafts of this report were improved by </w:t>
      </w:r>
      <w:r w:rsidR="005F0F2A">
        <w:t>Caro</w:t>
      </w:r>
      <w:r w:rsidR="0093621E">
        <w:t xml:space="preserve">l </w:t>
      </w:r>
      <w:r w:rsidR="005F0F2A">
        <w:t>Ja</w:t>
      </w:r>
      <w:r w:rsidR="0093621E">
        <w:t>draque</w:t>
      </w:r>
      <w:r w:rsidR="00DC6599">
        <w:t>.</w:t>
      </w:r>
    </w:p>
    <w:p w14:paraId="1A7B5CB3" w14:textId="77777777" w:rsidR="003004D9" w:rsidRDefault="003004D9" w:rsidP="003004D9"/>
    <w:p w14:paraId="09A001B8" w14:textId="7EE49E8D" w:rsidR="003004D9" w:rsidRPr="003004D9" w:rsidRDefault="002A3928" w:rsidP="003004D9">
      <w:pPr>
        <w:sectPr w:rsidR="003004D9" w:rsidRPr="003004D9" w:rsidSect="00DC304D">
          <w:footerReference w:type="first" r:id="rId38"/>
          <w:pgSz w:w="11907" w:h="16840" w:code="9"/>
          <w:pgMar w:top="1134" w:right="1134" w:bottom="1134" w:left="1134" w:header="709" w:footer="567" w:gutter="0"/>
          <w:pgNumType w:fmt="lowerRoman" w:start="2"/>
          <w:cols w:space="708"/>
          <w:formProt w:val="0"/>
          <w:titlePg/>
          <w:docGrid w:linePitch="360"/>
        </w:sectPr>
      </w:pPr>
      <w:r>
        <w:br w:type="column"/>
      </w:r>
    </w:p>
    <w:p w14:paraId="5A6E9648" w14:textId="77777777" w:rsidR="004578FA" w:rsidRPr="00FE4E7A" w:rsidRDefault="004578FA" w:rsidP="00B2382F">
      <w:pPr>
        <w:pStyle w:val="TOCtitle"/>
        <w:rPr>
          <w:b w:val="0"/>
          <w:bCs/>
          <w:sz w:val="40"/>
          <w:szCs w:val="40"/>
        </w:rPr>
      </w:pPr>
      <w:r w:rsidRPr="00FE4E7A">
        <w:rPr>
          <w:b w:val="0"/>
          <w:bCs/>
          <w:sz w:val="40"/>
          <w:szCs w:val="40"/>
        </w:rPr>
        <w:t>C</w:t>
      </w:r>
      <w:r w:rsidR="00B025B6" w:rsidRPr="00FE4E7A">
        <w:rPr>
          <w:b w:val="0"/>
          <w:bCs/>
          <w:sz w:val="40"/>
          <w:szCs w:val="40"/>
        </w:rPr>
        <w:t>ontents</w:t>
      </w:r>
    </w:p>
    <w:p w14:paraId="2169856E" w14:textId="0871F1BB" w:rsidR="00093018" w:rsidRDefault="007C0E99">
      <w:pPr>
        <w:pStyle w:val="TOC1"/>
        <w:rPr>
          <w:rFonts w:asciiTheme="minorHAnsi" w:eastAsiaTheme="minorEastAsia" w:hAnsiTheme="minorHAnsi" w:cstheme="minorBidi"/>
          <w:b w:val="0"/>
          <w:color w:val="auto"/>
          <w:kern w:val="2"/>
          <w:sz w:val="24"/>
          <w:lang w:val="en-AU" w:eastAsia="en-AU"/>
          <w14:ligatures w14:val="standardContextual"/>
        </w:rPr>
      </w:pPr>
      <w:r>
        <w:fldChar w:fldCharType="begin"/>
      </w:r>
      <w:r w:rsidRPr="00FE4E7A">
        <w:rPr>
          <w:b w:val="0"/>
          <w:color w:val="auto"/>
        </w:rPr>
        <w:instrText xml:space="preserve"> TOC \t "Heading 1,1,Heading 2,2,Heading 3,3,Heading 3 - Numbered,3,Heading 2 - Numbered,2,Heading 1 - Numbered,1,TOC_title,1" </w:instrText>
      </w:r>
      <w:r>
        <w:fldChar w:fldCharType="separate"/>
      </w:r>
      <w:r w:rsidR="00093018" w:rsidRPr="00C34762">
        <w:rPr>
          <w:b w:val="0"/>
          <w:bCs/>
        </w:rPr>
        <w:t>Acknowledgements</w:t>
      </w:r>
      <w:r w:rsidR="00093018">
        <w:tab/>
      </w:r>
      <w:r w:rsidR="00093018">
        <w:fldChar w:fldCharType="begin"/>
      </w:r>
      <w:r w:rsidR="00093018">
        <w:instrText xml:space="preserve"> PAGEREF _Toc192146578 \h </w:instrText>
      </w:r>
      <w:r w:rsidR="00093018">
        <w:fldChar w:fldCharType="separate"/>
      </w:r>
      <w:r w:rsidR="00093018">
        <w:t>ii</w:t>
      </w:r>
      <w:r w:rsidR="00093018">
        <w:fldChar w:fldCharType="end"/>
      </w:r>
    </w:p>
    <w:p w14:paraId="68309377" w14:textId="5DD5C560" w:rsidR="00093018" w:rsidRDefault="00093018">
      <w:pPr>
        <w:pStyle w:val="TOC1"/>
        <w:rPr>
          <w:rFonts w:asciiTheme="minorHAnsi" w:eastAsiaTheme="minorEastAsia" w:hAnsiTheme="minorHAnsi" w:cstheme="minorBidi"/>
          <w:b w:val="0"/>
          <w:color w:val="auto"/>
          <w:kern w:val="2"/>
          <w:sz w:val="24"/>
          <w:lang w:val="en-AU" w:eastAsia="en-AU"/>
          <w14:ligatures w14:val="standardContextual"/>
        </w:rPr>
      </w:pPr>
      <w:r>
        <w:t>Summary</w:t>
      </w:r>
      <w:r>
        <w:tab/>
      </w:r>
      <w:r>
        <w:fldChar w:fldCharType="begin"/>
      </w:r>
      <w:r>
        <w:instrText xml:space="preserve"> PAGEREF _Toc192146579 \h </w:instrText>
      </w:r>
      <w:r>
        <w:fldChar w:fldCharType="separate"/>
      </w:r>
      <w:r>
        <w:t>6</w:t>
      </w:r>
      <w:r>
        <w:fldChar w:fldCharType="end"/>
      </w:r>
    </w:p>
    <w:p w14:paraId="2A963983" w14:textId="4957EEE8" w:rsidR="00093018" w:rsidRDefault="00093018">
      <w:pPr>
        <w:pStyle w:val="TOC1"/>
        <w:rPr>
          <w:rFonts w:asciiTheme="minorHAnsi" w:eastAsiaTheme="minorEastAsia" w:hAnsiTheme="minorHAnsi" w:cstheme="minorBidi"/>
          <w:b w:val="0"/>
          <w:color w:val="auto"/>
          <w:kern w:val="2"/>
          <w:sz w:val="24"/>
          <w:lang w:val="en-AU" w:eastAsia="en-AU"/>
          <w14:ligatures w14:val="standardContextual"/>
        </w:rPr>
      </w:pPr>
      <w:r>
        <w:t>1</w:t>
      </w:r>
      <w:r>
        <w:rPr>
          <w:rFonts w:asciiTheme="minorHAnsi" w:eastAsiaTheme="minorEastAsia" w:hAnsiTheme="minorHAnsi" w:cstheme="minorBidi"/>
          <w:b w:val="0"/>
          <w:color w:val="auto"/>
          <w:kern w:val="2"/>
          <w:sz w:val="24"/>
          <w:lang w:val="en-AU" w:eastAsia="en-AU"/>
          <w14:ligatures w14:val="standardContextual"/>
        </w:rPr>
        <w:tab/>
      </w:r>
      <w:r>
        <w:t>Introduction</w:t>
      </w:r>
      <w:r>
        <w:tab/>
      </w:r>
      <w:r>
        <w:fldChar w:fldCharType="begin"/>
      </w:r>
      <w:r>
        <w:instrText xml:space="preserve"> PAGEREF _Toc192146580 \h </w:instrText>
      </w:r>
      <w:r>
        <w:fldChar w:fldCharType="separate"/>
      </w:r>
      <w:r>
        <w:t>8</w:t>
      </w:r>
      <w:r>
        <w:fldChar w:fldCharType="end"/>
      </w:r>
    </w:p>
    <w:p w14:paraId="6029250A" w14:textId="34BD3C37" w:rsidR="00093018" w:rsidRDefault="00093018">
      <w:pPr>
        <w:pStyle w:val="TOC1"/>
        <w:rPr>
          <w:rFonts w:asciiTheme="minorHAnsi" w:eastAsiaTheme="minorEastAsia" w:hAnsiTheme="minorHAnsi" w:cstheme="minorBidi"/>
          <w:b w:val="0"/>
          <w:color w:val="auto"/>
          <w:kern w:val="2"/>
          <w:sz w:val="24"/>
          <w:lang w:val="en-AU" w:eastAsia="en-AU"/>
          <w14:ligatures w14:val="standardContextual"/>
        </w:rPr>
      </w:pPr>
      <w:r>
        <w:t>2</w:t>
      </w:r>
      <w:r>
        <w:rPr>
          <w:rFonts w:asciiTheme="minorHAnsi" w:eastAsiaTheme="minorEastAsia" w:hAnsiTheme="minorHAnsi" w:cstheme="minorBidi"/>
          <w:b w:val="0"/>
          <w:color w:val="auto"/>
          <w:kern w:val="2"/>
          <w:sz w:val="24"/>
          <w:lang w:val="en-AU" w:eastAsia="en-AU"/>
          <w14:ligatures w14:val="standardContextual"/>
        </w:rPr>
        <w:tab/>
      </w:r>
      <w:r>
        <w:t>Methods</w:t>
      </w:r>
      <w:r>
        <w:tab/>
      </w:r>
      <w:r>
        <w:fldChar w:fldCharType="begin"/>
      </w:r>
      <w:r>
        <w:instrText xml:space="preserve"> PAGEREF _Toc192146581 \h </w:instrText>
      </w:r>
      <w:r>
        <w:fldChar w:fldCharType="separate"/>
      </w:r>
      <w:r>
        <w:t>9</w:t>
      </w:r>
      <w:r>
        <w:fldChar w:fldCharType="end"/>
      </w:r>
    </w:p>
    <w:p w14:paraId="257ED14B" w14:textId="199859B5" w:rsidR="00093018" w:rsidRDefault="00093018">
      <w:pPr>
        <w:pStyle w:val="TOC2"/>
        <w:rPr>
          <w:rFonts w:asciiTheme="minorHAnsi" w:eastAsiaTheme="minorEastAsia" w:hAnsiTheme="minorHAnsi" w:cstheme="minorBidi"/>
          <w:bCs w:val="0"/>
          <w:kern w:val="2"/>
          <w:sz w:val="24"/>
          <w:szCs w:val="24"/>
          <w14:ligatures w14:val="standardContextual"/>
        </w:rPr>
      </w:pPr>
      <w:r>
        <w:t>2.1</w:t>
      </w:r>
      <w:r>
        <w:rPr>
          <w:rFonts w:asciiTheme="minorHAnsi" w:eastAsiaTheme="minorEastAsia" w:hAnsiTheme="minorHAnsi" w:cstheme="minorBidi"/>
          <w:bCs w:val="0"/>
          <w:kern w:val="2"/>
          <w:sz w:val="24"/>
          <w:szCs w:val="24"/>
          <w14:ligatures w14:val="standardContextual"/>
        </w:rPr>
        <w:tab/>
      </w:r>
      <w:r>
        <w:t>Study Area</w:t>
      </w:r>
      <w:r>
        <w:tab/>
      </w:r>
      <w:r>
        <w:fldChar w:fldCharType="begin"/>
      </w:r>
      <w:r>
        <w:instrText xml:space="preserve"> PAGEREF _Toc192146582 \h </w:instrText>
      </w:r>
      <w:r>
        <w:fldChar w:fldCharType="separate"/>
      </w:r>
      <w:r>
        <w:t>9</w:t>
      </w:r>
      <w:r>
        <w:fldChar w:fldCharType="end"/>
      </w:r>
    </w:p>
    <w:p w14:paraId="0D2FE9DD" w14:textId="09FA67B5" w:rsidR="00093018" w:rsidRDefault="00093018">
      <w:pPr>
        <w:pStyle w:val="TOC2"/>
        <w:rPr>
          <w:rFonts w:asciiTheme="minorHAnsi" w:eastAsiaTheme="minorEastAsia" w:hAnsiTheme="minorHAnsi" w:cstheme="minorBidi"/>
          <w:bCs w:val="0"/>
          <w:kern w:val="2"/>
          <w:sz w:val="24"/>
          <w:szCs w:val="24"/>
          <w14:ligatures w14:val="standardContextual"/>
        </w:rPr>
      </w:pPr>
      <w:r>
        <w:t>2.2</w:t>
      </w:r>
      <w:r>
        <w:rPr>
          <w:rFonts w:asciiTheme="minorHAnsi" w:eastAsiaTheme="minorEastAsia" w:hAnsiTheme="minorHAnsi" w:cstheme="minorBidi"/>
          <w:bCs w:val="0"/>
          <w:kern w:val="2"/>
          <w:sz w:val="24"/>
          <w:szCs w:val="24"/>
          <w14:ligatures w14:val="standardContextual"/>
        </w:rPr>
        <w:tab/>
      </w:r>
      <w:r>
        <w:t>The Expansion fox control program 2021–2024</w:t>
      </w:r>
      <w:r>
        <w:tab/>
      </w:r>
      <w:r>
        <w:fldChar w:fldCharType="begin"/>
      </w:r>
      <w:r>
        <w:instrText xml:space="preserve"> PAGEREF _Toc192146583 \h </w:instrText>
      </w:r>
      <w:r>
        <w:fldChar w:fldCharType="separate"/>
      </w:r>
      <w:r>
        <w:t>10</w:t>
      </w:r>
      <w:r>
        <w:fldChar w:fldCharType="end"/>
      </w:r>
    </w:p>
    <w:p w14:paraId="022B7EEF" w14:textId="78FD9EA4" w:rsidR="00093018" w:rsidRDefault="00093018">
      <w:pPr>
        <w:pStyle w:val="TOC2"/>
        <w:rPr>
          <w:rFonts w:asciiTheme="minorHAnsi" w:eastAsiaTheme="minorEastAsia" w:hAnsiTheme="minorHAnsi" w:cstheme="minorBidi"/>
          <w:bCs w:val="0"/>
          <w:kern w:val="2"/>
          <w:sz w:val="24"/>
          <w:szCs w:val="24"/>
          <w14:ligatures w14:val="standardContextual"/>
        </w:rPr>
      </w:pPr>
      <w:r>
        <w:t>2.3</w:t>
      </w:r>
      <w:r>
        <w:rPr>
          <w:rFonts w:asciiTheme="minorHAnsi" w:eastAsiaTheme="minorEastAsia" w:hAnsiTheme="minorHAnsi" w:cstheme="minorBidi"/>
          <w:bCs w:val="0"/>
          <w:kern w:val="2"/>
          <w:sz w:val="24"/>
          <w:szCs w:val="24"/>
          <w14:ligatures w14:val="standardContextual"/>
        </w:rPr>
        <w:tab/>
      </w:r>
      <w:r>
        <w:t>Detecting native and introduced species</w:t>
      </w:r>
      <w:r>
        <w:tab/>
      </w:r>
      <w:r>
        <w:fldChar w:fldCharType="begin"/>
      </w:r>
      <w:r>
        <w:instrText xml:space="preserve"> PAGEREF _Toc192146584 \h </w:instrText>
      </w:r>
      <w:r>
        <w:fldChar w:fldCharType="separate"/>
      </w:r>
      <w:r>
        <w:t>10</w:t>
      </w:r>
      <w:r>
        <w:fldChar w:fldCharType="end"/>
      </w:r>
    </w:p>
    <w:p w14:paraId="59B13A6A" w14:textId="3774B9C6" w:rsidR="00093018" w:rsidRDefault="00093018">
      <w:pPr>
        <w:pStyle w:val="TOC3"/>
        <w:rPr>
          <w:rFonts w:asciiTheme="minorHAnsi" w:eastAsiaTheme="minorEastAsia" w:hAnsiTheme="minorHAnsi" w:cstheme="minorBidi"/>
          <w:kern w:val="2"/>
          <w:sz w:val="24"/>
          <w:lang w:eastAsia="en-AU"/>
          <w14:ligatures w14:val="standardContextual"/>
        </w:rPr>
      </w:pPr>
      <w:r>
        <w:t>2.3.1</w:t>
      </w:r>
      <w:r>
        <w:rPr>
          <w:rFonts w:asciiTheme="minorHAnsi" w:eastAsiaTheme="minorEastAsia" w:hAnsiTheme="minorHAnsi" w:cstheme="minorBidi"/>
          <w:kern w:val="2"/>
          <w:sz w:val="24"/>
          <w:lang w:eastAsia="en-AU"/>
          <w14:ligatures w14:val="standardContextual"/>
        </w:rPr>
        <w:tab/>
      </w:r>
      <w:r>
        <w:t>Data collection</w:t>
      </w:r>
      <w:r>
        <w:tab/>
      </w:r>
      <w:r>
        <w:fldChar w:fldCharType="begin"/>
      </w:r>
      <w:r>
        <w:instrText xml:space="preserve"> PAGEREF _Toc192146585 \h </w:instrText>
      </w:r>
      <w:r>
        <w:fldChar w:fldCharType="separate"/>
      </w:r>
      <w:r>
        <w:t>10</w:t>
      </w:r>
      <w:r>
        <w:fldChar w:fldCharType="end"/>
      </w:r>
    </w:p>
    <w:p w14:paraId="7F1AD90F" w14:textId="35D13085" w:rsidR="00093018" w:rsidRDefault="00093018">
      <w:pPr>
        <w:pStyle w:val="TOC2"/>
        <w:rPr>
          <w:rFonts w:asciiTheme="minorHAnsi" w:eastAsiaTheme="minorEastAsia" w:hAnsiTheme="minorHAnsi" w:cstheme="minorBidi"/>
          <w:bCs w:val="0"/>
          <w:kern w:val="2"/>
          <w:sz w:val="24"/>
          <w:szCs w:val="24"/>
          <w14:ligatures w14:val="standardContextual"/>
        </w:rPr>
      </w:pPr>
      <w:r>
        <w:t>2.4</w:t>
      </w:r>
      <w:r>
        <w:rPr>
          <w:rFonts w:asciiTheme="minorHAnsi" w:eastAsiaTheme="minorEastAsia" w:hAnsiTheme="minorHAnsi" w:cstheme="minorBidi"/>
          <w:bCs w:val="0"/>
          <w:kern w:val="2"/>
          <w:sz w:val="24"/>
          <w:szCs w:val="24"/>
          <w14:ligatures w14:val="standardContextual"/>
        </w:rPr>
        <w:tab/>
      </w:r>
      <w:r>
        <w:t>Statistical analysis</w:t>
      </w:r>
      <w:r>
        <w:tab/>
      </w:r>
      <w:r>
        <w:fldChar w:fldCharType="begin"/>
      </w:r>
      <w:r>
        <w:instrText xml:space="preserve"> PAGEREF _Toc192146586 \h </w:instrText>
      </w:r>
      <w:r>
        <w:fldChar w:fldCharType="separate"/>
      </w:r>
      <w:r>
        <w:t>12</w:t>
      </w:r>
      <w:r>
        <w:fldChar w:fldCharType="end"/>
      </w:r>
    </w:p>
    <w:p w14:paraId="44062283" w14:textId="7561D511" w:rsidR="00093018" w:rsidRDefault="00093018">
      <w:pPr>
        <w:pStyle w:val="TOC3"/>
        <w:rPr>
          <w:rFonts w:asciiTheme="minorHAnsi" w:eastAsiaTheme="minorEastAsia" w:hAnsiTheme="minorHAnsi" w:cstheme="minorBidi"/>
          <w:kern w:val="2"/>
          <w:sz w:val="24"/>
          <w:lang w:eastAsia="en-AU"/>
          <w14:ligatures w14:val="standardContextual"/>
        </w:rPr>
      </w:pPr>
      <w:r>
        <w:t>2.4.1</w:t>
      </w:r>
      <w:r>
        <w:rPr>
          <w:rFonts w:asciiTheme="minorHAnsi" w:eastAsiaTheme="minorEastAsia" w:hAnsiTheme="minorHAnsi" w:cstheme="minorBidi"/>
          <w:kern w:val="2"/>
          <w:sz w:val="24"/>
          <w:lang w:eastAsia="en-AU"/>
          <w14:ligatures w14:val="standardContextual"/>
        </w:rPr>
        <w:tab/>
      </w:r>
      <w:r>
        <w:t>Occupancy modelling</w:t>
      </w:r>
      <w:r>
        <w:tab/>
      </w:r>
      <w:r>
        <w:fldChar w:fldCharType="begin"/>
      </w:r>
      <w:r>
        <w:instrText xml:space="preserve"> PAGEREF _Toc192146587 \h </w:instrText>
      </w:r>
      <w:r>
        <w:fldChar w:fldCharType="separate"/>
      </w:r>
      <w:r>
        <w:t>12</w:t>
      </w:r>
      <w:r>
        <w:fldChar w:fldCharType="end"/>
      </w:r>
    </w:p>
    <w:p w14:paraId="3A66E46A" w14:textId="1F7529D5" w:rsidR="00093018" w:rsidRDefault="00093018">
      <w:pPr>
        <w:pStyle w:val="TOC3"/>
        <w:rPr>
          <w:rFonts w:asciiTheme="minorHAnsi" w:eastAsiaTheme="minorEastAsia" w:hAnsiTheme="minorHAnsi" w:cstheme="minorBidi"/>
          <w:kern w:val="2"/>
          <w:sz w:val="24"/>
          <w:lang w:eastAsia="en-AU"/>
          <w14:ligatures w14:val="standardContextual"/>
        </w:rPr>
      </w:pPr>
      <w:r>
        <w:t>2.4.2</w:t>
      </w:r>
      <w:r>
        <w:rPr>
          <w:rFonts w:asciiTheme="minorHAnsi" w:eastAsiaTheme="minorEastAsia" w:hAnsiTheme="minorHAnsi" w:cstheme="minorBidi"/>
          <w:kern w:val="2"/>
          <w:sz w:val="24"/>
          <w:lang w:eastAsia="en-AU"/>
          <w14:ligatures w14:val="standardContextual"/>
        </w:rPr>
        <w:tab/>
      </w:r>
      <w:r>
        <w:t>Spatial and temporal trend in occupancy</w:t>
      </w:r>
      <w:r>
        <w:tab/>
      </w:r>
      <w:r>
        <w:fldChar w:fldCharType="begin"/>
      </w:r>
      <w:r>
        <w:instrText xml:space="preserve"> PAGEREF _Toc192146588 \h </w:instrText>
      </w:r>
      <w:r>
        <w:fldChar w:fldCharType="separate"/>
      </w:r>
      <w:r>
        <w:t>14</w:t>
      </w:r>
      <w:r>
        <w:fldChar w:fldCharType="end"/>
      </w:r>
    </w:p>
    <w:p w14:paraId="185594C5" w14:textId="55CFC07B" w:rsidR="00093018" w:rsidRDefault="00093018">
      <w:pPr>
        <w:pStyle w:val="TOC3"/>
        <w:rPr>
          <w:rFonts w:asciiTheme="minorHAnsi" w:eastAsiaTheme="minorEastAsia" w:hAnsiTheme="minorHAnsi" w:cstheme="minorBidi"/>
          <w:kern w:val="2"/>
          <w:sz w:val="24"/>
          <w:lang w:eastAsia="en-AU"/>
          <w14:ligatures w14:val="standardContextual"/>
        </w:rPr>
      </w:pPr>
      <w:r>
        <w:t>2.4.3</w:t>
      </w:r>
      <w:r>
        <w:rPr>
          <w:rFonts w:asciiTheme="minorHAnsi" w:eastAsiaTheme="minorEastAsia" w:hAnsiTheme="minorHAnsi" w:cstheme="minorBidi"/>
          <w:kern w:val="2"/>
          <w:sz w:val="24"/>
          <w:lang w:eastAsia="en-AU"/>
          <w14:ligatures w14:val="standardContextual"/>
        </w:rPr>
        <w:tab/>
      </w:r>
      <w:r>
        <w:t>Naïve occupancy of native species</w:t>
      </w:r>
      <w:r>
        <w:tab/>
      </w:r>
      <w:r>
        <w:fldChar w:fldCharType="begin"/>
      </w:r>
      <w:r>
        <w:instrText xml:space="preserve"> PAGEREF _Toc192146589 \h </w:instrText>
      </w:r>
      <w:r>
        <w:fldChar w:fldCharType="separate"/>
      </w:r>
      <w:r>
        <w:t>14</w:t>
      </w:r>
      <w:r>
        <w:fldChar w:fldCharType="end"/>
      </w:r>
    </w:p>
    <w:p w14:paraId="26391060" w14:textId="561A0353" w:rsidR="00093018" w:rsidRDefault="00093018">
      <w:pPr>
        <w:pStyle w:val="TOC1"/>
        <w:rPr>
          <w:rFonts w:asciiTheme="minorHAnsi" w:eastAsiaTheme="minorEastAsia" w:hAnsiTheme="minorHAnsi" w:cstheme="minorBidi"/>
          <w:b w:val="0"/>
          <w:color w:val="auto"/>
          <w:kern w:val="2"/>
          <w:sz w:val="24"/>
          <w:lang w:val="en-AU" w:eastAsia="en-AU"/>
          <w14:ligatures w14:val="standardContextual"/>
        </w:rPr>
      </w:pPr>
      <w:r>
        <w:t>3</w:t>
      </w:r>
      <w:r>
        <w:rPr>
          <w:rFonts w:asciiTheme="minorHAnsi" w:eastAsiaTheme="minorEastAsia" w:hAnsiTheme="minorHAnsi" w:cstheme="minorBidi"/>
          <w:b w:val="0"/>
          <w:color w:val="auto"/>
          <w:kern w:val="2"/>
          <w:sz w:val="24"/>
          <w:lang w:val="en-AU" w:eastAsia="en-AU"/>
          <w14:ligatures w14:val="standardContextual"/>
        </w:rPr>
        <w:tab/>
      </w:r>
      <w:r>
        <w:t>Results</w:t>
      </w:r>
      <w:r>
        <w:tab/>
      </w:r>
      <w:r>
        <w:fldChar w:fldCharType="begin"/>
      </w:r>
      <w:r>
        <w:instrText xml:space="preserve"> PAGEREF _Toc192146590 \h </w:instrText>
      </w:r>
      <w:r>
        <w:fldChar w:fldCharType="separate"/>
      </w:r>
      <w:r>
        <w:t>15</w:t>
      </w:r>
      <w:r>
        <w:fldChar w:fldCharType="end"/>
      </w:r>
    </w:p>
    <w:p w14:paraId="7635FF4D" w14:textId="5EDF896D" w:rsidR="00093018" w:rsidRDefault="00093018">
      <w:pPr>
        <w:pStyle w:val="TOC2"/>
        <w:rPr>
          <w:rFonts w:asciiTheme="minorHAnsi" w:eastAsiaTheme="minorEastAsia" w:hAnsiTheme="minorHAnsi" w:cstheme="minorBidi"/>
          <w:bCs w:val="0"/>
          <w:kern w:val="2"/>
          <w:sz w:val="24"/>
          <w:szCs w:val="24"/>
          <w14:ligatures w14:val="standardContextual"/>
        </w:rPr>
      </w:pPr>
      <w:r>
        <w:t>3.1</w:t>
      </w:r>
      <w:r>
        <w:rPr>
          <w:rFonts w:asciiTheme="minorHAnsi" w:eastAsiaTheme="minorEastAsia" w:hAnsiTheme="minorHAnsi" w:cstheme="minorBidi"/>
          <w:bCs w:val="0"/>
          <w:kern w:val="2"/>
          <w:sz w:val="24"/>
          <w:szCs w:val="24"/>
          <w14:ligatures w14:val="standardContextual"/>
        </w:rPr>
        <w:tab/>
      </w:r>
      <w:r>
        <w:t>Long-footed Potoroo occupancy</w:t>
      </w:r>
      <w:r>
        <w:tab/>
      </w:r>
      <w:r>
        <w:fldChar w:fldCharType="begin"/>
      </w:r>
      <w:r>
        <w:instrText xml:space="preserve"> PAGEREF _Toc192146591 \h </w:instrText>
      </w:r>
      <w:r>
        <w:fldChar w:fldCharType="separate"/>
      </w:r>
      <w:r>
        <w:t>15</w:t>
      </w:r>
      <w:r>
        <w:fldChar w:fldCharType="end"/>
      </w:r>
    </w:p>
    <w:p w14:paraId="1090114E" w14:textId="2BEC5F68" w:rsidR="00093018" w:rsidRDefault="00093018">
      <w:pPr>
        <w:pStyle w:val="TOC2"/>
        <w:rPr>
          <w:rFonts w:asciiTheme="minorHAnsi" w:eastAsiaTheme="minorEastAsia" w:hAnsiTheme="minorHAnsi" w:cstheme="minorBidi"/>
          <w:bCs w:val="0"/>
          <w:kern w:val="2"/>
          <w:sz w:val="24"/>
          <w:szCs w:val="24"/>
          <w14:ligatures w14:val="standardContextual"/>
        </w:rPr>
      </w:pPr>
      <w:r>
        <w:t>3.2</w:t>
      </w:r>
      <w:r>
        <w:rPr>
          <w:rFonts w:asciiTheme="minorHAnsi" w:eastAsiaTheme="minorEastAsia" w:hAnsiTheme="minorHAnsi" w:cstheme="minorBidi"/>
          <w:bCs w:val="0"/>
          <w:kern w:val="2"/>
          <w:sz w:val="24"/>
          <w:szCs w:val="24"/>
          <w14:ligatures w14:val="standardContextual"/>
        </w:rPr>
        <w:tab/>
      </w:r>
      <w:r>
        <w:t>Long-nosed Bandicoot occupancy</w:t>
      </w:r>
      <w:r>
        <w:tab/>
      </w:r>
      <w:r>
        <w:fldChar w:fldCharType="begin"/>
      </w:r>
      <w:r>
        <w:instrText xml:space="preserve"> PAGEREF _Toc192146592 \h </w:instrText>
      </w:r>
      <w:r>
        <w:fldChar w:fldCharType="separate"/>
      </w:r>
      <w:r>
        <w:t>18</w:t>
      </w:r>
      <w:r>
        <w:fldChar w:fldCharType="end"/>
      </w:r>
    </w:p>
    <w:p w14:paraId="01F49935" w14:textId="6B11428C" w:rsidR="00093018" w:rsidRDefault="00093018">
      <w:pPr>
        <w:pStyle w:val="TOC2"/>
        <w:rPr>
          <w:rFonts w:asciiTheme="minorHAnsi" w:eastAsiaTheme="minorEastAsia" w:hAnsiTheme="minorHAnsi" w:cstheme="minorBidi"/>
          <w:bCs w:val="0"/>
          <w:kern w:val="2"/>
          <w:sz w:val="24"/>
          <w:szCs w:val="24"/>
          <w14:ligatures w14:val="standardContextual"/>
        </w:rPr>
      </w:pPr>
      <w:r>
        <w:t>3.3</w:t>
      </w:r>
      <w:r>
        <w:rPr>
          <w:rFonts w:asciiTheme="minorHAnsi" w:eastAsiaTheme="minorEastAsia" w:hAnsiTheme="minorHAnsi" w:cstheme="minorBidi"/>
          <w:bCs w:val="0"/>
          <w:kern w:val="2"/>
          <w:sz w:val="24"/>
          <w:szCs w:val="24"/>
          <w14:ligatures w14:val="standardContextual"/>
        </w:rPr>
        <w:tab/>
      </w:r>
      <w:r>
        <w:t>Superb Lyrebird</w:t>
      </w:r>
      <w:r>
        <w:tab/>
      </w:r>
      <w:r>
        <w:fldChar w:fldCharType="begin"/>
      </w:r>
      <w:r>
        <w:instrText xml:space="preserve"> PAGEREF _Toc192146593 \h </w:instrText>
      </w:r>
      <w:r>
        <w:fldChar w:fldCharType="separate"/>
      </w:r>
      <w:r>
        <w:t>18</w:t>
      </w:r>
      <w:r>
        <w:fldChar w:fldCharType="end"/>
      </w:r>
    </w:p>
    <w:p w14:paraId="1FA63EC1" w14:textId="20F01C58" w:rsidR="00093018" w:rsidRDefault="00093018">
      <w:pPr>
        <w:pStyle w:val="TOC2"/>
        <w:rPr>
          <w:rFonts w:asciiTheme="minorHAnsi" w:eastAsiaTheme="minorEastAsia" w:hAnsiTheme="minorHAnsi" w:cstheme="minorBidi"/>
          <w:bCs w:val="0"/>
          <w:kern w:val="2"/>
          <w:sz w:val="24"/>
          <w:szCs w:val="24"/>
          <w14:ligatures w14:val="standardContextual"/>
        </w:rPr>
      </w:pPr>
      <w:r>
        <w:t>3.4</w:t>
      </w:r>
      <w:r>
        <w:rPr>
          <w:rFonts w:asciiTheme="minorHAnsi" w:eastAsiaTheme="minorEastAsia" w:hAnsiTheme="minorHAnsi" w:cstheme="minorBidi"/>
          <w:bCs w:val="0"/>
          <w:kern w:val="2"/>
          <w:sz w:val="24"/>
          <w:szCs w:val="24"/>
          <w14:ligatures w14:val="standardContextual"/>
        </w:rPr>
        <w:tab/>
      </w:r>
      <w:r>
        <w:t>Fox occupancy</w:t>
      </w:r>
      <w:r>
        <w:tab/>
      </w:r>
      <w:r>
        <w:fldChar w:fldCharType="begin"/>
      </w:r>
      <w:r>
        <w:instrText xml:space="preserve"> PAGEREF _Toc192146594 \h </w:instrText>
      </w:r>
      <w:r>
        <w:fldChar w:fldCharType="separate"/>
      </w:r>
      <w:r>
        <w:t>20</w:t>
      </w:r>
      <w:r>
        <w:fldChar w:fldCharType="end"/>
      </w:r>
    </w:p>
    <w:p w14:paraId="47C223F1" w14:textId="765A813B" w:rsidR="00093018" w:rsidRDefault="00093018">
      <w:pPr>
        <w:pStyle w:val="TOC2"/>
        <w:rPr>
          <w:rFonts w:asciiTheme="minorHAnsi" w:eastAsiaTheme="minorEastAsia" w:hAnsiTheme="minorHAnsi" w:cstheme="minorBidi"/>
          <w:bCs w:val="0"/>
          <w:kern w:val="2"/>
          <w:sz w:val="24"/>
          <w:szCs w:val="24"/>
          <w14:ligatures w14:val="standardContextual"/>
        </w:rPr>
      </w:pPr>
      <w:r>
        <w:t>3.5</w:t>
      </w:r>
      <w:r>
        <w:rPr>
          <w:rFonts w:asciiTheme="minorHAnsi" w:eastAsiaTheme="minorEastAsia" w:hAnsiTheme="minorHAnsi" w:cstheme="minorBidi"/>
          <w:bCs w:val="0"/>
          <w:kern w:val="2"/>
          <w:sz w:val="24"/>
          <w:szCs w:val="24"/>
          <w14:ligatures w14:val="standardContextual"/>
        </w:rPr>
        <w:tab/>
      </w:r>
      <w:r>
        <w:t>Feral cat occupancy</w:t>
      </w:r>
      <w:r>
        <w:tab/>
      </w:r>
      <w:r>
        <w:fldChar w:fldCharType="begin"/>
      </w:r>
      <w:r>
        <w:instrText xml:space="preserve"> PAGEREF _Toc192146595 \h </w:instrText>
      </w:r>
      <w:r>
        <w:fldChar w:fldCharType="separate"/>
      </w:r>
      <w:r>
        <w:t>22</w:t>
      </w:r>
      <w:r>
        <w:fldChar w:fldCharType="end"/>
      </w:r>
    </w:p>
    <w:p w14:paraId="7DE9BD5F" w14:textId="4D5F1BC1" w:rsidR="00093018" w:rsidRDefault="00093018">
      <w:pPr>
        <w:pStyle w:val="TOC1"/>
        <w:rPr>
          <w:rFonts w:asciiTheme="minorHAnsi" w:eastAsiaTheme="minorEastAsia" w:hAnsiTheme="minorHAnsi" w:cstheme="minorBidi"/>
          <w:b w:val="0"/>
          <w:color w:val="auto"/>
          <w:kern w:val="2"/>
          <w:sz w:val="24"/>
          <w:lang w:val="en-AU" w:eastAsia="en-AU"/>
          <w14:ligatures w14:val="standardContextual"/>
        </w:rPr>
      </w:pPr>
      <w:r>
        <w:t>4</w:t>
      </w:r>
      <w:r>
        <w:rPr>
          <w:rFonts w:asciiTheme="minorHAnsi" w:eastAsiaTheme="minorEastAsia" w:hAnsiTheme="minorHAnsi" w:cstheme="minorBidi"/>
          <w:b w:val="0"/>
          <w:color w:val="auto"/>
          <w:kern w:val="2"/>
          <w:sz w:val="24"/>
          <w:lang w:val="en-AU" w:eastAsia="en-AU"/>
          <w14:ligatures w14:val="standardContextual"/>
        </w:rPr>
        <w:tab/>
      </w:r>
      <w:r>
        <w:t>Summary</w:t>
      </w:r>
      <w:r>
        <w:tab/>
      </w:r>
      <w:r>
        <w:fldChar w:fldCharType="begin"/>
      </w:r>
      <w:r>
        <w:instrText xml:space="preserve"> PAGEREF _Toc192146596 \h </w:instrText>
      </w:r>
      <w:r>
        <w:fldChar w:fldCharType="separate"/>
      </w:r>
      <w:r>
        <w:t>23</w:t>
      </w:r>
      <w:r>
        <w:fldChar w:fldCharType="end"/>
      </w:r>
    </w:p>
    <w:p w14:paraId="0B12EA23" w14:textId="65395C4C" w:rsidR="00093018" w:rsidRDefault="00093018">
      <w:pPr>
        <w:pStyle w:val="TOC2"/>
        <w:rPr>
          <w:rFonts w:asciiTheme="minorHAnsi" w:eastAsiaTheme="minorEastAsia" w:hAnsiTheme="minorHAnsi" w:cstheme="minorBidi"/>
          <w:bCs w:val="0"/>
          <w:kern w:val="2"/>
          <w:sz w:val="24"/>
          <w:szCs w:val="24"/>
          <w14:ligatures w14:val="standardContextual"/>
        </w:rPr>
      </w:pPr>
      <w:r>
        <w:t>4.1</w:t>
      </w:r>
      <w:r>
        <w:rPr>
          <w:rFonts w:asciiTheme="minorHAnsi" w:eastAsiaTheme="minorEastAsia" w:hAnsiTheme="minorHAnsi" w:cstheme="minorBidi"/>
          <w:bCs w:val="0"/>
          <w:kern w:val="2"/>
          <w:sz w:val="24"/>
          <w:szCs w:val="24"/>
          <w14:ligatures w14:val="standardContextual"/>
        </w:rPr>
        <w:tab/>
      </w:r>
      <w:r>
        <w:t>Conclusion</w:t>
      </w:r>
      <w:r>
        <w:tab/>
      </w:r>
      <w:r>
        <w:fldChar w:fldCharType="begin"/>
      </w:r>
      <w:r>
        <w:instrText xml:space="preserve"> PAGEREF _Toc192146597 \h </w:instrText>
      </w:r>
      <w:r>
        <w:fldChar w:fldCharType="separate"/>
      </w:r>
      <w:r>
        <w:t>24</w:t>
      </w:r>
      <w:r>
        <w:fldChar w:fldCharType="end"/>
      </w:r>
    </w:p>
    <w:p w14:paraId="6FAD07AB" w14:textId="4AA6F957" w:rsidR="00093018" w:rsidRDefault="00093018">
      <w:pPr>
        <w:pStyle w:val="TOC1"/>
        <w:rPr>
          <w:rFonts w:asciiTheme="minorHAnsi" w:eastAsiaTheme="minorEastAsia" w:hAnsiTheme="minorHAnsi" w:cstheme="minorBidi"/>
          <w:b w:val="0"/>
          <w:color w:val="auto"/>
          <w:kern w:val="2"/>
          <w:sz w:val="24"/>
          <w:lang w:val="en-AU" w:eastAsia="en-AU"/>
          <w14:ligatures w14:val="standardContextual"/>
        </w:rPr>
      </w:pPr>
      <w:r>
        <w:t>Appendices</w:t>
      </w:r>
      <w:r>
        <w:tab/>
      </w:r>
      <w:r>
        <w:fldChar w:fldCharType="begin"/>
      </w:r>
      <w:r>
        <w:instrText xml:space="preserve"> PAGEREF _Toc192146598 \h </w:instrText>
      </w:r>
      <w:r>
        <w:fldChar w:fldCharType="separate"/>
      </w:r>
      <w:r>
        <w:t>25</w:t>
      </w:r>
      <w:r>
        <w:fldChar w:fldCharType="end"/>
      </w:r>
    </w:p>
    <w:p w14:paraId="5C0C2BD9" w14:textId="69DEE67E" w:rsidR="00093018" w:rsidRDefault="00093018">
      <w:pPr>
        <w:pStyle w:val="TOC1"/>
        <w:rPr>
          <w:rFonts w:asciiTheme="minorHAnsi" w:eastAsiaTheme="minorEastAsia" w:hAnsiTheme="minorHAnsi" w:cstheme="minorBidi"/>
          <w:b w:val="0"/>
          <w:color w:val="auto"/>
          <w:kern w:val="2"/>
          <w:sz w:val="24"/>
          <w:lang w:val="en-AU" w:eastAsia="en-AU"/>
          <w14:ligatures w14:val="standardContextual"/>
        </w:rPr>
      </w:pPr>
      <w:r>
        <w:t>References</w:t>
      </w:r>
      <w:r>
        <w:tab/>
      </w:r>
      <w:r>
        <w:fldChar w:fldCharType="begin"/>
      </w:r>
      <w:r>
        <w:instrText xml:space="preserve"> PAGEREF _Toc192146599 \h </w:instrText>
      </w:r>
      <w:r>
        <w:fldChar w:fldCharType="separate"/>
      </w:r>
      <w:r>
        <w:t>34</w:t>
      </w:r>
      <w:r>
        <w:fldChar w:fldCharType="end"/>
      </w:r>
    </w:p>
    <w:p w14:paraId="48D72E59" w14:textId="59FB0011" w:rsidR="00051FE1" w:rsidRPr="00FE4E7A" w:rsidRDefault="007C0E99" w:rsidP="0071429D">
      <w:r>
        <w:rPr>
          <w:lang w:val="en-US"/>
        </w:rPr>
        <w:fldChar w:fldCharType="end"/>
      </w:r>
    </w:p>
    <w:p w14:paraId="0219E547" w14:textId="74331F17" w:rsidR="005F55AD" w:rsidRPr="00FE4E7A" w:rsidRDefault="009D303E" w:rsidP="00B2382F">
      <w:pPr>
        <w:pStyle w:val="TOCtitle"/>
      </w:pPr>
      <w:r w:rsidRPr="00243764">
        <w:br w:type="page"/>
      </w:r>
      <w:r w:rsidR="005F55AD" w:rsidRPr="00FE4E7A">
        <w:lastRenderedPageBreak/>
        <w:t>Tables</w:t>
      </w:r>
      <w:r w:rsidR="00FE4E7A" w:rsidRPr="00FE4E7A">
        <w:t xml:space="preserve"> </w:t>
      </w:r>
    </w:p>
    <w:p w14:paraId="3E57B6DC" w14:textId="235721EC" w:rsidR="00753AB3" w:rsidRDefault="00FF1205">
      <w:pPr>
        <w:pStyle w:val="TableofFigures"/>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\t "Caption - Table" \c </w:instrText>
      </w:r>
      <w:r>
        <w:fldChar w:fldCharType="separate"/>
      </w:r>
      <w:hyperlink w:anchor="_Toc192146603" w:history="1">
        <w:r w:rsidR="00753AB3" w:rsidRPr="006F1885">
          <w:rPr>
            <w:rStyle w:val="Hyperlink"/>
          </w:rPr>
          <w:t>Table 1. Summary of camera trap survey effort and numbers (proportions) of Long-footed Potoroo, fox and feral cat detections from 2007 to 2024.</w:t>
        </w:r>
        <w:r w:rsidR="00753AB3">
          <w:rPr>
            <w:webHidden/>
          </w:rPr>
          <w:tab/>
        </w:r>
        <w:r w:rsidR="00753AB3">
          <w:rPr>
            <w:webHidden/>
          </w:rPr>
          <w:fldChar w:fldCharType="begin"/>
        </w:r>
        <w:r w:rsidR="00753AB3">
          <w:rPr>
            <w:webHidden/>
          </w:rPr>
          <w:instrText xml:space="preserve"> PAGEREF _Toc192146603 \h </w:instrText>
        </w:r>
        <w:r w:rsidR="00753AB3">
          <w:rPr>
            <w:webHidden/>
          </w:rPr>
        </w:r>
        <w:r w:rsidR="00753AB3">
          <w:rPr>
            <w:webHidden/>
          </w:rPr>
          <w:fldChar w:fldCharType="separate"/>
        </w:r>
        <w:r w:rsidR="00753AB3">
          <w:rPr>
            <w:webHidden/>
          </w:rPr>
          <w:t>12</w:t>
        </w:r>
        <w:r w:rsidR="00753AB3">
          <w:rPr>
            <w:webHidden/>
          </w:rPr>
          <w:fldChar w:fldCharType="end"/>
        </w:r>
      </w:hyperlink>
    </w:p>
    <w:p w14:paraId="3FC56F03" w14:textId="460EF72E" w:rsidR="00BE541D" w:rsidRPr="00243764" w:rsidRDefault="00FF1205" w:rsidP="00DC3852">
      <w:pPr>
        <w:pStyle w:val="TableofFigures"/>
      </w:pPr>
      <w:r>
        <w:fldChar w:fldCharType="end"/>
      </w:r>
    </w:p>
    <w:p w14:paraId="1440AE18" w14:textId="683C9C74" w:rsidR="001F10BD" w:rsidRPr="00CF7573" w:rsidRDefault="001F10BD" w:rsidP="00B2382F">
      <w:pPr>
        <w:pStyle w:val="TOCtitle"/>
        <w:rPr>
          <w:color w:val="363534" w:themeColor="text1"/>
        </w:rPr>
      </w:pPr>
      <w:r w:rsidRPr="00FE4E7A">
        <w:t>Figures</w:t>
      </w:r>
    </w:p>
    <w:p w14:paraId="3C5D021A" w14:textId="18D7047A" w:rsidR="001E3432" w:rsidRDefault="00FF1205">
      <w:pPr>
        <w:pStyle w:val="TableofFigures"/>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\t "Caption - Figure" \c </w:instrText>
      </w:r>
      <w:r>
        <w:fldChar w:fldCharType="separate"/>
      </w:r>
      <w:hyperlink w:anchor="_Toc193445949" w:history="1">
        <w:r w:rsidR="001E3432" w:rsidRPr="00A874B6">
          <w:rPr>
            <w:rStyle w:val="Hyperlink"/>
          </w:rPr>
          <w:t>Figure 1. Map of the Barry Mountains Ark area.</w:t>
        </w:r>
        <w:r w:rsidR="001E3432">
          <w:rPr>
            <w:webHidden/>
          </w:rPr>
          <w:tab/>
        </w:r>
        <w:r w:rsidR="001E3432">
          <w:rPr>
            <w:webHidden/>
          </w:rPr>
          <w:fldChar w:fldCharType="begin"/>
        </w:r>
        <w:r w:rsidR="001E3432">
          <w:rPr>
            <w:webHidden/>
          </w:rPr>
          <w:instrText xml:space="preserve"> PAGEREF _Toc193445949 \h </w:instrText>
        </w:r>
        <w:r w:rsidR="001E3432">
          <w:rPr>
            <w:webHidden/>
          </w:rPr>
        </w:r>
        <w:r w:rsidR="001E3432">
          <w:rPr>
            <w:webHidden/>
          </w:rPr>
          <w:fldChar w:fldCharType="separate"/>
        </w:r>
        <w:r w:rsidR="001E3432">
          <w:rPr>
            <w:webHidden/>
          </w:rPr>
          <w:t>9</w:t>
        </w:r>
        <w:r w:rsidR="001E3432">
          <w:rPr>
            <w:webHidden/>
          </w:rPr>
          <w:fldChar w:fldCharType="end"/>
        </w:r>
      </w:hyperlink>
    </w:p>
    <w:p w14:paraId="57266CB2" w14:textId="331C4E49"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0" w:history="1">
        <w:r w:rsidRPr="00A874B6">
          <w:rPr>
            <w:rStyle w:val="Hyperlink"/>
          </w:rPr>
          <w:t>Figure 2. The locations of baited tracks and roads used for the control of foxes in the Barry Mountains Ark program.</w:t>
        </w:r>
        <w:r>
          <w:rPr>
            <w:webHidden/>
          </w:rPr>
          <w:tab/>
        </w:r>
        <w:r>
          <w:rPr>
            <w:webHidden/>
          </w:rPr>
          <w:fldChar w:fldCharType="begin"/>
        </w:r>
        <w:r>
          <w:rPr>
            <w:webHidden/>
          </w:rPr>
          <w:instrText xml:space="preserve"> PAGEREF _Toc193445950 \h </w:instrText>
        </w:r>
        <w:r>
          <w:rPr>
            <w:webHidden/>
          </w:rPr>
        </w:r>
        <w:r>
          <w:rPr>
            <w:webHidden/>
          </w:rPr>
          <w:fldChar w:fldCharType="separate"/>
        </w:r>
        <w:r>
          <w:rPr>
            <w:webHidden/>
          </w:rPr>
          <w:t>10</w:t>
        </w:r>
        <w:r>
          <w:rPr>
            <w:webHidden/>
          </w:rPr>
          <w:fldChar w:fldCharType="end"/>
        </w:r>
      </w:hyperlink>
    </w:p>
    <w:p w14:paraId="7824CCEA" w14:textId="7338D338"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1" w:history="1">
        <w:r w:rsidRPr="00A874B6">
          <w:rPr>
            <w:rStyle w:val="Hyperlink"/>
          </w:rPr>
          <w:t>Figure 3. Locations of cameras used to survey changes in Long-footed Potoroo occupancy 2007–2024.</w:t>
        </w:r>
        <w:r>
          <w:rPr>
            <w:webHidden/>
          </w:rPr>
          <w:tab/>
        </w:r>
        <w:r>
          <w:rPr>
            <w:webHidden/>
          </w:rPr>
          <w:fldChar w:fldCharType="begin"/>
        </w:r>
        <w:r>
          <w:rPr>
            <w:webHidden/>
          </w:rPr>
          <w:instrText xml:space="preserve"> PAGEREF _Toc193445951 \h </w:instrText>
        </w:r>
        <w:r>
          <w:rPr>
            <w:webHidden/>
          </w:rPr>
        </w:r>
        <w:r>
          <w:rPr>
            <w:webHidden/>
          </w:rPr>
          <w:fldChar w:fldCharType="separate"/>
        </w:r>
        <w:r>
          <w:rPr>
            <w:webHidden/>
          </w:rPr>
          <w:t>11</w:t>
        </w:r>
        <w:r>
          <w:rPr>
            <w:webHidden/>
          </w:rPr>
          <w:fldChar w:fldCharType="end"/>
        </w:r>
      </w:hyperlink>
    </w:p>
    <w:p w14:paraId="36D62E8F" w14:textId="1807EF5F"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2" w:history="1">
        <w:r w:rsidRPr="00A874B6">
          <w:rPr>
            <w:rStyle w:val="Hyperlink"/>
          </w:rPr>
          <w:t>Figure 4. Estimated occupancy of Long-footed Potoroo in the Core and Expansion baiting zones in all surveyed years since 2007.</w:t>
        </w:r>
        <w:r>
          <w:rPr>
            <w:webHidden/>
          </w:rPr>
          <w:tab/>
        </w:r>
        <w:r>
          <w:rPr>
            <w:webHidden/>
          </w:rPr>
          <w:fldChar w:fldCharType="begin"/>
        </w:r>
        <w:r>
          <w:rPr>
            <w:webHidden/>
          </w:rPr>
          <w:instrText xml:space="preserve"> PAGEREF _Toc193445952 \h </w:instrText>
        </w:r>
        <w:r>
          <w:rPr>
            <w:webHidden/>
          </w:rPr>
        </w:r>
        <w:r>
          <w:rPr>
            <w:webHidden/>
          </w:rPr>
          <w:fldChar w:fldCharType="separate"/>
        </w:r>
        <w:r>
          <w:rPr>
            <w:webHidden/>
          </w:rPr>
          <w:t>15</w:t>
        </w:r>
        <w:r>
          <w:rPr>
            <w:webHidden/>
          </w:rPr>
          <w:fldChar w:fldCharType="end"/>
        </w:r>
      </w:hyperlink>
    </w:p>
    <w:p w14:paraId="51C50009" w14:textId="51318124"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3" w:history="1">
        <w:r w:rsidRPr="00A874B6">
          <w:rPr>
            <w:rStyle w:val="Hyperlink"/>
          </w:rPr>
          <w:t>Figure 5. Estimated partial relationship between the probability of Long-footed Potoroo occurrence and modelled habitat suitability.</w:t>
        </w:r>
        <w:r>
          <w:rPr>
            <w:webHidden/>
          </w:rPr>
          <w:tab/>
        </w:r>
        <w:r>
          <w:rPr>
            <w:webHidden/>
          </w:rPr>
          <w:fldChar w:fldCharType="begin"/>
        </w:r>
        <w:r>
          <w:rPr>
            <w:webHidden/>
          </w:rPr>
          <w:instrText xml:space="preserve"> PAGEREF _Toc193445953 \h </w:instrText>
        </w:r>
        <w:r>
          <w:rPr>
            <w:webHidden/>
          </w:rPr>
        </w:r>
        <w:r>
          <w:rPr>
            <w:webHidden/>
          </w:rPr>
          <w:fldChar w:fldCharType="separate"/>
        </w:r>
        <w:r>
          <w:rPr>
            <w:webHidden/>
          </w:rPr>
          <w:t>16</w:t>
        </w:r>
        <w:r>
          <w:rPr>
            <w:webHidden/>
          </w:rPr>
          <w:fldChar w:fldCharType="end"/>
        </w:r>
      </w:hyperlink>
    </w:p>
    <w:p w14:paraId="0D9F3C2E" w14:textId="3326695D"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4" w:history="1">
        <w:r w:rsidRPr="00A874B6">
          <w:rPr>
            <w:rStyle w:val="Hyperlink"/>
          </w:rPr>
          <w:t>Figure 6. Estimated partial relationship between the probability of Long-footed Potoroo occupancy and time since fire, assuming average habitat quality (HDM value = 60) and FAPAR value (68).</w:t>
        </w:r>
        <w:r>
          <w:rPr>
            <w:webHidden/>
          </w:rPr>
          <w:tab/>
        </w:r>
        <w:r>
          <w:rPr>
            <w:webHidden/>
          </w:rPr>
          <w:fldChar w:fldCharType="begin"/>
        </w:r>
        <w:r>
          <w:rPr>
            <w:webHidden/>
          </w:rPr>
          <w:instrText xml:space="preserve"> PAGEREF _Toc193445954 \h </w:instrText>
        </w:r>
        <w:r>
          <w:rPr>
            <w:webHidden/>
          </w:rPr>
        </w:r>
        <w:r>
          <w:rPr>
            <w:webHidden/>
          </w:rPr>
          <w:fldChar w:fldCharType="separate"/>
        </w:r>
        <w:r>
          <w:rPr>
            <w:webHidden/>
          </w:rPr>
          <w:t>16</w:t>
        </w:r>
        <w:r>
          <w:rPr>
            <w:webHidden/>
          </w:rPr>
          <w:fldChar w:fldCharType="end"/>
        </w:r>
      </w:hyperlink>
    </w:p>
    <w:p w14:paraId="30D45B32" w14:textId="3CE6954C"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5" w:history="1">
        <w:r w:rsidRPr="00A874B6">
          <w:rPr>
            <w:rStyle w:val="Hyperlink"/>
          </w:rPr>
          <w:t>Figure 7. Estimated relationships between the probability of Long-footed Potoroo occupancy and the mean fraction of absorbed photosynthetically available radiation (FAPAR) at baited (orange) and unbaited (grey) sites, assuming average habitat quality (HDM value = 60) and time since fire (6.3 years).</w:t>
        </w:r>
        <w:r>
          <w:rPr>
            <w:webHidden/>
          </w:rPr>
          <w:tab/>
        </w:r>
        <w:r>
          <w:rPr>
            <w:webHidden/>
          </w:rPr>
          <w:fldChar w:fldCharType="begin"/>
        </w:r>
        <w:r>
          <w:rPr>
            <w:webHidden/>
          </w:rPr>
          <w:instrText xml:space="preserve"> PAGEREF _Toc193445955 \h </w:instrText>
        </w:r>
        <w:r>
          <w:rPr>
            <w:webHidden/>
          </w:rPr>
        </w:r>
        <w:r>
          <w:rPr>
            <w:webHidden/>
          </w:rPr>
          <w:fldChar w:fldCharType="separate"/>
        </w:r>
        <w:r>
          <w:rPr>
            <w:webHidden/>
          </w:rPr>
          <w:t>17</w:t>
        </w:r>
        <w:r>
          <w:rPr>
            <w:webHidden/>
          </w:rPr>
          <w:fldChar w:fldCharType="end"/>
        </w:r>
      </w:hyperlink>
    </w:p>
    <w:p w14:paraId="5DBB66A1" w14:textId="296F3F41"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6" w:history="1">
        <w:r w:rsidRPr="00A874B6">
          <w:rPr>
            <w:rStyle w:val="Hyperlink"/>
          </w:rPr>
          <w:t>Figure 8. Predicted Long-footed Potoroo occupancy (probability of occurrence) across the study region based on HDM value, time-since-fire, mean annual FAPAR value, and baiting intensity. Predictions are derived from Model 2B in Table 2 (which included spatial and temporal random effects).</w:t>
        </w:r>
        <w:r>
          <w:rPr>
            <w:webHidden/>
          </w:rPr>
          <w:tab/>
        </w:r>
        <w:r>
          <w:rPr>
            <w:webHidden/>
          </w:rPr>
          <w:fldChar w:fldCharType="begin"/>
        </w:r>
        <w:r>
          <w:rPr>
            <w:webHidden/>
          </w:rPr>
          <w:instrText xml:space="preserve"> PAGEREF _Toc193445956 \h </w:instrText>
        </w:r>
        <w:r>
          <w:rPr>
            <w:webHidden/>
          </w:rPr>
        </w:r>
        <w:r>
          <w:rPr>
            <w:webHidden/>
          </w:rPr>
          <w:fldChar w:fldCharType="separate"/>
        </w:r>
        <w:r>
          <w:rPr>
            <w:webHidden/>
          </w:rPr>
          <w:t>17</w:t>
        </w:r>
        <w:r>
          <w:rPr>
            <w:webHidden/>
          </w:rPr>
          <w:fldChar w:fldCharType="end"/>
        </w:r>
      </w:hyperlink>
    </w:p>
    <w:p w14:paraId="795D03AE" w14:textId="2A52573C"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7" w:history="1">
        <w:r w:rsidRPr="00A874B6">
          <w:rPr>
            <w:rStyle w:val="Hyperlink"/>
          </w:rPr>
          <w:t>Figure 9. Estimated occupancy (mean probability of occurrence) of Long-nosed Bandicoot in the Core and Expansion baiting zones in all surveyed years since 2020.</w:t>
        </w:r>
        <w:r>
          <w:rPr>
            <w:webHidden/>
          </w:rPr>
          <w:tab/>
        </w:r>
        <w:r>
          <w:rPr>
            <w:webHidden/>
          </w:rPr>
          <w:fldChar w:fldCharType="begin"/>
        </w:r>
        <w:r>
          <w:rPr>
            <w:webHidden/>
          </w:rPr>
          <w:instrText xml:space="preserve"> PAGEREF _Toc193445957 \h </w:instrText>
        </w:r>
        <w:r>
          <w:rPr>
            <w:webHidden/>
          </w:rPr>
        </w:r>
        <w:r>
          <w:rPr>
            <w:webHidden/>
          </w:rPr>
          <w:fldChar w:fldCharType="separate"/>
        </w:r>
        <w:r>
          <w:rPr>
            <w:webHidden/>
          </w:rPr>
          <w:t>18</w:t>
        </w:r>
        <w:r>
          <w:rPr>
            <w:webHidden/>
          </w:rPr>
          <w:fldChar w:fldCharType="end"/>
        </w:r>
      </w:hyperlink>
    </w:p>
    <w:p w14:paraId="00631836" w14:textId="740BEF46"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8" w:history="1">
        <w:r w:rsidRPr="00A874B6">
          <w:rPr>
            <w:rStyle w:val="Hyperlink"/>
          </w:rPr>
          <w:t>Figure 10. Estimated occupancy (mean probability of occurrence) of Superb Lyrebird in the Core and Expansion baiting zones in all surveyed years since 2020.</w:t>
        </w:r>
        <w:r>
          <w:rPr>
            <w:webHidden/>
          </w:rPr>
          <w:tab/>
        </w:r>
        <w:r>
          <w:rPr>
            <w:webHidden/>
          </w:rPr>
          <w:fldChar w:fldCharType="begin"/>
        </w:r>
        <w:r>
          <w:rPr>
            <w:webHidden/>
          </w:rPr>
          <w:instrText xml:space="preserve"> PAGEREF _Toc193445958 \h </w:instrText>
        </w:r>
        <w:r>
          <w:rPr>
            <w:webHidden/>
          </w:rPr>
        </w:r>
        <w:r>
          <w:rPr>
            <w:webHidden/>
          </w:rPr>
          <w:fldChar w:fldCharType="separate"/>
        </w:r>
        <w:r>
          <w:rPr>
            <w:webHidden/>
          </w:rPr>
          <w:t>18</w:t>
        </w:r>
        <w:r>
          <w:rPr>
            <w:webHidden/>
          </w:rPr>
          <w:fldChar w:fldCharType="end"/>
        </w:r>
      </w:hyperlink>
    </w:p>
    <w:p w14:paraId="74A4759A" w14:textId="55E6A832"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59" w:history="1">
        <w:r w:rsidRPr="00A874B6">
          <w:rPr>
            <w:rStyle w:val="Hyperlink"/>
          </w:rPr>
          <w:t>Figure 11. Estimated relationship between the probability of Superb Lyrebird occurrence and modelled habitat suitability.</w:t>
        </w:r>
        <w:r>
          <w:rPr>
            <w:webHidden/>
          </w:rPr>
          <w:tab/>
        </w:r>
        <w:r>
          <w:rPr>
            <w:webHidden/>
          </w:rPr>
          <w:fldChar w:fldCharType="begin"/>
        </w:r>
        <w:r>
          <w:rPr>
            <w:webHidden/>
          </w:rPr>
          <w:instrText xml:space="preserve"> PAGEREF _Toc193445959 \h </w:instrText>
        </w:r>
        <w:r>
          <w:rPr>
            <w:webHidden/>
          </w:rPr>
        </w:r>
        <w:r>
          <w:rPr>
            <w:webHidden/>
          </w:rPr>
          <w:fldChar w:fldCharType="separate"/>
        </w:r>
        <w:r>
          <w:rPr>
            <w:webHidden/>
          </w:rPr>
          <w:t>19</w:t>
        </w:r>
        <w:r>
          <w:rPr>
            <w:webHidden/>
          </w:rPr>
          <w:fldChar w:fldCharType="end"/>
        </w:r>
      </w:hyperlink>
    </w:p>
    <w:p w14:paraId="644098AB" w14:textId="203AA852"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60" w:history="1">
        <w:r w:rsidRPr="00A874B6">
          <w:rPr>
            <w:rStyle w:val="Hyperlink"/>
          </w:rPr>
          <w:t>Figure 12. Estimated relationship between the probability of Superb Lyrebird occurrence and time since fire.</w:t>
        </w:r>
        <w:r>
          <w:rPr>
            <w:webHidden/>
          </w:rPr>
          <w:tab/>
        </w:r>
        <w:r>
          <w:rPr>
            <w:webHidden/>
          </w:rPr>
          <w:fldChar w:fldCharType="begin"/>
        </w:r>
        <w:r>
          <w:rPr>
            <w:webHidden/>
          </w:rPr>
          <w:instrText xml:space="preserve"> PAGEREF _Toc193445960 \h </w:instrText>
        </w:r>
        <w:r>
          <w:rPr>
            <w:webHidden/>
          </w:rPr>
        </w:r>
        <w:r>
          <w:rPr>
            <w:webHidden/>
          </w:rPr>
          <w:fldChar w:fldCharType="separate"/>
        </w:r>
        <w:r>
          <w:rPr>
            <w:webHidden/>
          </w:rPr>
          <w:t>19</w:t>
        </w:r>
        <w:r>
          <w:rPr>
            <w:webHidden/>
          </w:rPr>
          <w:fldChar w:fldCharType="end"/>
        </w:r>
      </w:hyperlink>
    </w:p>
    <w:p w14:paraId="1D2DCCC9" w14:textId="6CB1BA80"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61" w:history="1">
        <w:r w:rsidRPr="00A874B6">
          <w:rPr>
            <w:rStyle w:val="Hyperlink"/>
          </w:rPr>
          <w:t>Figure 13. Estimated relationship between the probability of Superb Lyrebird occurrence and one-year mean FAPAR value.</w:t>
        </w:r>
        <w:r>
          <w:rPr>
            <w:webHidden/>
          </w:rPr>
          <w:tab/>
        </w:r>
        <w:r>
          <w:rPr>
            <w:webHidden/>
          </w:rPr>
          <w:fldChar w:fldCharType="begin"/>
        </w:r>
        <w:r>
          <w:rPr>
            <w:webHidden/>
          </w:rPr>
          <w:instrText xml:space="preserve"> PAGEREF _Toc193445961 \h </w:instrText>
        </w:r>
        <w:r>
          <w:rPr>
            <w:webHidden/>
          </w:rPr>
        </w:r>
        <w:r>
          <w:rPr>
            <w:webHidden/>
          </w:rPr>
          <w:fldChar w:fldCharType="separate"/>
        </w:r>
        <w:r>
          <w:rPr>
            <w:webHidden/>
          </w:rPr>
          <w:t>20</w:t>
        </w:r>
        <w:r>
          <w:rPr>
            <w:webHidden/>
          </w:rPr>
          <w:fldChar w:fldCharType="end"/>
        </w:r>
      </w:hyperlink>
    </w:p>
    <w:p w14:paraId="01160DBF" w14:textId="79DEED45"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62" w:history="1">
        <w:r w:rsidRPr="00A874B6">
          <w:rPr>
            <w:rStyle w:val="Hyperlink"/>
          </w:rPr>
          <w:t>Figure 14. Estimated occupancy (mean probability of occurrence) of foxes in the Core and Expansion baiting zones in all surveyed years since 2007.</w:t>
        </w:r>
        <w:r>
          <w:rPr>
            <w:webHidden/>
          </w:rPr>
          <w:tab/>
        </w:r>
        <w:r>
          <w:rPr>
            <w:webHidden/>
          </w:rPr>
          <w:fldChar w:fldCharType="begin"/>
        </w:r>
        <w:r>
          <w:rPr>
            <w:webHidden/>
          </w:rPr>
          <w:instrText xml:space="preserve"> PAGEREF _Toc193445962 \h </w:instrText>
        </w:r>
        <w:r>
          <w:rPr>
            <w:webHidden/>
          </w:rPr>
        </w:r>
        <w:r>
          <w:rPr>
            <w:webHidden/>
          </w:rPr>
          <w:fldChar w:fldCharType="separate"/>
        </w:r>
        <w:r>
          <w:rPr>
            <w:webHidden/>
          </w:rPr>
          <w:t>20</w:t>
        </w:r>
        <w:r>
          <w:rPr>
            <w:webHidden/>
          </w:rPr>
          <w:fldChar w:fldCharType="end"/>
        </w:r>
      </w:hyperlink>
    </w:p>
    <w:p w14:paraId="4619F9E1" w14:textId="026B8A4A"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63" w:history="1">
        <w:r w:rsidRPr="00A874B6">
          <w:rPr>
            <w:rStyle w:val="Hyperlink"/>
          </w:rPr>
          <w:t>Figure 15. Estimated partial relationship between the probability of fox occurrence and the mean fraction of absorbed photosynthetically available radiation (FAPAR) at baited (orange) and unbaited (grey).</w:t>
        </w:r>
        <w:r>
          <w:rPr>
            <w:webHidden/>
          </w:rPr>
          <w:tab/>
        </w:r>
        <w:r>
          <w:rPr>
            <w:webHidden/>
          </w:rPr>
          <w:fldChar w:fldCharType="begin"/>
        </w:r>
        <w:r>
          <w:rPr>
            <w:webHidden/>
          </w:rPr>
          <w:instrText xml:space="preserve"> PAGEREF _Toc193445963 \h </w:instrText>
        </w:r>
        <w:r>
          <w:rPr>
            <w:webHidden/>
          </w:rPr>
        </w:r>
        <w:r>
          <w:rPr>
            <w:webHidden/>
          </w:rPr>
          <w:fldChar w:fldCharType="separate"/>
        </w:r>
        <w:r>
          <w:rPr>
            <w:webHidden/>
          </w:rPr>
          <w:t>21</w:t>
        </w:r>
        <w:r>
          <w:rPr>
            <w:webHidden/>
          </w:rPr>
          <w:fldChar w:fldCharType="end"/>
        </w:r>
      </w:hyperlink>
    </w:p>
    <w:p w14:paraId="6D940DFE" w14:textId="5FCE9536" w:rsidR="001E3432" w:rsidRDefault="001E3432">
      <w:pPr>
        <w:pStyle w:val="TableofFigures"/>
        <w:rPr>
          <w:rFonts w:asciiTheme="minorHAnsi" w:eastAsiaTheme="minorEastAsia" w:hAnsiTheme="minorHAnsi" w:cstheme="minorBidi"/>
          <w:kern w:val="2"/>
          <w:sz w:val="24"/>
          <w:szCs w:val="24"/>
          <w:lang w:eastAsia="en-AU"/>
          <w14:ligatures w14:val="standardContextual"/>
        </w:rPr>
      </w:pPr>
      <w:hyperlink w:anchor="_Toc193445964" w:history="1">
        <w:r w:rsidRPr="00A874B6">
          <w:rPr>
            <w:rStyle w:val="Hyperlink"/>
          </w:rPr>
          <w:t>Figure 16. Estimated occupancy (mean probability of occurrence) of feral cats in the Core and Expansion baiting zones in all surveyed years since 2007.</w:t>
        </w:r>
        <w:r>
          <w:rPr>
            <w:webHidden/>
          </w:rPr>
          <w:tab/>
        </w:r>
        <w:r>
          <w:rPr>
            <w:webHidden/>
          </w:rPr>
          <w:fldChar w:fldCharType="begin"/>
        </w:r>
        <w:r>
          <w:rPr>
            <w:webHidden/>
          </w:rPr>
          <w:instrText xml:space="preserve"> PAGEREF _Toc193445964 \h </w:instrText>
        </w:r>
        <w:r>
          <w:rPr>
            <w:webHidden/>
          </w:rPr>
        </w:r>
        <w:r>
          <w:rPr>
            <w:webHidden/>
          </w:rPr>
          <w:fldChar w:fldCharType="separate"/>
        </w:r>
        <w:r>
          <w:rPr>
            <w:webHidden/>
          </w:rPr>
          <w:t>22</w:t>
        </w:r>
        <w:r>
          <w:rPr>
            <w:webHidden/>
          </w:rPr>
          <w:fldChar w:fldCharType="end"/>
        </w:r>
      </w:hyperlink>
    </w:p>
    <w:p w14:paraId="61B6E2C3" w14:textId="63E9CC19" w:rsidR="00C7173A" w:rsidRDefault="00FF1205" w:rsidP="00CF2CBE">
      <w:r>
        <w:fldChar w:fldCharType="end"/>
      </w:r>
      <w:r w:rsidR="00C7173A">
        <w:br w:type="page"/>
      </w:r>
    </w:p>
    <w:p w14:paraId="434AA6C5" w14:textId="77777777" w:rsidR="00C55ED4" w:rsidRPr="00C55ED4" w:rsidRDefault="00C55ED4" w:rsidP="00C55ED4">
      <w:pPr>
        <w:rPr>
          <w:b/>
          <w:bCs/>
          <w:sz w:val="24"/>
          <w:szCs w:val="32"/>
        </w:rPr>
      </w:pPr>
      <w:r w:rsidRPr="00C55ED4">
        <w:rPr>
          <w:b/>
          <w:bCs/>
          <w:sz w:val="24"/>
          <w:szCs w:val="32"/>
        </w:rPr>
        <w:lastRenderedPageBreak/>
        <w:t>Glossary</w:t>
      </w:r>
    </w:p>
    <w:p w14:paraId="21EC9F05" w14:textId="77777777" w:rsidR="00C55ED4" w:rsidRDefault="00C55ED4" w:rsidP="00C55ED4">
      <w:r w:rsidRPr="00C55ED4">
        <w:rPr>
          <w:b/>
          <w:bCs/>
        </w:rPr>
        <w:t>Occupancy</w:t>
      </w:r>
      <w:r>
        <w:t xml:space="preserve"> = the average probability of occurrence and is equivalent to the expected proportion of sites at which the species (ever) occurs within a season. Occupancy is a landscape-scale metric indicating the proportion of all sites at which the species occurs.</w:t>
      </w:r>
    </w:p>
    <w:p w14:paraId="0D9D5949" w14:textId="090E74EC" w:rsidR="00C55ED4" w:rsidRDefault="00C55ED4" w:rsidP="00C55ED4">
      <w:r>
        <w:t>For fox</w:t>
      </w:r>
      <w:r w:rsidR="00543A85">
        <w:t>es</w:t>
      </w:r>
      <w:r>
        <w:t xml:space="preserve"> and cats, </w:t>
      </w:r>
      <w:r w:rsidRPr="00CF2CBE">
        <w:t>the proportion of sites visited</w:t>
      </w:r>
      <w:r w:rsidR="00F75FAB" w:rsidRPr="00CF2CBE">
        <w:t xml:space="preserve"> by animals</w:t>
      </w:r>
      <w:r>
        <w:t xml:space="preserve"> (i.e., the proportion of sites at which the species ever occurs) </w:t>
      </w:r>
      <w:r w:rsidRPr="00CF2CBE">
        <w:t>is interpreted as their ‘occupancy</w:t>
      </w:r>
      <w:r w:rsidR="00691386" w:rsidRPr="00CF2CBE">
        <w:t>’</w:t>
      </w:r>
      <w:r w:rsidRPr="00EA4EDA">
        <w:t>.</w:t>
      </w:r>
      <w:r>
        <w:t xml:space="preserve"> Arguably, this is </w:t>
      </w:r>
      <w:r w:rsidR="00A06E63">
        <w:t>a</w:t>
      </w:r>
      <w:r>
        <w:t xml:space="preserve"> measure of their activity across the landscape (i.e. the occurrence of a predator at a site indicates predatory activity).</w:t>
      </w:r>
    </w:p>
    <w:p w14:paraId="4184C8CA" w14:textId="04D4ED16" w:rsidR="00C55ED4" w:rsidRDefault="00C55ED4" w:rsidP="00C55ED4">
      <w:r w:rsidRPr="00C55ED4">
        <w:rPr>
          <w:b/>
          <w:bCs/>
        </w:rPr>
        <w:t>Occurrence</w:t>
      </w:r>
      <w:r>
        <w:t xml:space="preserve"> = species is present (occurs) at a site for some or </w:t>
      </w:r>
      <w:r w:rsidR="00A06E63">
        <w:t>all</w:t>
      </w:r>
      <w:r>
        <w:t xml:space="preserve"> the survey season (the spring of a given year). Occurrence is a site-scale metric indicating whether the species occurs at a particular site.</w:t>
      </w:r>
    </w:p>
    <w:p w14:paraId="0E5FE89E" w14:textId="18DFB08B" w:rsidR="00C55ED4" w:rsidRDefault="00F419FB" w:rsidP="00C55ED4">
      <w:pPr>
        <w:rPr>
          <w:color w:val="202122"/>
          <w:szCs w:val="20"/>
          <w:shd w:val="clear" w:color="auto" w:fill="FFFFFF"/>
        </w:rPr>
      </w:pPr>
      <w:r w:rsidRPr="003C3A49">
        <w:rPr>
          <w:b/>
          <w:bCs/>
          <w:szCs w:val="20"/>
        </w:rPr>
        <w:t>FAPAR</w:t>
      </w:r>
      <w:r w:rsidRPr="003C3A49">
        <w:rPr>
          <w:szCs w:val="20"/>
        </w:rPr>
        <w:t xml:space="preserve"> = </w:t>
      </w:r>
      <w:bookmarkStart w:id="8" w:name="_Hlk164425181"/>
      <w:r w:rsidR="00124208" w:rsidRPr="003C3A49">
        <w:rPr>
          <w:szCs w:val="20"/>
        </w:rPr>
        <w:t xml:space="preserve">The fraction of absorbed photosynthetically active radiation </w:t>
      </w:r>
      <w:r w:rsidR="003C3A49" w:rsidRPr="003C3A49">
        <w:rPr>
          <w:color w:val="202122"/>
          <w:szCs w:val="20"/>
          <w:shd w:val="clear" w:color="auto" w:fill="FFFFFF"/>
        </w:rPr>
        <w:t xml:space="preserve">(estimated by satellite </w:t>
      </w:r>
      <w:r w:rsidR="00A06E63" w:rsidRPr="003C3A49">
        <w:rPr>
          <w:color w:val="202122"/>
          <w:szCs w:val="20"/>
          <w:shd w:val="clear" w:color="auto" w:fill="FFFFFF"/>
        </w:rPr>
        <w:t>remote sensing</w:t>
      </w:r>
      <w:r w:rsidR="003C3A49" w:rsidRPr="003C3A49">
        <w:rPr>
          <w:color w:val="202122"/>
          <w:szCs w:val="20"/>
          <w:shd w:val="clear" w:color="auto" w:fill="FFFFFF"/>
        </w:rPr>
        <w:t xml:space="preserve"> at 300m </w:t>
      </w:r>
      <w:r w:rsidR="00A06E63" w:rsidRPr="003C3A49">
        <w:rPr>
          <w:color w:val="202122"/>
          <w:szCs w:val="20"/>
          <w:shd w:val="clear" w:color="auto" w:fill="FFFFFF"/>
        </w:rPr>
        <w:t>resolution and</w:t>
      </w:r>
      <w:r w:rsidR="003C3A49" w:rsidRPr="003C3A49">
        <w:rPr>
          <w:color w:val="202122"/>
          <w:szCs w:val="20"/>
          <w:shd w:val="clear" w:color="auto" w:fill="FFFFFF"/>
        </w:rPr>
        <w:t xml:space="preserve"> averaged over the 12 months prior to camera deployment) </w:t>
      </w:r>
      <w:r w:rsidR="00124208" w:rsidRPr="003C3A49">
        <w:rPr>
          <w:szCs w:val="20"/>
        </w:rPr>
        <w:t>characterises the energy absorption capacity of vegetation canopy. It is a physiological variable describing the vegetation structure and related material and energy exchange processes and is an important parameter for estimating the net primary production of terrestrial ecosystem using a remote sensing–based method</w:t>
      </w:r>
      <w:bookmarkEnd w:id="8"/>
      <w:r w:rsidR="00124208" w:rsidRPr="003C3A49">
        <w:rPr>
          <w:szCs w:val="20"/>
        </w:rPr>
        <w:t>.</w:t>
      </w:r>
      <w:r w:rsidR="003C3A49" w:rsidRPr="003C3A49">
        <w:rPr>
          <w:szCs w:val="20"/>
        </w:rPr>
        <w:t xml:space="preserve"> </w:t>
      </w:r>
      <w:r w:rsidR="003C3A49" w:rsidRPr="003C3A49">
        <w:rPr>
          <w:color w:val="202122"/>
          <w:szCs w:val="20"/>
          <w:shd w:val="clear" w:color="auto" w:fill="FFFFFF"/>
        </w:rPr>
        <w:t>Low values may indicate canopy disturbance (</w:t>
      </w:r>
      <w:r w:rsidR="00A06E63" w:rsidRPr="003C3A49">
        <w:rPr>
          <w:color w:val="202122"/>
          <w:szCs w:val="20"/>
          <w:shd w:val="clear" w:color="auto" w:fill="FFFFFF"/>
        </w:rPr>
        <w:t>e.g.,</w:t>
      </w:r>
      <w:r w:rsidR="003C3A49" w:rsidRPr="003C3A49">
        <w:rPr>
          <w:color w:val="202122"/>
          <w:szCs w:val="20"/>
          <w:shd w:val="clear" w:color="auto" w:fill="FFFFFF"/>
        </w:rPr>
        <w:t xml:space="preserve"> fire, harvesting) or plant resource limitation (</w:t>
      </w:r>
      <w:r w:rsidR="00A06E63" w:rsidRPr="003C3A49">
        <w:rPr>
          <w:color w:val="202122"/>
          <w:szCs w:val="20"/>
          <w:shd w:val="clear" w:color="auto" w:fill="FFFFFF"/>
        </w:rPr>
        <w:t>e.g.,</w:t>
      </w:r>
      <w:r w:rsidR="003C3A49" w:rsidRPr="003C3A49">
        <w:rPr>
          <w:color w:val="202122"/>
          <w:szCs w:val="20"/>
          <w:shd w:val="clear" w:color="auto" w:fill="FFFFFF"/>
        </w:rPr>
        <w:t xml:space="preserve"> drought).</w:t>
      </w:r>
    </w:p>
    <w:p w14:paraId="70FBE794" w14:textId="2850A9D5" w:rsidR="00C36B95" w:rsidRPr="003C3A49" w:rsidRDefault="00C36B95" w:rsidP="00C55ED4">
      <w:pPr>
        <w:rPr>
          <w:szCs w:val="20"/>
        </w:rPr>
      </w:pPr>
      <w:r w:rsidRPr="00C36B95">
        <w:rPr>
          <w:b/>
          <w:bCs/>
          <w:color w:val="202122"/>
          <w:szCs w:val="20"/>
          <w:shd w:val="clear" w:color="auto" w:fill="FFFFFF"/>
        </w:rPr>
        <w:t>Habitat Distribution Model (HDM)</w:t>
      </w:r>
      <w:r>
        <w:rPr>
          <w:color w:val="202122"/>
          <w:szCs w:val="20"/>
          <w:shd w:val="clear" w:color="auto" w:fill="FFFFFF"/>
        </w:rPr>
        <w:t xml:space="preserve"> = </w:t>
      </w:r>
      <w:r w:rsidR="00FD665C" w:rsidRPr="00CD243E">
        <w:t>HDMs are statistical or machine-learning models that relate the occurrence of a species to underlying, mapped habitat variables allowing prediction of occurrence in space and time</w:t>
      </w:r>
      <w:r w:rsidR="00CD243E" w:rsidRPr="00CD243E">
        <w:t xml:space="preserve">. </w:t>
      </w:r>
      <w:r w:rsidRPr="00CD243E">
        <w:t>Specifically</w:t>
      </w:r>
      <w:r>
        <w:rPr>
          <w:color w:val="333333"/>
          <w:shd w:val="clear" w:color="auto" w:fill="FFFFFF"/>
        </w:rPr>
        <w:t xml:space="preserve">, </w:t>
      </w:r>
      <w:r w:rsidRPr="00CF2CBE">
        <w:t>26 explanatory variables are used for the modelling; three versions of models were built using different sets of explanatory variables.</w:t>
      </w:r>
    </w:p>
    <w:p w14:paraId="0D62A8E1" w14:textId="77777777" w:rsidR="003C3A49" w:rsidRPr="00C55ED4" w:rsidRDefault="003C3A49" w:rsidP="00C55ED4"/>
    <w:p w14:paraId="450BE3AE" w14:textId="22F01F5E" w:rsidR="002A3928" w:rsidRPr="001749B2" w:rsidRDefault="005A375F" w:rsidP="002A3928">
      <w:pPr>
        <w:pStyle w:val="Heading1"/>
      </w:pPr>
      <w:r>
        <w:br w:type="column"/>
      </w:r>
      <w:bookmarkStart w:id="9" w:name="_Toc409798396"/>
      <w:bookmarkStart w:id="10" w:name="_Toc286018759"/>
      <w:bookmarkStart w:id="11" w:name="_Toc192146579"/>
      <w:r w:rsidR="002A3928" w:rsidRPr="001749B2">
        <w:lastRenderedPageBreak/>
        <w:t>Summary</w:t>
      </w:r>
      <w:bookmarkEnd w:id="9"/>
      <w:bookmarkEnd w:id="10"/>
      <w:bookmarkEnd w:id="11"/>
    </w:p>
    <w:p w14:paraId="19F3D0E5" w14:textId="77777777" w:rsidR="00B705CE" w:rsidRPr="009148A4" w:rsidRDefault="00B705CE" w:rsidP="009148A4">
      <w:pPr>
        <w:rPr>
          <w:b/>
          <w:bCs/>
          <w:sz w:val="24"/>
        </w:rPr>
      </w:pPr>
      <w:bookmarkStart w:id="12" w:name="_Toc509242196"/>
      <w:bookmarkStart w:id="13" w:name="_Toc18664435"/>
      <w:r w:rsidRPr="009148A4">
        <w:rPr>
          <w:b/>
          <w:bCs/>
          <w:sz w:val="24"/>
        </w:rPr>
        <w:t>Context:</w:t>
      </w:r>
      <w:bookmarkEnd w:id="12"/>
      <w:bookmarkEnd w:id="13"/>
    </w:p>
    <w:p w14:paraId="628266F8" w14:textId="643743B9" w:rsidR="00284D5A" w:rsidRDefault="00284D5A" w:rsidP="00284D5A">
      <w:bookmarkStart w:id="14" w:name="_Toc509242197"/>
      <w:bookmarkStart w:id="15" w:name="_Toc18664436"/>
      <w:r>
        <w:t>This report updates previous research detailing the Barry Mountains Ark fox control and Long-footed Potoroo response (Robley et al. 2023) by adding an additional year (2024) of monitoring data and updating the results of the ongoing monitoring program. This information will aid land managers and policy makers to make informed</w:t>
      </w:r>
      <w:r w:rsidR="00740B06">
        <w:t>,</w:t>
      </w:r>
      <w:r>
        <w:t xml:space="preserve"> evidence-based decisions on the future of Long-footed Potoroos in this landscape.</w:t>
      </w:r>
    </w:p>
    <w:p w14:paraId="6EFC013A" w14:textId="6A506F1A" w:rsidR="00740B06" w:rsidRDefault="00F5185F" w:rsidP="00F5185F">
      <w:r>
        <w:t>The Long-footed Potoroo (</w:t>
      </w:r>
      <w:r w:rsidRPr="00F5185F">
        <w:rPr>
          <w:i/>
          <w:iCs/>
        </w:rPr>
        <w:t>Potorous longipes</w:t>
      </w:r>
      <w:r>
        <w:t xml:space="preserve">) is found in </w:t>
      </w:r>
      <w:r w:rsidR="00740B06">
        <w:t xml:space="preserve">two </w:t>
      </w:r>
      <w:r>
        <w:t>isolated populations: East Gippsland</w:t>
      </w:r>
      <w:r w:rsidR="00740B06">
        <w:t>/</w:t>
      </w:r>
      <w:r w:rsidR="00740B06" w:rsidRPr="00740B06">
        <w:t xml:space="preserve"> </w:t>
      </w:r>
      <w:r w:rsidR="00740B06">
        <w:t xml:space="preserve">southeastern New South Wales and </w:t>
      </w:r>
      <w:r>
        <w:t xml:space="preserve">northeastern Victoria. </w:t>
      </w:r>
    </w:p>
    <w:p w14:paraId="77EB9699" w14:textId="6994D0E8" w:rsidR="00F5185F" w:rsidRDefault="00F5185F" w:rsidP="00F5185F">
      <w:r>
        <w:t xml:space="preserve">The northeastern Victorian population, known as the "Great Dividing Range population," is </w:t>
      </w:r>
      <w:r w:rsidR="005B240C">
        <w:t xml:space="preserve">located </w:t>
      </w:r>
      <w:r>
        <w:t xml:space="preserve">around the Barry Mountains. This species is listed as Endangered under both the </w:t>
      </w:r>
      <w:r w:rsidRPr="008F6644">
        <w:rPr>
          <w:i/>
          <w:iCs/>
        </w:rPr>
        <w:t xml:space="preserve">Environment Protection and Biodiversity Conservation Act </w:t>
      </w:r>
      <w:r>
        <w:t xml:space="preserve">1999 (Cth) and the Victorian </w:t>
      </w:r>
      <w:r w:rsidRPr="00773668">
        <w:rPr>
          <w:i/>
          <w:iCs/>
        </w:rPr>
        <w:t>Flora and Fauna Guarantee Act</w:t>
      </w:r>
      <w:r>
        <w:t xml:space="preserve"> 1988 due to its limited range, low population density, vulnerability to predators like the Red Fox (</w:t>
      </w:r>
      <w:r w:rsidRPr="005B240C">
        <w:rPr>
          <w:i/>
          <w:iCs/>
        </w:rPr>
        <w:t>Vulpes vulpes</w:t>
      </w:r>
      <w:r>
        <w:t>), inappropriate fire regimes and climate change.</w:t>
      </w:r>
    </w:p>
    <w:p w14:paraId="1F2FB552" w14:textId="09A6E9CE" w:rsidR="00F5185F" w:rsidRDefault="00F5185F" w:rsidP="00F5185F">
      <w:r>
        <w:t xml:space="preserve">A </w:t>
      </w:r>
      <w:r w:rsidR="00CC5944">
        <w:t>Red F</w:t>
      </w:r>
      <w:r>
        <w:t>ox</w:t>
      </w:r>
      <w:r w:rsidR="00CC5944">
        <w:t xml:space="preserve"> (</w:t>
      </w:r>
      <w:r w:rsidR="00CC5944" w:rsidRPr="00CC5944">
        <w:rPr>
          <w:i/>
          <w:iCs/>
        </w:rPr>
        <w:t>Vulpes vulpes</w:t>
      </w:r>
      <w:r w:rsidR="00CC5944">
        <w:t>)</w:t>
      </w:r>
      <w:r>
        <w:t xml:space="preserve"> control program began in 2004, focusing on </w:t>
      </w:r>
      <w:r w:rsidR="000458B0">
        <w:t xml:space="preserve">a </w:t>
      </w:r>
      <w:r w:rsidR="00D201BB">
        <w:t>C</w:t>
      </w:r>
      <w:r w:rsidR="000458B0">
        <w:t xml:space="preserve">ore baiting zone in the </w:t>
      </w:r>
      <w:r>
        <w:t>Barry Mountains (45,000 ha) and continued until 2021, despite disruptions from weather</w:t>
      </w:r>
      <w:r w:rsidR="00284D5A">
        <w:t xml:space="preserve"> and</w:t>
      </w:r>
      <w:r>
        <w:t xml:space="preserve"> wildfires in 2006 and 2019/2020 and conflicts with recreational hunters. In 2021, the program expanded to cover approximately 229,000 ha, now referred to as the Barry Mountains Ark, encompassing both the Core and Expansion zones.</w:t>
      </w:r>
    </w:p>
    <w:p w14:paraId="0B2C839E" w14:textId="3EB41FAB" w:rsidR="00B705CE" w:rsidRPr="009148A4" w:rsidRDefault="00B705CE" w:rsidP="00F5185F">
      <w:pPr>
        <w:rPr>
          <w:b/>
          <w:bCs/>
          <w:sz w:val="24"/>
        </w:rPr>
      </w:pPr>
      <w:r w:rsidRPr="009148A4">
        <w:rPr>
          <w:b/>
          <w:bCs/>
          <w:sz w:val="24"/>
        </w:rPr>
        <w:t>Aims:</w:t>
      </w:r>
      <w:bookmarkEnd w:id="14"/>
      <w:bookmarkEnd w:id="15"/>
    </w:p>
    <w:p w14:paraId="105BF54F" w14:textId="0D694B62" w:rsidR="00C55ED4" w:rsidRDefault="00C55ED4" w:rsidP="00C55ED4">
      <w:r>
        <w:t>The aims of this report are to:</w:t>
      </w:r>
    </w:p>
    <w:p w14:paraId="32DE943E" w14:textId="3F9A71AF" w:rsidR="00C55ED4" w:rsidRPr="00C55ED4" w:rsidRDefault="00284D5A" w:rsidP="00C55ED4">
      <w:pPr>
        <w:pStyle w:val="ListParagraph"/>
        <w:numPr>
          <w:ilvl w:val="0"/>
          <w:numId w:val="32"/>
        </w:numPr>
        <w:ind w:left="426"/>
        <w:rPr>
          <w:rFonts w:ascii="Arial" w:hAnsi="Arial"/>
        </w:rPr>
      </w:pPr>
      <w:r>
        <w:rPr>
          <w:rFonts w:ascii="Arial" w:hAnsi="Arial"/>
        </w:rPr>
        <w:t xml:space="preserve">Update the results of </w:t>
      </w:r>
      <w:r w:rsidR="00C55ED4" w:rsidRPr="00C55ED4">
        <w:rPr>
          <w:rFonts w:ascii="Arial" w:hAnsi="Arial"/>
        </w:rPr>
        <w:t xml:space="preserve">the trends in Long-footed Potoroo occupancy (proportion of sites occupied) from 2007 to </w:t>
      </w:r>
      <w:r w:rsidR="00364FD0">
        <w:rPr>
          <w:rFonts w:ascii="Arial" w:hAnsi="Arial"/>
        </w:rPr>
        <w:t>202</w:t>
      </w:r>
      <w:r w:rsidR="00464F53">
        <w:rPr>
          <w:rFonts w:ascii="Arial" w:hAnsi="Arial"/>
        </w:rPr>
        <w:t>4</w:t>
      </w:r>
      <w:r w:rsidR="00C55ED4" w:rsidRPr="00C55ED4">
        <w:rPr>
          <w:rFonts w:ascii="Arial" w:hAnsi="Arial"/>
        </w:rPr>
        <w:t xml:space="preserve"> in the Barry Mountains </w:t>
      </w:r>
      <w:r w:rsidR="005E046A" w:rsidRPr="00C55ED4">
        <w:rPr>
          <w:rFonts w:ascii="Arial" w:hAnsi="Arial"/>
        </w:rPr>
        <w:t>region.</w:t>
      </w:r>
    </w:p>
    <w:p w14:paraId="1FE9DF60" w14:textId="65EAF0D6" w:rsidR="00C55ED4" w:rsidRPr="00C55ED4" w:rsidRDefault="00284D5A" w:rsidP="00C55ED4">
      <w:pPr>
        <w:pStyle w:val="ListParagraph"/>
        <w:numPr>
          <w:ilvl w:val="0"/>
          <w:numId w:val="32"/>
        </w:numPr>
        <w:ind w:left="426"/>
        <w:rPr>
          <w:rFonts w:ascii="Arial" w:hAnsi="Arial"/>
        </w:rPr>
      </w:pPr>
      <w:r>
        <w:rPr>
          <w:rFonts w:ascii="Arial" w:hAnsi="Arial"/>
        </w:rPr>
        <w:t xml:space="preserve">Assess </w:t>
      </w:r>
      <w:r w:rsidR="00C55ED4" w:rsidRPr="00C55ED4">
        <w:rPr>
          <w:rFonts w:ascii="Arial" w:hAnsi="Arial"/>
        </w:rPr>
        <w:t xml:space="preserve">the impacts of fire, feral predators </w:t>
      </w:r>
      <w:r w:rsidR="00CB6272">
        <w:rPr>
          <w:rFonts w:ascii="Arial" w:hAnsi="Arial"/>
        </w:rPr>
        <w:t>(</w:t>
      </w:r>
      <w:r w:rsidR="00C55ED4" w:rsidRPr="00C55ED4">
        <w:rPr>
          <w:rFonts w:ascii="Arial" w:hAnsi="Arial"/>
        </w:rPr>
        <w:t>foxes and feral cats) and fox baiting on Long-footed Potoroo occupancy in the Barry Mountains region</w:t>
      </w:r>
      <w:r w:rsidR="005E046A">
        <w:rPr>
          <w:rFonts w:ascii="Arial" w:hAnsi="Arial"/>
        </w:rPr>
        <w:t>.</w:t>
      </w:r>
    </w:p>
    <w:p w14:paraId="6A2B18F9" w14:textId="79E0692E" w:rsidR="00C55ED4" w:rsidRPr="00C55ED4" w:rsidRDefault="00284D5A" w:rsidP="00C55ED4">
      <w:pPr>
        <w:pStyle w:val="ListParagraph"/>
        <w:numPr>
          <w:ilvl w:val="0"/>
          <w:numId w:val="32"/>
        </w:numPr>
        <w:ind w:left="426"/>
        <w:rPr>
          <w:rFonts w:ascii="Arial" w:hAnsi="Arial"/>
        </w:rPr>
      </w:pPr>
      <w:r>
        <w:rPr>
          <w:rFonts w:ascii="Arial" w:hAnsi="Arial"/>
        </w:rPr>
        <w:t xml:space="preserve">Assess </w:t>
      </w:r>
      <w:r w:rsidR="00C55ED4" w:rsidRPr="00C55ED4">
        <w:rPr>
          <w:rFonts w:ascii="Arial" w:hAnsi="Arial"/>
        </w:rPr>
        <w:t>the trends in fox and feral cat populations</w:t>
      </w:r>
      <w:r w:rsidR="005E046A">
        <w:rPr>
          <w:rFonts w:ascii="Arial" w:hAnsi="Arial"/>
        </w:rPr>
        <w:t>.</w:t>
      </w:r>
    </w:p>
    <w:p w14:paraId="45C203B6" w14:textId="17469C61" w:rsidR="00B705CE" w:rsidRDefault="00284D5A" w:rsidP="00C55ED4">
      <w:pPr>
        <w:pStyle w:val="ListParagraph"/>
        <w:numPr>
          <w:ilvl w:val="0"/>
          <w:numId w:val="32"/>
        </w:numPr>
        <w:ind w:left="426"/>
      </w:pPr>
      <w:r>
        <w:rPr>
          <w:rFonts w:ascii="Arial" w:hAnsi="Arial"/>
        </w:rPr>
        <w:t xml:space="preserve">Assess </w:t>
      </w:r>
      <w:r w:rsidR="00C55ED4" w:rsidRPr="00C55ED4">
        <w:rPr>
          <w:rFonts w:ascii="Arial" w:hAnsi="Arial"/>
        </w:rPr>
        <w:t xml:space="preserve">the initial changes in occurrence of a range of native species </w:t>
      </w:r>
      <w:r w:rsidR="008C61C8">
        <w:rPr>
          <w:rFonts w:ascii="Arial" w:hAnsi="Arial"/>
        </w:rPr>
        <w:t xml:space="preserve">first </w:t>
      </w:r>
      <w:r w:rsidR="00C55ED4" w:rsidRPr="00C55ED4">
        <w:rPr>
          <w:rFonts w:ascii="Arial" w:hAnsi="Arial"/>
        </w:rPr>
        <w:t>detected during surveys in 2020–</w:t>
      </w:r>
      <w:r w:rsidR="00364FD0">
        <w:rPr>
          <w:rFonts w:ascii="Arial" w:hAnsi="Arial"/>
        </w:rPr>
        <w:t>202</w:t>
      </w:r>
      <w:r w:rsidR="00464F53">
        <w:rPr>
          <w:rFonts w:ascii="Arial" w:hAnsi="Arial"/>
        </w:rPr>
        <w:t>4</w:t>
      </w:r>
      <w:r w:rsidR="00C55ED4" w:rsidRPr="00C55ED4">
        <w:rPr>
          <w:rFonts w:ascii="Arial" w:hAnsi="Arial"/>
        </w:rPr>
        <w:t>.</w:t>
      </w:r>
    </w:p>
    <w:p w14:paraId="3F15499D" w14:textId="7A383CA9" w:rsidR="00B705CE" w:rsidRPr="009148A4" w:rsidRDefault="00B705CE" w:rsidP="00F36CE5">
      <w:pPr>
        <w:spacing w:before="240"/>
        <w:rPr>
          <w:b/>
          <w:bCs/>
          <w:sz w:val="24"/>
        </w:rPr>
      </w:pPr>
      <w:bookmarkStart w:id="16" w:name="_Toc509242198"/>
      <w:bookmarkStart w:id="17" w:name="_Toc18664437"/>
      <w:r w:rsidRPr="009148A4">
        <w:rPr>
          <w:b/>
          <w:bCs/>
          <w:sz w:val="24"/>
        </w:rPr>
        <w:t>Methods:</w:t>
      </w:r>
      <w:bookmarkEnd w:id="16"/>
      <w:bookmarkEnd w:id="17"/>
    </w:p>
    <w:p w14:paraId="3479BA09" w14:textId="1AD84761" w:rsidR="009A106B" w:rsidRDefault="005B240C" w:rsidP="005B240C">
      <w:r>
        <w:t xml:space="preserve">Camera traps </w:t>
      </w:r>
      <w:r w:rsidR="000C506E">
        <w:t>have</w:t>
      </w:r>
      <w:r w:rsidR="000458B0">
        <w:t xml:space="preserve"> previously been</w:t>
      </w:r>
      <w:r w:rsidR="000C506E">
        <w:t xml:space="preserve"> </w:t>
      </w:r>
      <w:r w:rsidR="000458B0">
        <w:t xml:space="preserve">deployed </w:t>
      </w:r>
      <w:r>
        <w:t xml:space="preserve">to gather data on Long-footed Potoroos, other native species, foxes, and feral cats during two </w:t>
      </w:r>
      <w:r w:rsidR="000458B0">
        <w:t xml:space="preserve">distinct sampling </w:t>
      </w:r>
      <w:r>
        <w:t>periods: 2007–2009 and 2020–202</w:t>
      </w:r>
      <w:r w:rsidR="00464F53">
        <w:t>3</w:t>
      </w:r>
      <w:r>
        <w:t xml:space="preserve">, with an additional year </w:t>
      </w:r>
      <w:r w:rsidR="000458B0">
        <w:t>of data (</w:t>
      </w:r>
      <w:r>
        <w:t>202</w:t>
      </w:r>
      <w:r w:rsidR="00464F53">
        <w:t>4</w:t>
      </w:r>
      <w:r w:rsidR="000458B0">
        <w:t>)</w:t>
      </w:r>
      <w:r>
        <w:t xml:space="preserve"> being added to this report. Each camera location was categori</w:t>
      </w:r>
      <w:r w:rsidR="00495BB8">
        <w:t>s</w:t>
      </w:r>
      <w:r>
        <w:t xml:space="preserve">ed into one of two fox baiting zones: Core (baited since 2007) or Expansion (baited since December 2021). </w:t>
      </w:r>
    </w:p>
    <w:p w14:paraId="012D5B7B" w14:textId="02D2E7F6" w:rsidR="005B240C" w:rsidRDefault="005B240C" w:rsidP="005B240C">
      <w:r>
        <w:t>Hierarchical Bayes</w:t>
      </w:r>
      <w:r w:rsidR="000458B0">
        <w:t>ian</w:t>
      </w:r>
      <w:r>
        <w:t xml:space="preserve"> models were employed to analyse the combined camera survey data, investigating trends in Long-footed Potoroo occupancy and relationships between potoroo occupancy and factors such as fire history, habitat quality, productivity</w:t>
      </w:r>
      <w:r w:rsidR="000458B0">
        <w:t xml:space="preserve"> of vegetation</w:t>
      </w:r>
      <w:r>
        <w:t>, fox baiting and proxy measures of predator density.</w:t>
      </w:r>
    </w:p>
    <w:p w14:paraId="3862EDC1" w14:textId="7E75F187" w:rsidR="005B240C" w:rsidRDefault="005B240C" w:rsidP="005B240C">
      <w:r>
        <w:t>The Long-footed Potoroo data consisted of detection histories from 210 camera trap locations from 2007–2009 and 381 from 2020–202</w:t>
      </w:r>
      <w:r w:rsidR="00464F53">
        <w:t>4</w:t>
      </w:r>
      <w:r>
        <w:t xml:space="preserve">. </w:t>
      </w:r>
      <w:r w:rsidR="00CF28BE">
        <w:t>Several</w:t>
      </w:r>
      <w:r>
        <w:t xml:space="preserve"> variables were included in models, including fire history and fire severity for the 2019/2020 fires, </w:t>
      </w:r>
      <w:r w:rsidR="000458B0">
        <w:t xml:space="preserve">an existing </w:t>
      </w:r>
      <w:r>
        <w:t>Habitat Distribution Model (HDM) served as an indicator of overall habitat suitability, and the fraction of absorbed photosynthetically active radiation (FAPAR) was utili</w:t>
      </w:r>
      <w:r w:rsidR="0046308E">
        <w:t>s</w:t>
      </w:r>
      <w:r>
        <w:t>ed to characteri</w:t>
      </w:r>
      <w:r w:rsidR="0046308E">
        <w:t>s</w:t>
      </w:r>
      <w:r>
        <w:t>e vegetation canopy's energy absorption capacity</w:t>
      </w:r>
      <w:r w:rsidR="008C61C8">
        <w:t xml:space="preserve"> and represents underlying forest productivity</w:t>
      </w:r>
      <w:r>
        <w:t>. Predictions of fox densities for the Core and Expansion areas were derived</w:t>
      </w:r>
      <w:r w:rsidR="0018722D">
        <w:t>,</w:t>
      </w:r>
      <w:r>
        <w:t xml:space="preserve"> using </w:t>
      </w:r>
      <w:r w:rsidR="00FE238A">
        <w:t>individually based</w:t>
      </w:r>
      <w:r w:rsidR="008A4DC4">
        <w:t>,</w:t>
      </w:r>
      <w:r>
        <w:t xml:space="preserve"> </w:t>
      </w:r>
      <w:r w:rsidR="00760144">
        <w:t>spatially explicit</w:t>
      </w:r>
      <w:r>
        <w:t xml:space="preserve"> population modelling.</w:t>
      </w:r>
    </w:p>
    <w:p w14:paraId="13579304" w14:textId="619A0D4C" w:rsidR="00B705CE" w:rsidRPr="009148A4" w:rsidRDefault="00B705CE" w:rsidP="00F36CE5">
      <w:pPr>
        <w:spacing w:before="240"/>
        <w:rPr>
          <w:b/>
          <w:bCs/>
          <w:sz w:val="24"/>
        </w:rPr>
      </w:pPr>
      <w:bookmarkStart w:id="18" w:name="_Toc509242199"/>
      <w:bookmarkStart w:id="19" w:name="_Toc18664438"/>
      <w:r w:rsidRPr="009148A4">
        <w:rPr>
          <w:b/>
          <w:bCs/>
          <w:sz w:val="24"/>
        </w:rPr>
        <w:t>Results:</w:t>
      </w:r>
      <w:bookmarkEnd w:id="18"/>
      <w:bookmarkEnd w:id="19"/>
    </w:p>
    <w:p w14:paraId="778BE08E" w14:textId="5B986FD0" w:rsidR="00267232" w:rsidRDefault="000072B5" w:rsidP="00736FDB">
      <w:bookmarkStart w:id="20" w:name="_Hlk164320233"/>
      <w:r>
        <w:t xml:space="preserve">Long-footed Potoroo occupancy is positively associated with HDM values, increasing time since fire </w:t>
      </w:r>
      <w:r w:rsidR="00267232">
        <w:t>h</w:t>
      </w:r>
      <w:r w:rsidR="004C0C7D">
        <w:t>igher plant productivity and canopy density as represented by FAPAR values</w:t>
      </w:r>
      <w:r w:rsidR="00267232">
        <w:t xml:space="preserve"> in baited areas</w:t>
      </w:r>
      <w:r w:rsidR="00A16831">
        <w:t xml:space="preserve"> and</w:t>
      </w:r>
      <w:r w:rsidR="00267232">
        <w:t xml:space="preserve"> </w:t>
      </w:r>
      <w:r w:rsidR="00844B43">
        <w:t xml:space="preserve">the duration of </w:t>
      </w:r>
      <w:r w:rsidR="00844B43" w:rsidRPr="00CF28BE">
        <w:t>fox baiting</w:t>
      </w:r>
      <w:r w:rsidR="004C0C7D">
        <w:t xml:space="preserve">. </w:t>
      </w:r>
      <w:r w:rsidR="00ED4862">
        <w:t xml:space="preserve">Occupancy </w:t>
      </w:r>
      <w:r w:rsidR="00F419FB" w:rsidRPr="00CF28BE">
        <w:t>rate</w:t>
      </w:r>
      <w:r w:rsidR="00ED4862">
        <w:t>s</w:t>
      </w:r>
      <w:r w:rsidR="00F419FB" w:rsidRPr="00CF28BE">
        <w:t xml:space="preserve"> </w:t>
      </w:r>
      <w:r w:rsidR="00ED4862">
        <w:t>are higher</w:t>
      </w:r>
      <w:r w:rsidR="00F419FB" w:rsidRPr="00CF28BE">
        <w:t xml:space="preserve"> </w:t>
      </w:r>
      <w:r w:rsidR="00736FDB" w:rsidRPr="00CF28BE">
        <w:t xml:space="preserve">in the Core baiting zone </w:t>
      </w:r>
      <w:r w:rsidR="00E934FF">
        <w:t xml:space="preserve">(~ </w:t>
      </w:r>
      <w:r w:rsidR="00EB36D4">
        <w:t>9-fold</w:t>
      </w:r>
      <w:r w:rsidR="00E934FF">
        <w:t xml:space="preserve"> increase) </w:t>
      </w:r>
      <w:r w:rsidR="00736FDB" w:rsidRPr="00CF28BE">
        <w:t>compared to the Expansion zone, with both areas experiencing increasing occupancy rates over time</w:t>
      </w:r>
      <w:r w:rsidR="00E934FF">
        <w:t xml:space="preserve"> (23% and 18% p.a., respectively)</w:t>
      </w:r>
      <w:r w:rsidR="00736FDB" w:rsidRPr="00CF28BE">
        <w:t xml:space="preserve">. </w:t>
      </w:r>
    </w:p>
    <w:p w14:paraId="4FB4B29C" w14:textId="4B914C54" w:rsidR="00267232" w:rsidRDefault="00844B43" w:rsidP="00736FDB">
      <w:r>
        <w:lastRenderedPageBreak/>
        <w:t xml:space="preserve">The </w:t>
      </w:r>
      <w:r w:rsidR="0019327B">
        <w:t>spatial and temporal landscape model indicated</w:t>
      </w:r>
      <w:r w:rsidR="008F5DA2">
        <w:t xml:space="preserve"> that </w:t>
      </w:r>
      <w:r w:rsidR="00215BA9">
        <w:t xml:space="preserve">there has been a 6-fold increase </w:t>
      </w:r>
      <w:r w:rsidR="00474979">
        <w:t xml:space="preserve">in the estimated area of Long-footed Potoroo occupancy </w:t>
      </w:r>
      <w:r w:rsidR="008F5DA2">
        <w:t xml:space="preserve">since </w:t>
      </w:r>
      <w:r w:rsidR="005D5C34">
        <w:t>2008, with a</w:t>
      </w:r>
      <w:r w:rsidR="0019327B">
        <w:t xml:space="preserve"> negative relationship with predicted fox density and</w:t>
      </w:r>
      <w:r w:rsidR="004E041D">
        <w:t xml:space="preserve"> positive relationships with HDM, time-since fire and FAPAR. </w:t>
      </w:r>
    </w:p>
    <w:p w14:paraId="1CA68B77" w14:textId="3D228F0D" w:rsidR="00736FDB" w:rsidRPr="00CF28BE" w:rsidRDefault="00176FDF" w:rsidP="00736FDB">
      <w:r>
        <w:t xml:space="preserve">Updated results show a continuing and further trend in declining fox occurrence, </w:t>
      </w:r>
      <w:r w:rsidR="00E934FF" w:rsidRPr="00972148">
        <w:t xml:space="preserve">areas </w:t>
      </w:r>
      <w:r w:rsidR="00252220">
        <w:t>(</w:t>
      </w:r>
      <w:r w:rsidR="00E934FF" w:rsidRPr="00D6432A">
        <w:rPr>
          <w:i/>
        </w:rPr>
        <w:t>Core</w:t>
      </w:r>
      <w:r w:rsidR="00E934FF" w:rsidRPr="00972148">
        <w:t xml:space="preserve"> </w:t>
      </w:r>
      <w:r w:rsidR="00E934FF">
        <w:t>baiting z</w:t>
      </w:r>
      <w:r w:rsidR="00E934FF" w:rsidRPr="00972148">
        <w:t>one</w:t>
      </w:r>
      <w:r w:rsidR="00E934FF">
        <w:t xml:space="preserve"> –20</w:t>
      </w:r>
      <w:r w:rsidR="00E934FF" w:rsidRPr="00972148">
        <w:t>% p.a.</w:t>
      </w:r>
      <w:r w:rsidR="00E934FF">
        <w:t>;</w:t>
      </w:r>
      <w:r w:rsidR="00E934FF" w:rsidRPr="00972148">
        <w:t xml:space="preserve"> </w:t>
      </w:r>
      <w:r w:rsidR="00E934FF" w:rsidRPr="00D6432A">
        <w:rPr>
          <w:i/>
        </w:rPr>
        <w:t>Expansion</w:t>
      </w:r>
      <w:r w:rsidR="00E934FF" w:rsidRPr="00972148">
        <w:t xml:space="preserve"> </w:t>
      </w:r>
      <w:r w:rsidR="00E934FF">
        <w:t>baiting z</w:t>
      </w:r>
      <w:r w:rsidR="00E934FF" w:rsidRPr="00972148">
        <w:t>one</w:t>
      </w:r>
      <w:r w:rsidR="00E934FF">
        <w:t xml:space="preserve"> –12</w:t>
      </w:r>
      <w:r w:rsidR="00E934FF" w:rsidRPr="00972148">
        <w:t xml:space="preserve">% p.a.) </w:t>
      </w:r>
      <w:r>
        <w:t>while there is no detectable change in feral cats</w:t>
      </w:r>
      <w:r w:rsidR="00FD5745">
        <w:t xml:space="preserve">. </w:t>
      </w:r>
    </w:p>
    <w:p w14:paraId="425D514F" w14:textId="4535F525" w:rsidR="00FF7295" w:rsidRDefault="00A83891" w:rsidP="00592700">
      <w:r>
        <w:t xml:space="preserve">Long-nosed Bandicoot occurrence has increased </w:t>
      </w:r>
      <w:r w:rsidR="00E22F10">
        <w:t>significantly</w:t>
      </w:r>
      <w:r>
        <w:t xml:space="preserve"> since </w:t>
      </w:r>
      <w:r w:rsidR="00FF7295">
        <w:t>2003;</w:t>
      </w:r>
      <w:r>
        <w:t xml:space="preserve"> however, modelled covariates showed no </w:t>
      </w:r>
      <w:r w:rsidR="00A77021">
        <w:t xml:space="preserve">significant relationship to this </w:t>
      </w:r>
      <w:r w:rsidR="00E22F10">
        <w:t>change. Superb Lyrebird</w:t>
      </w:r>
      <w:r w:rsidR="00FF7295">
        <w:t xml:space="preserve"> </w:t>
      </w:r>
      <w:r w:rsidR="00FF7295" w:rsidRPr="007325FF">
        <w:t>occupancy</w:t>
      </w:r>
      <w:r w:rsidR="00FF7295">
        <w:t xml:space="preserve"> was higher in the Core zone than the </w:t>
      </w:r>
      <w:r w:rsidR="00FF7295" w:rsidRPr="007325FF">
        <w:t xml:space="preserve">Expansion </w:t>
      </w:r>
      <w:r w:rsidR="00FF7295">
        <w:t>zone throughout the 2020-2024 period, with no consistent temporal trend. There was evidence that Superb Lyrebird occurrence increased with increasing time</w:t>
      </w:r>
      <w:r w:rsidR="00FD008D">
        <w:t xml:space="preserve"> </w:t>
      </w:r>
      <w:r w:rsidR="00FF7295">
        <w:t>since</w:t>
      </w:r>
      <w:r w:rsidR="00FD008D">
        <w:t xml:space="preserve"> </w:t>
      </w:r>
      <w:r w:rsidR="00FF7295">
        <w:t>fire and increasing L</w:t>
      </w:r>
      <w:r w:rsidR="001F1E5F">
        <w:t xml:space="preserve">ong-footed </w:t>
      </w:r>
      <w:r w:rsidR="00FF7295">
        <w:t>P</w:t>
      </w:r>
      <w:r w:rsidR="001F1E5F">
        <w:t>otoroo</w:t>
      </w:r>
      <w:r w:rsidR="00FF7295">
        <w:t>-HDM, but the relationship with FAPAR values was highly uncertain.</w:t>
      </w:r>
    </w:p>
    <w:p w14:paraId="21AFB8E0" w14:textId="52E057D7" w:rsidR="00B705CE" w:rsidRDefault="00C55ED4" w:rsidP="00592700">
      <w:r>
        <w:t xml:space="preserve">Seventy-one native species were detected on camera traps between 2020 and </w:t>
      </w:r>
      <w:r w:rsidR="00364FD0">
        <w:t>202</w:t>
      </w:r>
      <w:r w:rsidR="00464F53">
        <w:t>4</w:t>
      </w:r>
      <w:r>
        <w:t xml:space="preserve">. Naïve occupancy estimates (not </w:t>
      </w:r>
      <w:r w:rsidR="00592700">
        <w:t>considering</w:t>
      </w:r>
      <w:r>
        <w:t xml:space="preserve"> detection probabilities) indicated that the rates of occurrence of several native species had increased from 2020 to </w:t>
      </w:r>
      <w:r w:rsidR="00364FD0">
        <w:t>202</w:t>
      </w:r>
      <w:r w:rsidR="00464F53">
        <w:t>4</w:t>
      </w:r>
      <w:r>
        <w:t>. Assessment of the drivers for these changes was outside the scope of this study, so further investigation is suggested.</w:t>
      </w:r>
    </w:p>
    <w:p w14:paraId="6D543A98" w14:textId="67683E4E" w:rsidR="00B705CE" w:rsidRDefault="00B705CE" w:rsidP="00F36CE5">
      <w:pPr>
        <w:spacing w:before="240"/>
        <w:rPr>
          <w:b/>
          <w:bCs/>
          <w:sz w:val="24"/>
        </w:rPr>
      </w:pPr>
      <w:bookmarkStart w:id="21" w:name="_Toc509242200"/>
      <w:bookmarkStart w:id="22" w:name="_Toc18664439"/>
      <w:bookmarkEnd w:id="20"/>
      <w:r w:rsidRPr="009148A4">
        <w:rPr>
          <w:b/>
          <w:bCs/>
          <w:sz w:val="24"/>
        </w:rPr>
        <w:t xml:space="preserve">Conclusions and </w:t>
      </w:r>
      <w:r w:rsidR="009148A4">
        <w:rPr>
          <w:b/>
          <w:bCs/>
          <w:sz w:val="24"/>
        </w:rPr>
        <w:t>I</w:t>
      </w:r>
      <w:r w:rsidRPr="009148A4">
        <w:rPr>
          <w:b/>
          <w:bCs/>
          <w:sz w:val="24"/>
        </w:rPr>
        <w:t>mplications:</w:t>
      </w:r>
      <w:bookmarkEnd w:id="21"/>
      <w:bookmarkEnd w:id="22"/>
    </w:p>
    <w:p w14:paraId="111773D0" w14:textId="77777777" w:rsidR="00176FDF" w:rsidRDefault="00176FDF" w:rsidP="005B240C">
      <w:bookmarkStart w:id="23" w:name="_Toc18664440"/>
      <w:bookmarkStart w:id="24" w:name="_Toc409798398"/>
      <w:r>
        <w:t>Long-footed Potoroos continue to increase in response to fox control and time since fire underscoring the need to maintain the current management program.</w:t>
      </w:r>
    </w:p>
    <w:p w14:paraId="412061C6" w14:textId="428C4947" w:rsidR="00094415" w:rsidRDefault="005B240C" w:rsidP="005B240C">
      <w:r w:rsidRPr="005B240C">
        <w:t>Th</w:t>
      </w:r>
      <w:r w:rsidR="00FD5745">
        <w:t>e</w:t>
      </w:r>
      <w:r w:rsidRPr="005B240C">
        <w:t xml:space="preserve"> </w:t>
      </w:r>
      <w:r w:rsidR="00176FDF">
        <w:t>results again</w:t>
      </w:r>
      <w:r w:rsidRPr="005B240C">
        <w:t xml:space="preserve"> </w:t>
      </w:r>
      <w:r w:rsidR="00746266">
        <w:t>highlight</w:t>
      </w:r>
      <w:r w:rsidRPr="005B240C">
        <w:t xml:space="preserve"> the intricate response of native species to the reduction of introduced predators, emphasizing the necessity of long-term </w:t>
      </w:r>
      <w:r w:rsidR="00176FDF">
        <w:t xml:space="preserve">implementation of effective fox control supported by </w:t>
      </w:r>
      <w:r w:rsidRPr="005B240C">
        <w:t xml:space="preserve">monitoring of key variables such as habitat suitability, productivity, fire history and predator dynamics for understanding Long-footed Potoroo occupancy patterns. </w:t>
      </w:r>
      <w:r w:rsidR="00094415">
        <w:t>It also highlights the need to continually review the model inputs and update variable selection to improve our understanding of the population drive</w:t>
      </w:r>
      <w:r w:rsidR="00EC1A46">
        <w:t>r</w:t>
      </w:r>
      <w:r w:rsidR="00094415">
        <w:t>s and dynamics.</w:t>
      </w:r>
    </w:p>
    <w:p w14:paraId="3D3C56A1" w14:textId="00E8E0C7" w:rsidR="00094415" w:rsidRDefault="00FD5745" w:rsidP="005B240C">
      <w:r>
        <w:t>S</w:t>
      </w:r>
      <w:r w:rsidR="009C1012">
        <w:t xml:space="preserve">ustained, </w:t>
      </w:r>
      <w:r w:rsidR="009C1012" w:rsidRPr="005B240C">
        <w:t xml:space="preserve">landscape-scale fox control </w:t>
      </w:r>
      <w:r>
        <w:t xml:space="preserve">is crucial </w:t>
      </w:r>
      <w:r w:rsidR="009C1012">
        <w:t xml:space="preserve">in </w:t>
      </w:r>
      <w:r w:rsidR="005B240C" w:rsidRPr="005B240C">
        <w:t xml:space="preserve">achieving and preserving </w:t>
      </w:r>
      <w:r>
        <w:t xml:space="preserve">the </w:t>
      </w:r>
      <w:r w:rsidR="005B240C" w:rsidRPr="005B240C">
        <w:t>biodiversity gains</w:t>
      </w:r>
      <w:r>
        <w:t xml:space="preserve"> made to date</w:t>
      </w:r>
      <w:r w:rsidR="005B240C" w:rsidRPr="005B240C">
        <w:t xml:space="preserve">. Despite the reduction in fox abundance due to ongoing fox control in the Barry Mountains, foxes persist in the landscape, posing a continued threat to Long-footed Potoroos and other vulnerable native species. </w:t>
      </w:r>
      <w:r w:rsidR="00FB7B56">
        <w:t>While t</w:t>
      </w:r>
      <w:r w:rsidR="005B240C" w:rsidRPr="005B240C">
        <w:t xml:space="preserve">he presence of feral cats </w:t>
      </w:r>
      <w:r w:rsidR="00630660">
        <w:t>did not have a</w:t>
      </w:r>
      <w:r w:rsidR="005B240C" w:rsidRPr="005B240C">
        <w:t xml:space="preserve"> </w:t>
      </w:r>
      <w:r w:rsidR="00176FDF">
        <w:t xml:space="preserve">demonstrable </w:t>
      </w:r>
      <w:r w:rsidR="00630660">
        <w:t xml:space="preserve">influence of Long-footed Potoroo </w:t>
      </w:r>
      <w:r w:rsidR="00FB7B56">
        <w:t>occurrence</w:t>
      </w:r>
      <w:r w:rsidR="005B240C" w:rsidRPr="005B240C">
        <w:t xml:space="preserve">, likely due to limitations in the camera trapping design, </w:t>
      </w:r>
      <w:r w:rsidR="003C2DF8">
        <w:t>f</w:t>
      </w:r>
      <w:r w:rsidR="005B240C" w:rsidRPr="005B240C">
        <w:t xml:space="preserve">urther </w:t>
      </w:r>
      <w:r w:rsidR="00094415">
        <w:t>investigation</w:t>
      </w:r>
      <w:r w:rsidR="005B240C" w:rsidRPr="005B240C">
        <w:t xml:space="preserve"> is needed in the Barry Mountains to better understand the impact of feral cats on Long-footed Potoroos and other native species.</w:t>
      </w:r>
    </w:p>
    <w:p w14:paraId="3B8AE255" w14:textId="77777777" w:rsidR="00094415" w:rsidRDefault="00094415" w:rsidP="005B240C"/>
    <w:p w14:paraId="678A155A" w14:textId="4ED4248C" w:rsidR="00074331" w:rsidRPr="001749B2" w:rsidRDefault="007C1730" w:rsidP="007F524F">
      <w:pPr>
        <w:pStyle w:val="Heading1-Numbered"/>
      </w:pPr>
      <w:r>
        <w:br w:type="page"/>
      </w:r>
      <w:bookmarkStart w:id="25" w:name="_Toc286018760"/>
      <w:bookmarkStart w:id="26" w:name="_Toc409798397"/>
      <w:bookmarkStart w:id="27" w:name="_Toc192146580"/>
      <w:bookmarkEnd w:id="23"/>
      <w:r w:rsidR="00074331" w:rsidRPr="001749B2">
        <w:lastRenderedPageBreak/>
        <w:t>Introduction</w:t>
      </w:r>
      <w:bookmarkEnd w:id="25"/>
      <w:bookmarkEnd w:id="26"/>
      <w:bookmarkEnd w:id="27"/>
    </w:p>
    <w:bookmarkEnd w:id="24"/>
    <w:p w14:paraId="5740097A" w14:textId="223D078A" w:rsidR="007F524F" w:rsidRDefault="007F524F" w:rsidP="007F524F">
      <w:r>
        <w:t xml:space="preserve">In the mesic forests of south-eastern Australia, the decline of mammal species has been significant, with numerous terrestrial species experiencing substantial reductions since European settlement (Bilney et al. 2010; Woinarski et al. 2014). Among the affected species is the </w:t>
      </w:r>
      <w:r w:rsidR="002A0B83">
        <w:t>e</w:t>
      </w:r>
      <w:r>
        <w:t>ndangered Long-footed Potoroo</w:t>
      </w:r>
      <w:r w:rsidR="002A0B83">
        <w:t xml:space="preserve"> (</w:t>
      </w:r>
      <w:r w:rsidR="002A0B83" w:rsidRPr="00F5185F">
        <w:rPr>
          <w:i/>
          <w:iCs/>
        </w:rPr>
        <w:t>Potorous longipes</w:t>
      </w:r>
      <w:r w:rsidR="002A0B83">
        <w:t>)</w:t>
      </w:r>
      <w:r>
        <w:t>,</w:t>
      </w:r>
      <w:r w:rsidR="00DD1CD0">
        <w:t xml:space="preserve"> which is</w:t>
      </w:r>
      <w:r>
        <w:t xml:space="preserve"> threatened by restricted distribution, low population density and predation by introduced Red Fox (</w:t>
      </w:r>
      <w:r w:rsidRPr="003F46E0">
        <w:rPr>
          <w:i/>
          <w:iCs/>
        </w:rPr>
        <w:t>Vulpes vulpes</w:t>
      </w:r>
      <w:r>
        <w:t>; “foxes”) and feral cats (</w:t>
      </w:r>
      <w:r w:rsidRPr="00445F79">
        <w:rPr>
          <w:i/>
          <w:iCs/>
        </w:rPr>
        <w:t>Felis catus</w:t>
      </w:r>
      <w:r>
        <w:t>), inappropriate fire regimes and climate change (Brereton et al. 1995).</w:t>
      </w:r>
    </w:p>
    <w:p w14:paraId="4EB878B1" w14:textId="64A982C5" w:rsidR="007F524F" w:rsidRDefault="007F524F" w:rsidP="007F524F">
      <w:r>
        <w:t xml:space="preserve">First </w:t>
      </w:r>
      <w:r w:rsidR="00572484">
        <w:t xml:space="preserve">described </w:t>
      </w:r>
      <w:r>
        <w:t>in the late 1960s</w:t>
      </w:r>
      <w:r w:rsidR="00BE58A0">
        <w:t xml:space="preserve"> (Seebeck and Johnston 1980)</w:t>
      </w:r>
      <w:r>
        <w:t xml:space="preserve">, the Long-footed Potoroo is known from </w:t>
      </w:r>
      <w:r w:rsidR="00973732">
        <w:t xml:space="preserve">two </w:t>
      </w:r>
      <w:r>
        <w:t>disjunct populations in East Gippsland</w:t>
      </w:r>
      <w:r w:rsidR="00973732">
        <w:t>/south-eastern New South Wales and</w:t>
      </w:r>
      <w:r>
        <w:t xml:space="preserve"> north-eastern Victoria</w:t>
      </w:r>
      <w:r w:rsidR="00973732">
        <w:t xml:space="preserve"> (the study area for this report)</w:t>
      </w:r>
      <w:r w:rsidR="00FF2DED">
        <w:t>/</w:t>
      </w:r>
      <w:r>
        <w:t>the Great Dividing Range</w:t>
      </w:r>
      <w:r w:rsidR="00BE58A0">
        <w:t xml:space="preserve"> (Jones and Johnson 1997)</w:t>
      </w:r>
      <w:r>
        <w:t>. To support conservation efforts, a fox baiting program commenced in 2004 in the Barry Mountains, covering a substantial portion of the potoroo's known range</w:t>
      </w:r>
      <w:r w:rsidR="00BE58A0">
        <w:t xml:space="preserve"> </w:t>
      </w:r>
      <w:r w:rsidR="007B2CF1">
        <w:t xml:space="preserve">in this area </w:t>
      </w:r>
      <w:r w:rsidR="00BE58A0">
        <w:t>(Robley et al. 2005)</w:t>
      </w:r>
      <w:r>
        <w:t xml:space="preserve">. However, disruptions, including conflicts with </w:t>
      </w:r>
      <w:r w:rsidR="001C122C">
        <w:t xml:space="preserve">hound </w:t>
      </w:r>
      <w:r>
        <w:t>hunters and logistical challenges, impacted program implementation. Additionally, large-scale bushfires in 2003, 2006/2007</w:t>
      </w:r>
      <w:r w:rsidR="00BE58A0">
        <w:t xml:space="preserve"> (Lumsden et al. 2012)</w:t>
      </w:r>
      <w:r>
        <w:t>, and 2019/2020 extensively affected the potoroo's habitat.</w:t>
      </w:r>
    </w:p>
    <w:p w14:paraId="15FB034F" w14:textId="0B203519" w:rsidR="007F524F" w:rsidRDefault="007F524F" w:rsidP="007F524F">
      <w:r>
        <w:t>A project initiated in 2004 to assess the potoroo population's status revealed that fox baiting had a positive impact on potoroo occupancy, particularly in unburnt or lightly scorched areas</w:t>
      </w:r>
      <w:r w:rsidR="00BE58A0">
        <w:t xml:space="preserve"> (Lumsden et al. 2012)</w:t>
      </w:r>
      <w:r>
        <w:t xml:space="preserve">. In 2019, a survey was conducted to evaluate the potoroo population's status in relation to the fox control program. Population models predicted </w:t>
      </w:r>
      <w:r w:rsidR="00BE58A0">
        <w:t>favourable</w:t>
      </w:r>
      <w:r>
        <w:t xml:space="preserve"> outcomes under an expanded fox baiting strategy, indicating lower extinction risks for potoroos</w:t>
      </w:r>
      <w:r w:rsidR="00BE58A0">
        <w:t xml:space="preserve"> (</w:t>
      </w:r>
      <w:r w:rsidR="00BE58A0" w:rsidRPr="00CF28BE">
        <w:t>DELWP 202</w:t>
      </w:r>
      <w:r w:rsidR="007C1C38">
        <w:t>2</w:t>
      </w:r>
      <w:r w:rsidR="00BE58A0" w:rsidRPr="00CF28BE">
        <w:t>)</w:t>
      </w:r>
      <w:r w:rsidRPr="00CF28BE">
        <w:t>.</w:t>
      </w:r>
      <w:r>
        <w:t xml:space="preserve"> Consequently, an </w:t>
      </w:r>
      <w:r w:rsidR="003F46E0">
        <w:t>e</w:t>
      </w:r>
      <w:r>
        <w:t>xpan</w:t>
      </w:r>
      <w:r w:rsidR="003F46E0">
        <w:t>ded</w:t>
      </w:r>
      <w:r>
        <w:t xml:space="preserve"> baiting program </w:t>
      </w:r>
      <w:r w:rsidR="003F46E0">
        <w:t xml:space="preserve">(Barry Mountains Ark) </w:t>
      </w:r>
      <w:r w:rsidR="00BE58A0">
        <w:t>has been</w:t>
      </w:r>
      <w:r>
        <w:t xml:space="preserve"> implemented </w:t>
      </w:r>
      <w:r w:rsidR="00BE58A0">
        <w:t>from</w:t>
      </w:r>
      <w:r>
        <w:t xml:space="preserve"> 2021</w:t>
      </w:r>
      <w:r w:rsidR="00BE58A0">
        <w:t>-202</w:t>
      </w:r>
      <w:r w:rsidR="00464F53">
        <w:t>4</w:t>
      </w:r>
      <w:r>
        <w:t>, aiming to further reduce fox densities and safeguard potoroo habitat.</w:t>
      </w:r>
    </w:p>
    <w:p w14:paraId="64EC2135" w14:textId="199B2715" w:rsidR="007F524F" w:rsidRDefault="007F524F" w:rsidP="007F524F">
      <w:r>
        <w:t xml:space="preserve">Occupancy </w:t>
      </w:r>
      <w:r w:rsidR="00BE58A0">
        <w:t>modelling</w:t>
      </w:r>
      <w:r>
        <w:t xml:space="preserve"> using data from 2007–2009 and 2020–202</w:t>
      </w:r>
      <w:r w:rsidR="009E329E">
        <w:t>4</w:t>
      </w:r>
      <w:r>
        <w:t xml:space="preserve"> indicate</w:t>
      </w:r>
      <w:r w:rsidR="003F46E0">
        <w:t>s</w:t>
      </w:r>
      <w:r>
        <w:t xml:space="preserve"> </w:t>
      </w:r>
      <w:r w:rsidR="003F46E0">
        <w:t xml:space="preserve">a </w:t>
      </w:r>
      <w:r w:rsidR="00BE58A0">
        <w:t xml:space="preserve">positive trend </w:t>
      </w:r>
      <w:r>
        <w:t xml:space="preserve">in potoroo occupancy </w:t>
      </w:r>
      <w:r w:rsidR="00BE58A0">
        <w:t xml:space="preserve">across the Barry Mountains </w:t>
      </w:r>
      <w:r>
        <w:t>and</w:t>
      </w:r>
      <w:r w:rsidR="003F46E0">
        <w:t xml:space="preserve"> has</w:t>
      </w:r>
      <w:r>
        <w:t xml:space="preserve"> identified the </w:t>
      </w:r>
      <w:r w:rsidR="00BE58A0">
        <w:t xml:space="preserve">importance of forest productivity, the </w:t>
      </w:r>
      <w:r>
        <w:t>impacts of fire, feral predators and fox baiting on potoroo presence in the Barry Mountains region. These findings offer valuable insights for public land managers, providing measurable targets for conservation actions and guiding future management plans for the Long-footed Potoroo and other species vulnerable to fox predation in the Barry Mountains.</w:t>
      </w:r>
    </w:p>
    <w:p w14:paraId="3CAD8269" w14:textId="4A626DEF" w:rsidR="007F524F" w:rsidRDefault="005610C6" w:rsidP="005C6DA3">
      <w:r>
        <w:t>This report updates previous research on the Barry Mountains fox control operation and the Long-footed Potoroo monitoring program (Robley et al. 202</w:t>
      </w:r>
      <w:r w:rsidR="00464F53">
        <w:t>3</w:t>
      </w:r>
      <w:r>
        <w:t>) by adding an addition</w:t>
      </w:r>
      <w:r w:rsidR="00656743">
        <w:t>al</w:t>
      </w:r>
      <w:r>
        <w:t xml:space="preserve"> year</w:t>
      </w:r>
      <w:r w:rsidR="00656743">
        <w:t xml:space="preserve"> worth of</w:t>
      </w:r>
      <w:r>
        <w:t xml:space="preserve"> data (202</w:t>
      </w:r>
      <w:r w:rsidR="00464F53">
        <w:t>4</w:t>
      </w:r>
      <w:r>
        <w:t>) and exploring the influence of additional variables in the associated models. For detailed background and information on methods refer to Robley et al (202</w:t>
      </w:r>
      <w:r w:rsidR="00464F53">
        <w:t>3</w:t>
      </w:r>
      <w:r>
        <w:t>).</w:t>
      </w:r>
    </w:p>
    <w:p w14:paraId="4C164712" w14:textId="77777777" w:rsidR="00980E26" w:rsidRDefault="00F35791" w:rsidP="00CE7E5D">
      <w:pPr>
        <w:pStyle w:val="Heading1-Numbered"/>
      </w:pPr>
      <w:r w:rsidRPr="00243764">
        <w:br w:type="page"/>
      </w:r>
      <w:bookmarkStart w:id="28" w:name="_Toc286018763"/>
      <w:bookmarkStart w:id="29" w:name="_Toc192146581"/>
      <w:r w:rsidR="00980E26" w:rsidRPr="001749B2">
        <w:lastRenderedPageBreak/>
        <w:t>Method</w:t>
      </w:r>
      <w:bookmarkEnd w:id="28"/>
      <w:r w:rsidR="00B705CE" w:rsidRPr="001749B2">
        <w:t>s</w:t>
      </w:r>
      <w:bookmarkEnd w:id="29"/>
    </w:p>
    <w:p w14:paraId="2AE92CCE" w14:textId="177C76B7" w:rsidR="002D35D5" w:rsidRPr="001749B2" w:rsidRDefault="002D35D5" w:rsidP="002D35D5">
      <w:r>
        <w:t>Detailed descriptions of the study area and methods can be found in Robley et al. (202</w:t>
      </w:r>
      <w:r w:rsidR="00746266">
        <w:t>3</w:t>
      </w:r>
      <w:r>
        <w:t>). These are briefly summarised here.</w:t>
      </w:r>
    </w:p>
    <w:p w14:paraId="0DB15715" w14:textId="3FD3C0D0" w:rsidR="00501ABD" w:rsidRDefault="005C6DA3" w:rsidP="00544ADA">
      <w:pPr>
        <w:pStyle w:val="Heading2-Numbered"/>
      </w:pPr>
      <w:bookmarkStart w:id="30" w:name="_Toc192146582"/>
      <w:r>
        <w:t>Study Area</w:t>
      </w:r>
      <w:bookmarkEnd w:id="30"/>
    </w:p>
    <w:p w14:paraId="0DDD9B40" w14:textId="7B53EA89" w:rsidR="002D35D5" w:rsidRDefault="002D35D5" w:rsidP="002D35D5">
      <w:r>
        <w:t xml:space="preserve">The study area, centred on the Barry Mountains in northeastern Victoria's Great Dividing Range region, spans approximately 229,000 hectares and includes Abbeyard, Mount Selwyn, Mount Cobbler, the Buckland Valley, Demon Ridge, and parts of the old Wonnangatta Station areas (Figure 1). The Ark boundaries were delineated based on the Habitat Distribution Model for Long-footed Potoroos (HDM; Liu et al. 2013), inclusion of both fire-affected and unburnt areas from the 2019/2020 fires and alignment with the proposed </w:t>
      </w:r>
      <w:r w:rsidR="00F94877">
        <w:t>E</w:t>
      </w:r>
      <w:r>
        <w:t xml:space="preserve">xpansion </w:t>
      </w:r>
      <w:r w:rsidR="00052C02">
        <w:t xml:space="preserve">zone </w:t>
      </w:r>
      <w:r>
        <w:t>footprint.</w:t>
      </w:r>
    </w:p>
    <w:p w14:paraId="0999959C" w14:textId="17106C53" w:rsidR="002D35D5" w:rsidRDefault="002D35D5" w:rsidP="002D35D5">
      <w:r>
        <w:t>The Ark area experienced significant wildfires in 2003 and 2006/2007 and partial burning, with varying severity, in the 2019/2020 fires (</w:t>
      </w:r>
      <w:r w:rsidR="00732CAC">
        <w:fldChar w:fldCharType="begin"/>
      </w:r>
      <w:r w:rsidR="00732CAC">
        <w:instrText xml:space="preserve"> REF _Ref328561662 \h </w:instrText>
      </w:r>
      <w:r w:rsidR="00732CAC">
        <w:fldChar w:fldCharType="separate"/>
      </w:r>
      <w:r w:rsidR="00732CAC">
        <w:t xml:space="preserve">Figure </w:t>
      </w:r>
      <w:r w:rsidR="00732CAC">
        <w:rPr>
          <w:noProof/>
        </w:rPr>
        <w:t>1</w:t>
      </w:r>
      <w:r w:rsidR="00732CAC">
        <w:fldChar w:fldCharType="end"/>
      </w:r>
      <w:r>
        <w:t>).</w:t>
      </w:r>
    </w:p>
    <w:p w14:paraId="0E09210E" w14:textId="03FE2FA4" w:rsidR="002D35D5" w:rsidRDefault="002D35D5" w:rsidP="002D35D5">
      <w:r>
        <w:t>Internally, the study area was divided into five management zones, four within State Forests and one within Parks Victoria estate (</w:t>
      </w:r>
      <w:r w:rsidR="00464F53">
        <w:fldChar w:fldCharType="begin"/>
      </w:r>
      <w:r w:rsidR="00464F53">
        <w:instrText xml:space="preserve"> REF _Ref328561662 \h </w:instrText>
      </w:r>
      <w:r w:rsidR="00464F53">
        <w:fldChar w:fldCharType="separate"/>
      </w:r>
      <w:r w:rsidR="00464F53" w:rsidRPr="005A375F">
        <w:t xml:space="preserve">Figure </w:t>
      </w:r>
      <w:r w:rsidR="00464F53">
        <w:rPr>
          <w:noProof/>
        </w:rPr>
        <w:t>1</w:t>
      </w:r>
      <w:r w:rsidR="00464F53">
        <w:fldChar w:fldCharType="end"/>
      </w:r>
      <w:r>
        <w:t>). These zones delineate operational areas for the planned Barry Mountains Ark fox control operations, as detailed in section</w:t>
      </w:r>
      <w:r w:rsidR="00464F53">
        <w:t xml:space="preserve"> </w:t>
      </w:r>
      <w:r w:rsidR="00464F53">
        <w:fldChar w:fldCharType="begin"/>
      </w:r>
      <w:r w:rsidR="00464F53">
        <w:instrText xml:space="preserve"> REF _Ref187160603 \r \h </w:instrText>
      </w:r>
      <w:r w:rsidR="00464F53">
        <w:fldChar w:fldCharType="separate"/>
      </w:r>
      <w:r w:rsidR="00464F53">
        <w:t>2.2</w:t>
      </w:r>
      <w:r w:rsidR="00464F53">
        <w:fldChar w:fldCharType="end"/>
      </w:r>
      <w:r>
        <w:t>.</w:t>
      </w:r>
    </w:p>
    <w:p w14:paraId="330DEC3F" w14:textId="4EA7D66A" w:rsidR="005C6DA3" w:rsidRDefault="005C6DA3" w:rsidP="005C6DA3">
      <w:r>
        <w:rPr>
          <w:noProof/>
          <w:lang w:val="en-GB" w:eastAsia="en-GB" w:bidi="lo-LA"/>
        </w:rPr>
        <w:drawing>
          <wp:inline distT="0" distB="0" distL="0" distR="0" wp14:anchorId="17D97EEC" wp14:editId="301076C5">
            <wp:extent cx="3874992" cy="480166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9" cstate="email">
                      <a:extLst>
                        <a:ext uri="{28A0092B-C50C-407E-A947-70E740481C1C}">
                          <a14:useLocalDpi xmlns:a14="http://schemas.microsoft.com/office/drawing/2010/main"/>
                        </a:ext>
                      </a:extLst>
                    </a:blip>
                    <a:stretch>
                      <a:fillRect/>
                    </a:stretch>
                  </pic:blipFill>
                  <pic:spPr>
                    <a:xfrm>
                      <a:off x="0" y="0"/>
                      <a:ext cx="3914792" cy="4850985"/>
                    </a:xfrm>
                    <a:prstGeom prst="rect">
                      <a:avLst/>
                    </a:prstGeom>
                    <a:ln>
                      <a:noFill/>
                    </a:ln>
                  </pic:spPr>
                </pic:pic>
              </a:graphicData>
            </a:graphic>
          </wp:inline>
        </w:drawing>
      </w:r>
    </w:p>
    <w:p w14:paraId="56B9CC23" w14:textId="505B6721" w:rsidR="004A4A5B" w:rsidRPr="005A375F" w:rsidRDefault="00732CAC" w:rsidP="00732CAC">
      <w:pPr>
        <w:pStyle w:val="Caption-Figure"/>
      </w:pPr>
      <w:bookmarkStart w:id="31" w:name="_Ref328561662"/>
      <w:bookmarkStart w:id="32" w:name="Figure1"/>
      <w:bookmarkStart w:id="33" w:name="_Toc284627856"/>
      <w:bookmarkStart w:id="34" w:name="_Toc409798462"/>
      <w:bookmarkStart w:id="35" w:name="_Toc286018789"/>
      <w:bookmarkStart w:id="36" w:name="_Toc18664477"/>
      <w:bookmarkStart w:id="37" w:name="_Toc140098279"/>
      <w:bookmarkStart w:id="38" w:name="_Toc152362461"/>
      <w:bookmarkStart w:id="39" w:name="_Toc164333238"/>
      <w:bookmarkStart w:id="40" w:name="_Ref187160540"/>
      <w:bookmarkStart w:id="41" w:name="_Toc193445949"/>
      <w:bookmarkStart w:id="42" w:name="_Ref284455958"/>
      <w:bookmarkStart w:id="43" w:name="_Ref284427781"/>
      <w:r>
        <w:t xml:space="preserve">Figure </w:t>
      </w:r>
      <w:fldSimple w:instr=" SEQ Figure \* ARABIC ">
        <w:r w:rsidR="00E105E1">
          <w:rPr>
            <w:noProof/>
          </w:rPr>
          <w:t>1</w:t>
        </w:r>
      </w:fldSimple>
      <w:bookmarkEnd w:id="31"/>
      <w:bookmarkEnd w:id="32"/>
      <w:r w:rsidR="004A4A5B" w:rsidRPr="005A375F">
        <w:t xml:space="preserve">. </w:t>
      </w:r>
      <w:bookmarkEnd w:id="33"/>
      <w:bookmarkEnd w:id="34"/>
      <w:bookmarkEnd w:id="35"/>
      <w:bookmarkEnd w:id="36"/>
      <w:bookmarkEnd w:id="37"/>
      <w:r w:rsidR="005C6DA3" w:rsidRPr="005A375F">
        <w:t>Map of the Barry Mountains Ark area</w:t>
      </w:r>
      <w:r w:rsidR="004A4A5B" w:rsidRPr="005A375F">
        <w:t>.</w:t>
      </w:r>
      <w:bookmarkEnd w:id="38"/>
      <w:bookmarkEnd w:id="39"/>
      <w:bookmarkEnd w:id="40"/>
      <w:bookmarkEnd w:id="41"/>
    </w:p>
    <w:bookmarkEnd w:id="42"/>
    <w:bookmarkEnd w:id="43"/>
    <w:p w14:paraId="6EA962E4" w14:textId="60F62C5D" w:rsidR="004A4A5B" w:rsidRPr="00DF30F0" w:rsidRDefault="005C6DA3" w:rsidP="00A11E89">
      <w:pPr>
        <w:rPr>
          <w:rFonts w:ascii="Times New Roman" w:hAnsi="Times New Roman" w:cs="Times New Roman"/>
          <w:sz w:val="22"/>
          <w:szCs w:val="28"/>
        </w:rPr>
      </w:pPr>
      <w:r w:rsidRPr="00DF30F0">
        <w:rPr>
          <w:rFonts w:ascii="Times New Roman" w:hAnsi="Times New Roman" w:cs="Times New Roman"/>
          <w:szCs w:val="20"/>
        </w:rPr>
        <w:t>Internal divisions indicate the location of the four State Forest zones (yellow background) and the Alpine National Park zone (green background). The map also shows the severity of the burn [red (severe) to light blue (unburnt within the fire footprint)] and the area burnt in the 2019/2020 Ovens Fire Complex.</w:t>
      </w:r>
    </w:p>
    <w:p w14:paraId="1A6C373C" w14:textId="77777777" w:rsidR="004A4A5B" w:rsidRDefault="004A4A5B" w:rsidP="00DC3852"/>
    <w:p w14:paraId="2CD38670" w14:textId="77777777" w:rsidR="002B4D3D" w:rsidRDefault="002B4D3D" w:rsidP="00DC3852"/>
    <w:p w14:paraId="79928D8B" w14:textId="4A6D8200" w:rsidR="002B4D3D" w:rsidRDefault="002B4D3D" w:rsidP="00544ADA">
      <w:pPr>
        <w:pStyle w:val="Heading2-Numbered"/>
      </w:pPr>
      <w:bookmarkStart w:id="44" w:name="_Ref187160587"/>
      <w:bookmarkStart w:id="45" w:name="_Ref187160603"/>
      <w:bookmarkStart w:id="46" w:name="_Toc192146583"/>
      <w:r w:rsidRPr="002B4D3D">
        <w:lastRenderedPageBreak/>
        <w:t>The Expansion fox control program 2021–202</w:t>
      </w:r>
      <w:bookmarkEnd w:id="44"/>
      <w:bookmarkEnd w:id="45"/>
      <w:r w:rsidR="00EB01B4">
        <w:t>4</w:t>
      </w:r>
      <w:bookmarkEnd w:id="46"/>
    </w:p>
    <w:p w14:paraId="684F84BE" w14:textId="585B3E52" w:rsidR="002B4D3D" w:rsidRDefault="002B4D3D" w:rsidP="002B4D3D">
      <w:r>
        <w:t>A detailed description of the Barry Mountains Ark program has been provided by DELWP (2021). Here we summarise the main characteristics of the program</w:t>
      </w:r>
      <w:r w:rsidR="00154AC3">
        <w:t>:</w:t>
      </w:r>
    </w:p>
    <w:p w14:paraId="52F4164A" w14:textId="09F66699" w:rsidR="002B4D3D" w:rsidRDefault="002B4D3D" w:rsidP="002B4D3D">
      <w:r>
        <w:t>Between 2004 and 2019, baiting was undertaken year-round in the Core baiting zone within the Alpine National Park (</w:t>
      </w:r>
      <w:r w:rsidR="00464F53">
        <w:fldChar w:fldCharType="begin"/>
      </w:r>
      <w:r w:rsidR="00464F53">
        <w:instrText xml:space="preserve"> REF _Ref187160644 \h </w:instrText>
      </w:r>
      <w:r w:rsidR="00464F53">
        <w:fldChar w:fldCharType="separate"/>
      </w:r>
      <w:r w:rsidR="00464F53">
        <w:t xml:space="preserve">Figure </w:t>
      </w:r>
      <w:r w:rsidR="00464F53">
        <w:rPr>
          <w:noProof/>
        </w:rPr>
        <w:t>2</w:t>
      </w:r>
      <w:r w:rsidR="00464F53">
        <w:fldChar w:fldCharType="end"/>
      </w:r>
      <w:r>
        <w:t xml:space="preserve">); the </w:t>
      </w:r>
      <w:r w:rsidR="0073689E">
        <w:t>E</w:t>
      </w:r>
      <w:r>
        <w:t xml:space="preserve">xpansion baiting strategy commenced in December 2021. </w:t>
      </w:r>
      <w:r w:rsidR="004D78D7">
        <w:t>It includ</w:t>
      </w:r>
      <w:r w:rsidR="00BC48F1">
        <w:t>es</w:t>
      </w:r>
      <w:r>
        <w:t xml:space="preserve"> the Alpine National Park and a small section of State Forest in the Tea-Tree Range is being baited year-round with baits checked and replaced monthly. In areas above 900 metres, baits are removed, and baiting is generally ceased in June/July or when snow conditions or other access factors dictate. In State Forest, bait is laid continuously from December to March inclusive only (i.e. outside deer-hunting season) and baiting is generally ceased above 900 metres </w:t>
      </w:r>
      <w:r w:rsidR="006F1C09">
        <w:t xml:space="preserve">due to </w:t>
      </w:r>
      <w:r>
        <w:t>snow conditions or other access factors. Baits are checked and replaced monthly.</w:t>
      </w:r>
    </w:p>
    <w:p w14:paraId="682CD883" w14:textId="5BDFD631" w:rsidR="002B4D3D" w:rsidRDefault="002B4D3D" w:rsidP="002B4D3D">
      <w:r>
        <w:rPr>
          <w:noProof/>
          <w:lang w:val="en-GB" w:eastAsia="en-GB" w:bidi="lo-LA"/>
        </w:rPr>
        <w:drawing>
          <wp:inline distT="0" distB="0" distL="0" distR="0" wp14:anchorId="3528F350" wp14:editId="67151D43">
            <wp:extent cx="3553200" cy="432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0" cstate="email">
                      <a:extLst>
                        <a:ext uri="{28A0092B-C50C-407E-A947-70E740481C1C}">
                          <a14:useLocalDpi xmlns:a14="http://schemas.microsoft.com/office/drawing/2010/main"/>
                        </a:ext>
                      </a:extLst>
                    </a:blip>
                    <a:stretch>
                      <a:fillRect/>
                    </a:stretch>
                  </pic:blipFill>
                  <pic:spPr>
                    <a:xfrm>
                      <a:off x="0" y="0"/>
                      <a:ext cx="3553200" cy="4320000"/>
                    </a:xfrm>
                    <a:prstGeom prst="rect">
                      <a:avLst/>
                    </a:prstGeom>
                  </pic:spPr>
                </pic:pic>
              </a:graphicData>
            </a:graphic>
          </wp:inline>
        </w:drawing>
      </w:r>
    </w:p>
    <w:p w14:paraId="3E40C7F0" w14:textId="00B54E2C" w:rsidR="007C71E4" w:rsidRDefault="00732CAC" w:rsidP="00732CAC">
      <w:pPr>
        <w:pStyle w:val="Caption-Figure"/>
      </w:pPr>
      <w:bookmarkStart w:id="47" w:name="_Ref187160644"/>
      <w:bookmarkStart w:id="48" w:name="_Toc152362462"/>
      <w:bookmarkStart w:id="49" w:name="_Toc164333239"/>
      <w:bookmarkStart w:id="50" w:name="_Ref187160634"/>
      <w:bookmarkStart w:id="51" w:name="_Toc193445950"/>
      <w:r>
        <w:t xml:space="preserve">Figure </w:t>
      </w:r>
      <w:fldSimple w:instr=" SEQ Figure \* ARABIC ">
        <w:r w:rsidR="00E105E1">
          <w:rPr>
            <w:noProof/>
          </w:rPr>
          <w:t>2</w:t>
        </w:r>
      </w:fldSimple>
      <w:bookmarkEnd w:id="47"/>
      <w:r w:rsidR="002C702B">
        <w:t>.</w:t>
      </w:r>
      <w:bookmarkEnd w:id="48"/>
      <w:r w:rsidR="002C702B">
        <w:t xml:space="preserve"> </w:t>
      </w:r>
      <w:r w:rsidR="002B4D3D" w:rsidRPr="002B4D3D">
        <w:t>The locations of baited tracks and roads used for the control of foxes in the Barry Mountains Ark program.</w:t>
      </w:r>
      <w:bookmarkEnd w:id="49"/>
      <w:bookmarkEnd w:id="50"/>
      <w:bookmarkEnd w:id="51"/>
    </w:p>
    <w:p w14:paraId="00AF44B5" w14:textId="4C78086A" w:rsidR="002B4D3D" w:rsidRPr="00DF30F0" w:rsidRDefault="002B4D3D" w:rsidP="00DF30F0">
      <w:pPr>
        <w:rPr>
          <w:rFonts w:ascii="Times New Roman" w:hAnsi="Times New Roman" w:cs="Times New Roman"/>
        </w:rPr>
      </w:pPr>
      <w:r w:rsidRPr="00DF30F0">
        <w:rPr>
          <w:rFonts w:ascii="Times New Roman" w:hAnsi="Times New Roman" w:cs="Times New Roman"/>
        </w:rPr>
        <w:t xml:space="preserve">Tan area = </w:t>
      </w:r>
      <w:r w:rsidRPr="00DF30F0">
        <w:rPr>
          <w:rFonts w:ascii="Times New Roman" w:hAnsi="Times New Roman" w:cs="Times New Roman"/>
          <w:i/>
          <w:iCs/>
        </w:rPr>
        <w:t>Core</w:t>
      </w:r>
      <w:r w:rsidRPr="00DF30F0">
        <w:rPr>
          <w:rFonts w:ascii="Times New Roman" w:hAnsi="Times New Roman" w:cs="Times New Roman"/>
        </w:rPr>
        <w:t xml:space="preserve"> baiting zone (200</w:t>
      </w:r>
      <w:r w:rsidR="00B3080F">
        <w:rPr>
          <w:rFonts w:ascii="Times New Roman" w:hAnsi="Times New Roman" w:cs="Times New Roman"/>
        </w:rPr>
        <w:t>4</w:t>
      </w:r>
      <w:r w:rsidRPr="00DF30F0">
        <w:rPr>
          <w:rFonts w:ascii="Times New Roman" w:hAnsi="Times New Roman" w:cs="Times New Roman"/>
        </w:rPr>
        <w:t xml:space="preserve">–2009); pale-blue area = </w:t>
      </w:r>
      <w:r w:rsidRPr="00DF30F0">
        <w:rPr>
          <w:rFonts w:ascii="Times New Roman" w:hAnsi="Times New Roman" w:cs="Times New Roman"/>
          <w:i/>
        </w:rPr>
        <w:t>Expansion</w:t>
      </w:r>
      <w:r w:rsidRPr="00DF30F0">
        <w:rPr>
          <w:rFonts w:ascii="Times New Roman" w:hAnsi="Times New Roman" w:cs="Times New Roman"/>
        </w:rPr>
        <w:t xml:space="preserve"> baiting zone (December 2021–</w:t>
      </w:r>
      <w:r w:rsidR="00364FD0" w:rsidRPr="00DF30F0">
        <w:rPr>
          <w:rFonts w:ascii="Times New Roman" w:hAnsi="Times New Roman" w:cs="Times New Roman"/>
        </w:rPr>
        <w:t>202</w:t>
      </w:r>
      <w:r w:rsidR="00EB01B4">
        <w:rPr>
          <w:rFonts w:ascii="Times New Roman" w:hAnsi="Times New Roman" w:cs="Times New Roman"/>
        </w:rPr>
        <w:t>4</w:t>
      </w:r>
      <w:r w:rsidRPr="00DF30F0">
        <w:rPr>
          <w:rFonts w:ascii="Times New Roman" w:hAnsi="Times New Roman" w:cs="Times New Roman"/>
        </w:rPr>
        <w:t>); brown dots indicate stations mostly in State Forest, operated predominantly outside the April–November deer-hunting season, access permitting; orange dots indicate stations mostly in the Alpine National Park, operated all year round, access permitting.</w:t>
      </w:r>
    </w:p>
    <w:p w14:paraId="1EA6D111" w14:textId="743A4372" w:rsidR="002B4D3D" w:rsidRDefault="002B4D3D" w:rsidP="00544ADA">
      <w:pPr>
        <w:pStyle w:val="Heading2-Numbered"/>
      </w:pPr>
      <w:bookmarkStart w:id="52" w:name="_Toc192146584"/>
      <w:r>
        <w:t>Detecting native and introduced species</w:t>
      </w:r>
      <w:bookmarkEnd w:id="52"/>
    </w:p>
    <w:p w14:paraId="6B930BE6" w14:textId="4B18B2F8" w:rsidR="002D35D5" w:rsidRDefault="002D35D5" w:rsidP="002D35D5">
      <w:r>
        <w:t xml:space="preserve">For a full description of the methods and analytical approach refer to Robley et al. </w:t>
      </w:r>
      <w:r w:rsidR="00EE1796">
        <w:t>(</w:t>
      </w:r>
      <w:r>
        <w:t>202</w:t>
      </w:r>
      <w:r w:rsidR="00746266">
        <w:t>3</w:t>
      </w:r>
      <w:r>
        <w:t>). These are briefly summarised below.</w:t>
      </w:r>
    </w:p>
    <w:p w14:paraId="2B29E065" w14:textId="32D46596" w:rsidR="002B4D3D" w:rsidRDefault="002B4D3D" w:rsidP="002B4D3D">
      <w:pPr>
        <w:pStyle w:val="Heading3-Numbered"/>
      </w:pPr>
      <w:bookmarkStart w:id="53" w:name="_Toc192146585"/>
      <w:r>
        <w:t>Data collection</w:t>
      </w:r>
      <w:bookmarkEnd w:id="53"/>
    </w:p>
    <w:p w14:paraId="0B62BCEF" w14:textId="01A3835B" w:rsidR="00EE1796" w:rsidRDefault="00EE1796" w:rsidP="00EE1796">
      <w:r>
        <w:t xml:space="preserve">Camera trapping was conducted over two periods, from 2007 to 2009 </w:t>
      </w:r>
      <w:r w:rsidR="00310C1F">
        <w:t>(</w:t>
      </w:r>
      <w:r>
        <w:t>Lumsden et al. 2012; Lumsden et al. unpublished data) and from 2020 to 202</w:t>
      </w:r>
      <w:r w:rsidR="00464F53">
        <w:t>4</w:t>
      </w:r>
      <w:r>
        <w:t>, to gather data on the presence of Long-footed Potoroos, other native species, foxes, and feral cats. Cameras were positioned approximately 30 centimetres above ground, facing south, and equipped with mammal lures to attract the target species. Initially deployed as part of a 5-year project assessing the potoroo population, the camera trapping aimed to investigate distribution patterns, assess population status, and evaluate the impact of bushfires and predator control.</w:t>
      </w:r>
    </w:p>
    <w:p w14:paraId="65F6E0B5" w14:textId="2D1B5989" w:rsidR="00EE1796" w:rsidRDefault="00EE1796" w:rsidP="00EE1796">
      <w:r>
        <w:lastRenderedPageBreak/>
        <w:t>Sampling was stratified across various habitat types, with sites selected randomly within and outside the known distribution of the species in the Great Dividing Range area. In the 2007-2009 period, 271 sites were sampled, with 210 within the study boundary. In October 2020, 120 camera trap sites were established at a subset of the 2007-2009 locations using Reconyx cameras (models PC900 and HP2X, Reconyx Inc., WI USA). Surveys were undertaken in October 2021 (n = 138), October 2022 (n = 123), October 2023 (n = 125)</w:t>
      </w:r>
      <w:r w:rsidR="00464F53">
        <w:t xml:space="preserve">, and October 2024 (n = </w:t>
      </w:r>
      <w:r w:rsidR="00746266">
        <w:t>13</w:t>
      </w:r>
      <w:r w:rsidR="00727D3D">
        <w:t>2</w:t>
      </w:r>
      <w:r w:rsidR="00464F53">
        <w:t>)</w:t>
      </w:r>
      <w:r>
        <w:t xml:space="preserve"> (</w:t>
      </w:r>
      <w:r w:rsidR="00FE065F">
        <w:fldChar w:fldCharType="begin"/>
      </w:r>
      <w:r w:rsidR="00FE065F">
        <w:instrText xml:space="preserve"> REF _Ref191897384 \h </w:instrText>
      </w:r>
      <w:r w:rsidR="00FE065F">
        <w:fldChar w:fldCharType="separate"/>
      </w:r>
      <w:r w:rsidR="00FE065F">
        <w:t xml:space="preserve">Table </w:t>
      </w:r>
      <w:r w:rsidR="00FE065F">
        <w:rPr>
          <w:noProof/>
        </w:rPr>
        <w:t>1</w:t>
      </w:r>
      <w:r w:rsidR="00FE065F">
        <w:fldChar w:fldCharType="end"/>
      </w:r>
      <w:r w:rsidR="00FE065F">
        <w:t xml:space="preserve">, </w:t>
      </w:r>
      <w:r w:rsidR="00464F53">
        <w:fldChar w:fldCharType="begin"/>
      </w:r>
      <w:r w:rsidR="00464F53">
        <w:instrText xml:space="preserve"> REF _Ref187160756 \h </w:instrText>
      </w:r>
      <w:r w:rsidR="00464F53">
        <w:fldChar w:fldCharType="separate"/>
      </w:r>
      <w:r w:rsidR="00464F53">
        <w:t xml:space="preserve">Figure </w:t>
      </w:r>
      <w:r w:rsidR="00464F53">
        <w:rPr>
          <w:noProof/>
        </w:rPr>
        <w:t>3</w:t>
      </w:r>
      <w:r w:rsidR="00464F53">
        <w:fldChar w:fldCharType="end"/>
      </w:r>
      <w:r>
        <w:t xml:space="preserve">). The number of cameras varied each year, as additional camera sites were added to improve </w:t>
      </w:r>
      <w:r w:rsidR="009E329E">
        <w:t>estimates,</w:t>
      </w:r>
      <w:r>
        <w:t xml:space="preserve"> or some cameras failed to operate or were stolen. (</w:t>
      </w:r>
      <w:r w:rsidR="00464F53">
        <w:fldChar w:fldCharType="begin"/>
      </w:r>
      <w:r w:rsidR="00464F53">
        <w:instrText xml:space="preserve"> REF _Ref187160756 \h </w:instrText>
      </w:r>
      <w:r w:rsidR="00464F53">
        <w:fldChar w:fldCharType="separate"/>
      </w:r>
      <w:r w:rsidR="00464F53">
        <w:t xml:space="preserve">Figure </w:t>
      </w:r>
      <w:r w:rsidR="00464F53">
        <w:rPr>
          <w:noProof/>
        </w:rPr>
        <w:t>3</w:t>
      </w:r>
      <w:r w:rsidR="00464F53">
        <w:fldChar w:fldCharType="end"/>
      </w:r>
      <w:r>
        <w:t>).</w:t>
      </w:r>
    </w:p>
    <w:p w14:paraId="6BF90796" w14:textId="6DC80D97" w:rsidR="00BF1310" w:rsidRDefault="00EE1796" w:rsidP="00EE1796">
      <w:r>
        <w:t>The combined camera survey data from both periods were analysed to assess Long-footed Potoroo occupancy (MacKenzie et al. 2017) trends and investigate the impacts of fire, feral predators and fox baiting in the Barry Mountains region. Fire history was derived from fire history overlays and severity models, while a Habitat Distribution Model was developed to assess habitat suitability. The analysis included data from both Core and Expansion baiting zones, allowing for comparisons before and after baiting programs and between different baiting zones.</w:t>
      </w:r>
    </w:p>
    <w:p w14:paraId="58398288" w14:textId="582EA1E9" w:rsidR="002B4D3D" w:rsidRPr="002B4D3D" w:rsidRDefault="002B4D3D" w:rsidP="002B4D3D">
      <w:r>
        <w:rPr>
          <w:noProof/>
          <w:lang w:val="en-GB" w:eastAsia="en-GB" w:bidi="lo-LA"/>
        </w:rPr>
        <w:drawing>
          <wp:inline distT="0" distB="0" distL="0" distR="0" wp14:anchorId="10065CC3" wp14:editId="0E90E104">
            <wp:extent cx="3549600" cy="432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3549600" cy="4320000"/>
                    </a:xfrm>
                    <a:prstGeom prst="rect">
                      <a:avLst/>
                    </a:prstGeom>
                    <a:ln>
                      <a:noFill/>
                    </a:ln>
                    <a:extLst>
                      <a:ext uri="{53640926-AAD7-44D8-BBD7-CCE9431645EC}">
                        <a14:shadowObscured xmlns:a14="http://schemas.microsoft.com/office/drawing/2010/main"/>
                      </a:ext>
                    </a:extLst>
                  </pic:spPr>
                </pic:pic>
              </a:graphicData>
            </a:graphic>
          </wp:inline>
        </w:drawing>
      </w:r>
    </w:p>
    <w:p w14:paraId="30A9931E" w14:textId="61A122D7" w:rsidR="001111BD" w:rsidRDefault="00E87FCA" w:rsidP="00E87FCA">
      <w:pPr>
        <w:pStyle w:val="Caption-Figure"/>
      </w:pPr>
      <w:bookmarkStart w:id="54" w:name="_Ref187160756"/>
      <w:bookmarkStart w:id="55" w:name="_Toc193445951"/>
      <w:r>
        <w:t xml:space="preserve">Figure </w:t>
      </w:r>
      <w:fldSimple w:instr=" SEQ Figure \* ARABIC ">
        <w:r w:rsidR="00E105E1">
          <w:rPr>
            <w:noProof/>
          </w:rPr>
          <w:t>3</w:t>
        </w:r>
      </w:fldSimple>
      <w:bookmarkEnd w:id="54"/>
      <w:r w:rsidR="002B4D3D">
        <w:t xml:space="preserve">. </w:t>
      </w:r>
      <w:r w:rsidR="002B4D3D" w:rsidRPr="002B4D3D">
        <w:t>Locations of cameras used to survey changes in Long-footed Potoroo occupancy 2007–202</w:t>
      </w:r>
      <w:r w:rsidR="00464F53">
        <w:t>4</w:t>
      </w:r>
      <w:r w:rsidR="002B4D3D" w:rsidRPr="002B4D3D">
        <w:t>.</w:t>
      </w:r>
      <w:bookmarkEnd w:id="55"/>
    </w:p>
    <w:p w14:paraId="7B42A511" w14:textId="70222952" w:rsidR="002B4D3D" w:rsidRPr="00DF30F0" w:rsidRDefault="002B4D3D" w:rsidP="002B4D3D">
      <w:pPr>
        <w:rPr>
          <w:rFonts w:ascii="Times New Roman" w:hAnsi="Times New Roman" w:cs="Times New Roman"/>
        </w:rPr>
      </w:pPr>
      <w:r w:rsidRPr="00DF30F0">
        <w:rPr>
          <w:rFonts w:ascii="Times New Roman" w:hAnsi="Times New Roman" w:cs="Times New Roman"/>
        </w:rPr>
        <w:t>Tan shading: Core baiting zone; pale-blue shading: Expansion baiting zone. Red squares: camera locations 2007–2009; blue dots: camera locations 2020–202</w:t>
      </w:r>
      <w:r w:rsidR="00464F53">
        <w:rPr>
          <w:rFonts w:ascii="Times New Roman" w:hAnsi="Times New Roman" w:cs="Times New Roman"/>
        </w:rPr>
        <w:t>4</w:t>
      </w:r>
      <w:r w:rsidRPr="00DF30F0">
        <w:rPr>
          <w:rFonts w:ascii="Times New Roman" w:hAnsi="Times New Roman" w:cs="Times New Roman"/>
        </w:rPr>
        <w:t>. Note, some camera locations were the same in all years.</w:t>
      </w:r>
    </w:p>
    <w:p w14:paraId="55BBFD32" w14:textId="77777777" w:rsidR="0091267A" w:rsidRDefault="0091267A">
      <w:pPr>
        <w:spacing w:after="0"/>
        <w:rPr>
          <w:b/>
          <w:bCs/>
          <w:color w:val="201547" w:themeColor="accent3"/>
          <w:szCs w:val="22"/>
        </w:rPr>
      </w:pPr>
      <w:r>
        <w:br w:type="page"/>
      </w:r>
    </w:p>
    <w:p w14:paraId="5EACFD44" w14:textId="093D092C" w:rsidR="00A55D41" w:rsidRPr="00FF1205" w:rsidRDefault="00FE065F" w:rsidP="00FE065F">
      <w:pPr>
        <w:pStyle w:val="Caption-Table"/>
      </w:pPr>
      <w:bookmarkStart w:id="56" w:name="_Ref191897384"/>
      <w:bookmarkStart w:id="57" w:name="_Toc192146603"/>
      <w:r>
        <w:lastRenderedPageBreak/>
        <w:t xml:space="preserve">Table </w:t>
      </w:r>
      <w:fldSimple w:instr=" SEQ Table \* ARABIC ">
        <w:r w:rsidR="00E105E1">
          <w:rPr>
            <w:noProof/>
          </w:rPr>
          <w:t>1</w:t>
        </w:r>
      </w:fldSimple>
      <w:bookmarkEnd w:id="56"/>
      <w:r w:rsidR="00A55D41" w:rsidRPr="00FF1205">
        <w:t xml:space="preserve">. Summary of camera trap survey effort and numbers (proportions) of Long-footed Potoroo, fox and feral cat detections from 2007 to </w:t>
      </w:r>
      <w:r w:rsidR="009C6CF9" w:rsidRPr="00FF1205">
        <w:t>202</w:t>
      </w:r>
      <w:r w:rsidR="00464F53">
        <w:t>4</w:t>
      </w:r>
      <w:r w:rsidR="00A55D41" w:rsidRPr="00FF1205">
        <w:t>.</w:t>
      </w:r>
      <w:bookmarkEnd w:id="57"/>
      <w:r w:rsidR="00A55D41" w:rsidRPr="00FF1205">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321"/>
        <w:gridCol w:w="1216"/>
        <w:gridCol w:w="1085"/>
        <w:gridCol w:w="1392"/>
        <w:gridCol w:w="1201"/>
        <w:gridCol w:w="1222"/>
        <w:gridCol w:w="1095"/>
        <w:gridCol w:w="1107"/>
      </w:tblGrid>
      <w:tr w:rsidR="002B4D3D" w:rsidRPr="00D50CA1" w14:paraId="243721AA" w14:textId="77777777" w:rsidTr="00637AE7">
        <w:trPr>
          <w:tblHeader/>
        </w:trPr>
        <w:tc>
          <w:tcPr>
            <w:tcW w:w="685" w:type="pct"/>
            <w:shd w:val="clear" w:color="auto" w:fill="004C97"/>
            <w:tcMar>
              <w:top w:w="0" w:type="dxa"/>
              <w:left w:w="0" w:type="dxa"/>
              <w:bottom w:w="0" w:type="dxa"/>
              <w:right w:w="0" w:type="dxa"/>
            </w:tcMar>
            <w:hideMark/>
          </w:tcPr>
          <w:p w14:paraId="6D729D9A" w14:textId="77777777" w:rsidR="002B4D3D" w:rsidRPr="00D50CA1" w:rsidRDefault="002B4D3D" w:rsidP="00E45C98">
            <w:pPr>
              <w:pStyle w:val="Tableheadingtext"/>
              <w:ind w:left="142"/>
              <w:rPr>
                <w:bCs/>
                <w:szCs w:val="20"/>
              </w:rPr>
            </w:pPr>
            <w:bookmarkStart w:id="58" w:name="_Hlk132179678"/>
            <w:r w:rsidRPr="00D50CA1">
              <w:rPr>
                <w:bCs/>
                <w:szCs w:val="20"/>
              </w:rPr>
              <w:t>Year</w:t>
            </w:r>
          </w:p>
        </w:tc>
        <w:tc>
          <w:tcPr>
            <w:tcW w:w="631" w:type="pct"/>
            <w:shd w:val="clear" w:color="auto" w:fill="004C97"/>
            <w:tcMar>
              <w:top w:w="0" w:type="dxa"/>
              <w:left w:w="0" w:type="dxa"/>
              <w:bottom w:w="0" w:type="dxa"/>
              <w:right w:w="0" w:type="dxa"/>
            </w:tcMar>
            <w:hideMark/>
          </w:tcPr>
          <w:p w14:paraId="61150279" w14:textId="77777777" w:rsidR="002B4D3D" w:rsidRPr="00D50CA1" w:rsidRDefault="002B4D3D" w:rsidP="00E45C98">
            <w:pPr>
              <w:pStyle w:val="Tableheadingtext"/>
              <w:ind w:left="142"/>
              <w:jc w:val="center"/>
              <w:rPr>
                <w:bCs/>
                <w:szCs w:val="20"/>
              </w:rPr>
            </w:pPr>
            <w:r w:rsidRPr="00D50CA1">
              <w:rPr>
                <w:bCs/>
                <w:szCs w:val="20"/>
              </w:rPr>
              <w:t>Treatment zone</w:t>
            </w:r>
          </w:p>
        </w:tc>
        <w:tc>
          <w:tcPr>
            <w:tcW w:w="563" w:type="pct"/>
            <w:shd w:val="clear" w:color="auto" w:fill="004C97"/>
            <w:tcMar>
              <w:top w:w="0" w:type="dxa"/>
              <w:left w:w="0" w:type="dxa"/>
              <w:bottom w:w="0" w:type="dxa"/>
              <w:right w:w="0" w:type="dxa"/>
            </w:tcMar>
            <w:hideMark/>
          </w:tcPr>
          <w:p w14:paraId="7E0CBA97" w14:textId="77777777" w:rsidR="002B4D3D" w:rsidRPr="00D50CA1" w:rsidRDefault="002B4D3D" w:rsidP="00E45C98">
            <w:pPr>
              <w:pStyle w:val="Tableheadingtext"/>
              <w:ind w:left="142"/>
              <w:jc w:val="center"/>
              <w:rPr>
                <w:bCs/>
                <w:szCs w:val="20"/>
              </w:rPr>
            </w:pPr>
            <w:r w:rsidRPr="00D50CA1">
              <w:rPr>
                <w:bCs/>
                <w:szCs w:val="20"/>
              </w:rPr>
              <w:t>Sites</w:t>
            </w:r>
          </w:p>
        </w:tc>
        <w:tc>
          <w:tcPr>
            <w:tcW w:w="722" w:type="pct"/>
            <w:shd w:val="clear" w:color="auto" w:fill="004C97"/>
            <w:tcMar>
              <w:top w:w="0" w:type="dxa"/>
              <w:left w:w="0" w:type="dxa"/>
              <w:bottom w:w="0" w:type="dxa"/>
              <w:right w:w="0" w:type="dxa"/>
            </w:tcMar>
            <w:hideMark/>
          </w:tcPr>
          <w:p w14:paraId="495F1C81" w14:textId="77777777" w:rsidR="002B4D3D" w:rsidRPr="00D50CA1" w:rsidRDefault="002B4D3D" w:rsidP="00E45C98">
            <w:pPr>
              <w:pStyle w:val="Tableheadingtext"/>
              <w:ind w:left="142"/>
              <w:jc w:val="center"/>
              <w:rPr>
                <w:bCs/>
                <w:szCs w:val="20"/>
              </w:rPr>
            </w:pPr>
            <w:r w:rsidRPr="00D50CA1">
              <w:rPr>
                <w:bCs/>
                <w:szCs w:val="20"/>
              </w:rPr>
              <w:t>Long-footed Potoroo detections</w:t>
            </w:r>
          </w:p>
        </w:tc>
        <w:tc>
          <w:tcPr>
            <w:tcW w:w="623" w:type="pct"/>
            <w:shd w:val="clear" w:color="auto" w:fill="004C97"/>
            <w:tcMar>
              <w:top w:w="0" w:type="dxa"/>
              <w:left w:w="0" w:type="dxa"/>
              <w:bottom w:w="0" w:type="dxa"/>
              <w:right w:w="0" w:type="dxa"/>
            </w:tcMar>
            <w:hideMark/>
          </w:tcPr>
          <w:p w14:paraId="60D55F32" w14:textId="77777777" w:rsidR="002B4D3D" w:rsidRPr="00D50CA1" w:rsidRDefault="002B4D3D" w:rsidP="00E45C98">
            <w:pPr>
              <w:pStyle w:val="Tableheadingtext"/>
              <w:ind w:left="142"/>
              <w:jc w:val="center"/>
              <w:rPr>
                <w:bCs/>
                <w:szCs w:val="20"/>
              </w:rPr>
            </w:pPr>
            <w:r w:rsidRPr="00D50CA1">
              <w:rPr>
                <w:bCs/>
                <w:szCs w:val="20"/>
              </w:rPr>
              <w:t>Fox detections</w:t>
            </w:r>
          </w:p>
        </w:tc>
        <w:tc>
          <w:tcPr>
            <w:tcW w:w="634" w:type="pct"/>
            <w:shd w:val="clear" w:color="auto" w:fill="004C97"/>
            <w:tcMar>
              <w:top w:w="0" w:type="dxa"/>
              <w:left w:w="0" w:type="dxa"/>
              <w:bottom w:w="0" w:type="dxa"/>
              <w:right w:w="0" w:type="dxa"/>
            </w:tcMar>
            <w:hideMark/>
          </w:tcPr>
          <w:p w14:paraId="74B1F54D" w14:textId="77777777" w:rsidR="002B4D3D" w:rsidRPr="00D50CA1" w:rsidRDefault="002B4D3D" w:rsidP="00E45C98">
            <w:pPr>
              <w:pStyle w:val="Tableheadingtext"/>
              <w:ind w:left="142"/>
              <w:jc w:val="center"/>
              <w:rPr>
                <w:bCs/>
                <w:szCs w:val="20"/>
              </w:rPr>
            </w:pPr>
            <w:r w:rsidRPr="00D50CA1">
              <w:rPr>
                <w:bCs/>
                <w:szCs w:val="20"/>
              </w:rPr>
              <w:t>Feral cat detections</w:t>
            </w:r>
          </w:p>
        </w:tc>
        <w:tc>
          <w:tcPr>
            <w:tcW w:w="568" w:type="pct"/>
            <w:shd w:val="clear" w:color="auto" w:fill="004C97"/>
            <w:tcMar>
              <w:top w:w="0" w:type="dxa"/>
              <w:left w:w="0" w:type="dxa"/>
              <w:bottom w:w="0" w:type="dxa"/>
              <w:right w:w="0" w:type="dxa"/>
            </w:tcMar>
            <w:hideMark/>
          </w:tcPr>
          <w:p w14:paraId="6A1C79A4" w14:textId="77777777" w:rsidR="002B4D3D" w:rsidRPr="00D50CA1" w:rsidRDefault="002B4D3D" w:rsidP="00E45C98">
            <w:pPr>
              <w:pStyle w:val="Tableheadingtext"/>
              <w:ind w:left="142"/>
              <w:jc w:val="center"/>
              <w:rPr>
                <w:bCs/>
                <w:szCs w:val="20"/>
              </w:rPr>
            </w:pPr>
            <w:r w:rsidRPr="00D50CA1">
              <w:rPr>
                <w:bCs/>
                <w:szCs w:val="20"/>
              </w:rPr>
              <w:t>Mean HDM value</w:t>
            </w:r>
          </w:p>
        </w:tc>
        <w:tc>
          <w:tcPr>
            <w:tcW w:w="574" w:type="pct"/>
            <w:shd w:val="clear" w:color="auto" w:fill="004C97"/>
            <w:tcMar>
              <w:top w:w="0" w:type="dxa"/>
              <w:left w:w="0" w:type="dxa"/>
              <w:bottom w:w="0" w:type="dxa"/>
              <w:right w:w="0" w:type="dxa"/>
            </w:tcMar>
            <w:hideMark/>
          </w:tcPr>
          <w:p w14:paraId="61736D5B" w14:textId="77777777" w:rsidR="002B4D3D" w:rsidRPr="00D50CA1" w:rsidRDefault="002B4D3D" w:rsidP="00E45C98">
            <w:pPr>
              <w:pStyle w:val="Tableheadingtext"/>
              <w:ind w:left="142"/>
              <w:jc w:val="center"/>
              <w:rPr>
                <w:bCs/>
                <w:szCs w:val="20"/>
              </w:rPr>
            </w:pPr>
            <w:r w:rsidRPr="00D50CA1">
              <w:rPr>
                <w:bCs/>
                <w:szCs w:val="20"/>
              </w:rPr>
              <w:t>Mean time</w:t>
            </w:r>
            <w:r>
              <w:rPr>
                <w:bCs/>
                <w:szCs w:val="20"/>
              </w:rPr>
              <w:t xml:space="preserve"> </w:t>
            </w:r>
            <w:r w:rsidRPr="00D50CA1">
              <w:rPr>
                <w:bCs/>
                <w:szCs w:val="20"/>
              </w:rPr>
              <w:t>since</w:t>
            </w:r>
            <w:r>
              <w:rPr>
                <w:bCs/>
                <w:szCs w:val="20"/>
              </w:rPr>
              <w:t xml:space="preserve"> </w:t>
            </w:r>
            <w:r w:rsidRPr="00D50CA1">
              <w:rPr>
                <w:bCs/>
                <w:szCs w:val="20"/>
              </w:rPr>
              <w:t>fire</w:t>
            </w:r>
          </w:p>
        </w:tc>
      </w:tr>
      <w:tr w:rsidR="002B4D3D" w:rsidRPr="0085669F" w14:paraId="269E2BAB" w14:textId="77777777" w:rsidTr="00637AE7">
        <w:tc>
          <w:tcPr>
            <w:tcW w:w="685" w:type="pct"/>
            <w:tcBorders>
              <w:bottom w:val="single" w:sz="4" w:space="0" w:color="002060"/>
            </w:tcBorders>
            <w:tcMar>
              <w:top w:w="0" w:type="dxa"/>
              <w:left w:w="0" w:type="dxa"/>
              <w:bottom w:w="0" w:type="dxa"/>
              <w:right w:w="0" w:type="dxa"/>
            </w:tcMar>
            <w:vAlign w:val="center"/>
            <w:hideMark/>
          </w:tcPr>
          <w:p w14:paraId="721335EB" w14:textId="77777777" w:rsidR="002B4D3D" w:rsidRPr="0085669F" w:rsidRDefault="002B4D3D" w:rsidP="00E45C98">
            <w:pPr>
              <w:pStyle w:val="Tablebodytext"/>
              <w:ind w:left="142"/>
              <w:rPr>
                <w:szCs w:val="20"/>
              </w:rPr>
            </w:pPr>
            <w:r w:rsidRPr="0085669F">
              <w:rPr>
                <w:szCs w:val="20"/>
              </w:rPr>
              <w:t>2007</w:t>
            </w:r>
          </w:p>
        </w:tc>
        <w:tc>
          <w:tcPr>
            <w:tcW w:w="631" w:type="pct"/>
            <w:tcBorders>
              <w:bottom w:val="single" w:sz="4" w:space="0" w:color="002060"/>
            </w:tcBorders>
            <w:shd w:val="clear" w:color="auto" w:fill="CCDBEA"/>
            <w:tcMar>
              <w:top w:w="0" w:type="dxa"/>
              <w:left w:w="0" w:type="dxa"/>
              <w:bottom w:w="0" w:type="dxa"/>
              <w:right w:w="0" w:type="dxa"/>
            </w:tcMar>
            <w:hideMark/>
          </w:tcPr>
          <w:p w14:paraId="66087D4B" w14:textId="77777777" w:rsidR="002B4D3D" w:rsidRPr="008550EF" w:rsidRDefault="002B4D3D" w:rsidP="00E45C98">
            <w:pPr>
              <w:pStyle w:val="Tablebodytext"/>
              <w:ind w:left="-218"/>
              <w:jc w:val="center"/>
              <w:rPr>
                <w:i/>
                <w:szCs w:val="20"/>
              </w:rPr>
            </w:pPr>
            <w:r w:rsidRPr="00A164A5">
              <w:rPr>
                <w:i/>
                <w:iCs/>
                <w:szCs w:val="20"/>
              </w:rPr>
              <w:t>Core</w:t>
            </w:r>
          </w:p>
        </w:tc>
        <w:tc>
          <w:tcPr>
            <w:tcW w:w="563" w:type="pct"/>
            <w:tcBorders>
              <w:bottom w:val="single" w:sz="4" w:space="0" w:color="002060"/>
            </w:tcBorders>
            <w:tcMar>
              <w:top w:w="0" w:type="dxa"/>
              <w:left w:w="0" w:type="dxa"/>
              <w:bottom w:w="0" w:type="dxa"/>
              <w:right w:w="0" w:type="dxa"/>
            </w:tcMar>
            <w:hideMark/>
          </w:tcPr>
          <w:p w14:paraId="6EBB8913" w14:textId="77777777" w:rsidR="002B4D3D" w:rsidRPr="0034522D" w:rsidRDefault="002B4D3D" w:rsidP="00E45C98">
            <w:pPr>
              <w:pStyle w:val="Tablebodytext"/>
              <w:ind w:left="142"/>
              <w:jc w:val="center"/>
              <w:rPr>
                <w:szCs w:val="20"/>
              </w:rPr>
            </w:pPr>
            <w:r w:rsidRPr="00943101">
              <w:rPr>
                <w:szCs w:val="20"/>
              </w:rPr>
              <w:t>7</w:t>
            </w:r>
          </w:p>
        </w:tc>
        <w:tc>
          <w:tcPr>
            <w:tcW w:w="722" w:type="pct"/>
            <w:tcBorders>
              <w:bottom w:val="single" w:sz="4" w:space="0" w:color="002060"/>
            </w:tcBorders>
            <w:shd w:val="clear" w:color="auto" w:fill="CCDBEA"/>
            <w:tcMar>
              <w:top w:w="0" w:type="dxa"/>
              <w:left w:w="0" w:type="dxa"/>
              <w:bottom w:w="0" w:type="dxa"/>
              <w:right w:w="0" w:type="dxa"/>
            </w:tcMar>
            <w:hideMark/>
          </w:tcPr>
          <w:p w14:paraId="2B868E26" w14:textId="77777777" w:rsidR="002B4D3D" w:rsidRPr="0085669F" w:rsidRDefault="002B4D3D" w:rsidP="00E45C98">
            <w:pPr>
              <w:pStyle w:val="Tablebodytext"/>
              <w:ind w:left="142"/>
              <w:jc w:val="center"/>
              <w:rPr>
                <w:szCs w:val="20"/>
              </w:rPr>
            </w:pPr>
            <w:r w:rsidRPr="0085669F">
              <w:rPr>
                <w:szCs w:val="20"/>
              </w:rPr>
              <w:t>2 (0.29)</w:t>
            </w:r>
          </w:p>
        </w:tc>
        <w:tc>
          <w:tcPr>
            <w:tcW w:w="623" w:type="pct"/>
            <w:tcBorders>
              <w:bottom w:val="single" w:sz="4" w:space="0" w:color="002060"/>
            </w:tcBorders>
            <w:tcMar>
              <w:top w:w="0" w:type="dxa"/>
              <w:left w:w="0" w:type="dxa"/>
              <w:bottom w:w="0" w:type="dxa"/>
              <w:right w:w="0" w:type="dxa"/>
            </w:tcMar>
            <w:hideMark/>
          </w:tcPr>
          <w:p w14:paraId="6407FF2D" w14:textId="77777777" w:rsidR="002B4D3D" w:rsidRPr="0085669F" w:rsidRDefault="002B4D3D" w:rsidP="00E45C98">
            <w:pPr>
              <w:pStyle w:val="Tablebodytext"/>
              <w:ind w:left="142"/>
              <w:jc w:val="center"/>
              <w:rPr>
                <w:szCs w:val="20"/>
              </w:rPr>
            </w:pPr>
            <w:r>
              <w:t>0 (0.00)</w:t>
            </w:r>
          </w:p>
        </w:tc>
        <w:tc>
          <w:tcPr>
            <w:tcW w:w="634" w:type="pct"/>
            <w:tcBorders>
              <w:bottom w:val="single" w:sz="4" w:space="0" w:color="002060"/>
            </w:tcBorders>
            <w:shd w:val="clear" w:color="auto" w:fill="CCDBEA"/>
            <w:tcMar>
              <w:top w:w="0" w:type="dxa"/>
              <w:left w:w="0" w:type="dxa"/>
              <w:bottom w:w="0" w:type="dxa"/>
              <w:right w:w="0" w:type="dxa"/>
            </w:tcMar>
            <w:hideMark/>
          </w:tcPr>
          <w:p w14:paraId="21D5441B" w14:textId="77777777" w:rsidR="002B4D3D" w:rsidRPr="0085669F" w:rsidRDefault="002B4D3D" w:rsidP="00E45C98">
            <w:pPr>
              <w:pStyle w:val="Tablebodytext"/>
              <w:ind w:left="142"/>
              <w:jc w:val="center"/>
              <w:rPr>
                <w:szCs w:val="20"/>
              </w:rPr>
            </w:pPr>
            <w:r>
              <w:t>2 (0.29)</w:t>
            </w:r>
          </w:p>
        </w:tc>
        <w:tc>
          <w:tcPr>
            <w:tcW w:w="568" w:type="pct"/>
            <w:tcBorders>
              <w:bottom w:val="single" w:sz="4" w:space="0" w:color="002060"/>
            </w:tcBorders>
            <w:tcMar>
              <w:top w:w="0" w:type="dxa"/>
              <w:left w:w="0" w:type="dxa"/>
              <w:bottom w:w="0" w:type="dxa"/>
              <w:right w:w="0" w:type="dxa"/>
            </w:tcMar>
            <w:hideMark/>
          </w:tcPr>
          <w:p w14:paraId="0DA282B9" w14:textId="77777777" w:rsidR="002B4D3D" w:rsidRPr="0085669F" w:rsidRDefault="002B4D3D" w:rsidP="00E45C98">
            <w:pPr>
              <w:pStyle w:val="Tablebodytext"/>
              <w:ind w:left="142"/>
              <w:jc w:val="center"/>
              <w:rPr>
                <w:szCs w:val="20"/>
              </w:rPr>
            </w:pPr>
            <w:r w:rsidRPr="0085669F">
              <w:rPr>
                <w:szCs w:val="20"/>
              </w:rPr>
              <w:t>68</w:t>
            </w:r>
          </w:p>
        </w:tc>
        <w:tc>
          <w:tcPr>
            <w:tcW w:w="574" w:type="pct"/>
            <w:tcBorders>
              <w:bottom w:val="single" w:sz="4" w:space="0" w:color="002060"/>
            </w:tcBorders>
            <w:shd w:val="clear" w:color="auto" w:fill="CCDBEA"/>
            <w:tcMar>
              <w:top w:w="0" w:type="dxa"/>
              <w:left w:w="0" w:type="dxa"/>
              <w:bottom w:w="0" w:type="dxa"/>
              <w:right w:w="0" w:type="dxa"/>
            </w:tcMar>
            <w:hideMark/>
          </w:tcPr>
          <w:p w14:paraId="2E7DAE8D" w14:textId="77777777" w:rsidR="002B4D3D" w:rsidRPr="0085669F" w:rsidRDefault="002B4D3D" w:rsidP="00E45C98">
            <w:pPr>
              <w:pStyle w:val="Tablebodytext"/>
              <w:ind w:left="142"/>
              <w:jc w:val="center"/>
              <w:rPr>
                <w:szCs w:val="20"/>
              </w:rPr>
            </w:pPr>
            <w:r w:rsidRPr="0085669F">
              <w:rPr>
                <w:szCs w:val="20"/>
              </w:rPr>
              <w:t>0</w:t>
            </w:r>
          </w:p>
        </w:tc>
      </w:tr>
      <w:tr w:rsidR="002B4D3D" w:rsidRPr="0085669F" w14:paraId="5EFD1EA0"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1CFE0DCC" w14:textId="77777777" w:rsidR="002B4D3D" w:rsidRPr="00943101" w:rsidRDefault="002B4D3D" w:rsidP="00E45C98">
            <w:pPr>
              <w:pStyle w:val="Tablebodytext"/>
              <w:ind w:left="142"/>
              <w:rPr>
                <w:szCs w:val="20"/>
              </w:rPr>
            </w:pPr>
            <w:r w:rsidRPr="00943101">
              <w:rPr>
                <w:szCs w:val="20"/>
              </w:rPr>
              <w:t>2007</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59641A4F" w14:textId="77777777" w:rsidR="002B4D3D" w:rsidRPr="008550EF" w:rsidRDefault="002B4D3D" w:rsidP="00E45C98">
            <w:pPr>
              <w:pStyle w:val="Tablebodytext"/>
              <w:ind w:left="-218"/>
              <w:jc w:val="center"/>
              <w:rPr>
                <w:i/>
                <w:szCs w:val="20"/>
              </w:rPr>
            </w:pPr>
            <w:r w:rsidRPr="008550EF">
              <w:rPr>
                <w:i/>
                <w:szCs w:val="20"/>
              </w:rPr>
              <w:t>Expansion</w:t>
            </w:r>
          </w:p>
        </w:tc>
        <w:tc>
          <w:tcPr>
            <w:tcW w:w="563" w:type="pct"/>
            <w:tcBorders>
              <w:top w:val="single" w:sz="4" w:space="0" w:color="002060"/>
              <w:bottom w:val="single" w:sz="4" w:space="0" w:color="002060"/>
            </w:tcBorders>
            <w:tcMar>
              <w:top w:w="0" w:type="dxa"/>
              <w:left w:w="0" w:type="dxa"/>
              <w:bottom w:w="0" w:type="dxa"/>
              <w:right w:w="0" w:type="dxa"/>
            </w:tcMar>
            <w:hideMark/>
          </w:tcPr>
          <w:p w14:paraId="70522250" w14:textId="77777777" w:rsidR="002B4D3D" w:rsidRPr="0085669F" w:rsidRDefault="002B4D3D" w:rsidP="00E45C98">
            <w:pPr>
              <w:pStyle w:val="Tablebodytext"/>
              <w:ind w:left="142"/>
              <w:jc w:val="center"/>
              <w:rPr>
                <w:szCs w:val="20"/>
              </w:rPr>
            </w:pPr>
            <w:r w:rsidRPr="0085669F">
              <w:rPr>
                <w:szCs w:val="20"/>
              </w:rPr>
              <w:t>35</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19FB3A32" w14:textId="77777777" w:rsidR="002B4D3D" w:rsidRPr="0085669F" w:rsidRDefault="002B4D3D" w:rsidP="00E45C98">
            <w:pPr>
              <w:pStyle w:val="Tablebodytext"/>
              <w:ind w:left="142"/>
              <w:jc w:val="center"/>
              <w:rPr>
                <w:szCs w:val="20"/>
              </w:rPr>
            </w:pPr>
            <w:r w:rsidRPr="0085669F">
              <w:rPr>
                <w:szCs w:val="20"/>
              </w:rPr>
              <w:t>2 (0.06)</w:t>
            </w:r>
          </w:p>
        </w:tc>
        <w:tc>
          <w:tcPr>
            <w:tcW w:w="623" w:type="pct"/>
            <w:tcBorders>
              <w:top w:val="single" w:sz="4" w:space="0" w:color="002060"/>
              <w:bottom w:val="single" w:sz="4" w:space="0" w:color="002060"/>
            </w:tcBorders>
            <w:tcMar>
              <w:top w:w="0" w:type="dxa"/>
              <w:left w:w="0" w:type="dxa"/>
              <w:bottom w:w="0" w:type="dxa"/>
              <w:right w:w="0" w:type="dxa"/>
            </w:tcMar>
            <w:hideMark/>
          </w:tcPr>
          <w:p w14:paraId="55F44FA1" w14:textId="77777777" w:rsidR="002B4D3D" w:rsidRPr="0085669F" w:rsidRDefault="002B4D3D" w:rsidP="00E45C98">
            <w:pPr>
              <w:pStyle w:val="Tablebodytext"/>
              <w:ind w:left="142"/>
              <w:jc w:val="center"/>
              <w:rPr>
                <w:szCs w:val="20"/>
              </w:rPr>
            </w:pPr>
            <w:r>
              <w:t>8 (0.23)</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189FA790" w14:textId="77777777" w:rsidR="002B4D3D" w:rsidRPr="0085669F" w:rsidRDefault="002B4D3D" w:rsidP="00E45C98">
            <w:pPr>
              <w:pStyle w:val="Tablebodytext"/>
              <w:ind w:left="142"/>
              <w:jc w:val="center"/>
              <w:rPr>
                <w:szCs w:val="20"/>
              </w:rPr>
            </w:pPr>
            <w:r>
              <w:t>7 (0.2)</w:t>
            </w:r>
          </w:p>
        </w:tc>
        <w:tc>
          <w:tcPr>
            <w:tcW w:w="568" w:type="pct"/>
            <w:tcBorders>
              <w:top w:val="single" w:sz="4" w:space="0" w:color="002060"/>
              <w:bottom w:val="single" w:sz="4" w:space="0" w:color="002060"/>
            </w:tcBorders>
            <w:tcMar>
              <w:top w:w="0" w:type="dxa"/>
              <w:left w:w="0" w:type="dxa"/>
              <w:bottom w:w="0" w:type="dxa"/>
              <w:right w:w="0" w:type="dxa"/>
            </w:tcMar>
            <w:hideMark/>
          </w:tcPr>
          <w:p w14:paraId="3FEBEB25" w14:textId="77777777" w:rsidR="002B4D3D" w:rsidRPr="0085669F" w:rsidRDefault="002B4D3D" w:rsidP="00E45C98">
            <w:pPr>
              <w:pStyle w:val="Tablebodytext"/>
              <w:ind w:left="142"/>
              <w:jc w:val="center"/>
              <w:rPr>
                <w:szCs w:val="20"/>
              </w:rPr>
            </w:pPr>
            <w:r w:rsidRPr="0085669F">
              <w:rPr>
                <w:szCs w:val="20"/>
              </w:rPr>
              <w:t>54</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58A8CE3F" w14:textId="77777777" w:rsidR="002B4D3D" w:rsidRPr="0085669F" w:rsidRDefault="002B4D3D" w:rsidP="00E45C98">
            <w:pPr>
              <w:pStyle w:val="Tablebodytext"/>
              <w:ind w:left="142"/>
              <w:jc w:val="center"/>
              <w:rPr>
                <w:szCs w:val="20"/>
              </w:rPr>
            </w:pPr>
            <w:r w:rsidRPr="0085669F">
              <w:rPr>
                <w:szCs w:val="20"/>
              </w:rPr>
              <w:t>3</w:t>
            </w:r>
          </w:p>
        </w:tc>
      </w:tr>
      <w:tr w:rsidR="002B4D3D" w:rsidRPr="0085669F" w14:paraId="4C99622F"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2F8CD4DD" w14:textId="77777777" w:rsidR="002B4D3D" w:rsidRPr="00943101" w:rsidRDefault="002B4D3D" w:rsidP="00E45C98">
            <w:pPr>
              <w:pStyle w:val="Tablebodytext"/>
              <w:ind w:left="142"/>
              <w:rPr>
                <w:szCs w:val="20"/>
              </w:rPr>
            </w:pPr>
            <w:r w:rsidRPr="00943101">
              <w:rPr>
                <w:szCs w:val="20"/>
              </w:rPr>
              <w:t>2008</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48CEFBF9" w14:textId="77777777" w:rsidR="002B4D3D" w:rsidRPr="008550EF" w:rsidRDefault="002B4D3D" w:rsidP="00E45C98">
            <w:pPr>
              <w:pStyle w:val="Tablebodytext"/>
              <w:ind w:left="-218"/>
              <w:jc w:val="center"/>
              <w:rPr>
                <w:i/>
                <w:szCs w:val="20"/>
              </w:rPr>
            </w:pPr>
            <w:r w:rsidRPr="00A164A5">
              <w:rPr>
                <w:i/>
                <w:iCs/>
                <w:szCs w:val="20"/>
              </w:rPr>
              <w:t>Core</w:t>
            </w:r>
          </w:p>
        </w:tc>
        <w:tc>
          <w:tcPr>
            <w:tcW w:w="563" w:type="pct"/>
            <w:tcBorders>
              <w:top w:val="single" w:sz="4" w:space="0" w:color="002060"/>
              <w:bottom w:val="single" w:sz="4" w:space="0" w:color="002060"/>
            </w:tcBorders>
            <w:tcMar>
              <w:top w:w="0" w:type="dxa"/>
              <w:left w:w="0" w:type="dxa"/>
              <w:bottom w:w="0" w:type="dxa"/>
              <w:right w:w="0" w:type="dxa"/>
            </w:tcMar>
            <w:hideMark/>
          </w:tcPr>
          <w:p w14:paraId="47A5698E" w14:textId="77777777" w:rsidR="002B4D3D" w:rsidRPr="0085669F" w:rsidRDefault="002B4D3D" w:rsidP="00E45C98">
            <w:pPr>
              <w:pStyle w:val="Tablebodytext"/>
              <w:ind w:left="142"/>
              <w:jc w:val="center"/>
              <w:rPr>
                <w:szCs w:val="20"/>
              </w:rPr>
            </w:pPr>
            <w:r w:rsidRPr="0085669F">
              <w:rPr>
                <w:szCs w:val="20"/>
              </w:rPr>
              <w:t>33</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2FCF4E38" w14:textId="77777777" w:rsidR="002B4D3D" w:rsidRPr="0085669F" w:rsidRDefault="002B4D3D" w:rsidP="00E45C98">
            <w:pPr>
              <w:pStyle w:val="Tablebodytext"/>
              <w:ind w:left="142"/>
              <w:jc w:val="center"/>
              <w:rPr>
                <w:szCs w:val="20"/>
              </w:rPr>
            </w:pPr>
            <w:r w:rsidRPr="0085669F">
              <w:rPr>
                <w:szCs w:val="20"/>
              </w:rPr>
              <w:t>10 (0.30)</w:t>
            </w:r>
          </w:p>
        </w:tc>
        <w:tc>
          <w:tcPr>
            <w:tcW w:w="623" w:type="pct"/>
            <w:tcBorders>
              <w:top w:val="single" w:sz="4" w:space="0" w:color="002060"/>
              <w:bottom w:val="single" w:sz="4" w:space="0" w:color="002060"/>
            </w:tcBorders>
            <w:tcMar>
              <w:top w:w="0" w:type="dxa"/>
              <w:left w:w="0" w:type="dxa"/>
              <w:bottom w:w="0" w:type="dxa"/>
              <w:right w:w="0" w:type="dxa"/>
            </w:tcMar>
            <w:hideMark/>
          </w:tcPr>
          <w:p w14:paraId="3EF887D2" w14:textId="77777777" w:rsidR="002B4D3D" w:rsidRPr="0085669F" w:rsidRDefault="002B4D3D" w:rsidP="00E45C98">
            <w:pPr>
              <w:pStyle w:val="Tablebodytext"/>
              <w:ind w:left="142"/>
              <w:jc w:val="center"/>
              <w:rPr>
                <w:szCs w:val="20"/>
              </w:rPr>
            </w:pPr>
            <w:r>
              <w:t>2 (0.06)</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5F7F5615" w14:textId="77777777" w:rsidR="002B4D3D" w:rsidRPr="0085669F" w:rsidRDefault="002B4D3D" w:rsidP="00E45C98">
            <w:pPr>
              <w:pStyle w:val="Tablebodytext"/>
              <w:ind w:left="142"/>
              <w:jc w:val="center"/>
              <w:rPr>
                <w:szCs w:val="20"/>
              </w:rPr>
            </w:pPr>
            <w:r>
              <w:t>8 (0.24)</w:t>
            </w:r>
          </w:p>
        </w:tc>
        <w:tc>
          <w:tcPr>
            <w:tcW w:w="568" w:type="pct"/>
            <w:tcBorders>
              <w:top w:val="single" w:sz="4" w:space="0" w:color="002060"/>
              <w:bottom w:val="single" w:sz="4" w:space="0" w:color="002060"/>
            </w:tcBorders>
            <w:tcMar>
              <w:top w:w="0" w:type="dxa"/>
              <w:left w:w="0" w:type="dxa"/>
              <w:bottom w:w="0" w:type="dxa"/>
              <w:right w:w="0" w:type="dxa"/>
            </w:tcMar>
            <w:hideMark/>
          </w:tcPr>
          <w:p w14:paraId="331658D1" w14:textId="77777777" w:rsidR="002B4D3D" w:rsidRPr="0085669F" w:rsidRDefault="002B4D3D" w:rsidP="00E45C98">
            <w:pPr>
              <w:pStyle w:val="Tablebodytext"/>
              <w:ind w:left="142"/>
              <w:jc w:val="center"/>
              <w:rPr>
                <w:szCs w:val="20"/>
              </w:rPr>
            </w:pPr>
            <w:r w:rsidRPr="0085669F">
              <w:rPr>
                <w:szCs w:val="20"/>
              </w:rPr>
              <w:t>70</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7B5A270F" w14:textId="77777777" w:rsidR="002B4D3D" w:rsidRPr="0085669F" w:rsidRDefault="002B4D3D" w:rsidP="00E45C98">
            <w:pPr>
              <w:pStyle w:val="Tablebodytext"/>
              <w:ind w:left="142"/>
              <w:jc w:val="center"/>
              <w:rPr>
                <w:szCs w:val="20"/>
              </w:rPr>
            </w:pPr>
            <w:r w:rsidRPr="0085669F">
              <w:rPr>
                <w:szCs w:val="20"/>
              </w:rPr>
              <w:t>1</w:t>
            </w:r>
          </w:p>
        </w:tc>
      </w:tr>
      <w:tr w:rsidR="002B4D3D" w:rsidRPr="0085669F" w14:paraId="2708EDE0"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3358891B" w14:textId="77777777" w:rsidR="002B4D3D" w:rsidRPr="00943101" w:rsidRDefault="002B4D3D" w:rsidP="00E45C98">
            <w:pPr>
              <w:pStyle w:val="Tablebodytext"/>
              <w:ind w:left="142"/>
              <w:rPr>
                <w:szCs w:val="20"/>
              </w:rPr>
            </w:pPr>
            <w:r w:rsidRPr="00943101">
              <w:rPr>
                <w:szCs w:val="20"/>
              </w:rPr>
              <w:t>2008</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66909717" w14:textId="77777777" w:rsidR="002B4D3D" w:rsidRPr="008550EF" w:rsidRDefault="002B4D3D" w:rsidP="00E45C98">
            <w:pPr>
              <w:pStyle w:val="Tablebodytext"/>
              <w:ind w:left="-218"/>
              <w:jc w:val="center"/>
              <w:rPr>
                <w:i/>
                <w:szCs w:val="20"/>
              </w:rPr>
            </w:pPr>
            <w:r w:rsidRPr="008550EF">
              <w:rPr>
                <w:i/>
                <w:szCs w:val="20"/>
              </w:rPr>
              <w:t>Expansion</w:t>
            </w:r>
          </w:p>
        </w:tc>
        <w:tc>
          <w:tcPr>
            <w:tcW w:w="563" w:type="pct"/>
            <w:tcBorders>
              <w:top w:val="single" w:sz="4" w:space="0" w:color="002060"/>
              <w:bottom w:val="single" w:sz="4" w:space="0" w:color="002060"/>
            </w:tcBorders>
            <w:tcMar>
              <w:top w:w="0" w:type="dxa"/>
              <w:left w:w="0" w:type="dxa"/>
              <w:bottom w:w="0" w:type="dxa"/>
              <w:right w:w="0" w:type="dxa"/>
            </w:tcMar>
            <w:hideMark/>
          </w:tcPr>
          <w:p w14:paraId="540135BB" w14:textId="77777777" w:rsidR="002B4D3D" w:rsidRPr="0085669F" w:rsidRDefault="002B4D3D" w:rsidP="00E45C98">
            <w:pPr>
              <w:pStyle w:val="Tablebodytext"/>
              <w:ind w:left="142"/>
              <w:jc w:val="center"/>
              <w:rPr>
                <w:szCs w:val="20"/>
              </w:rPr>
            </w:pPr>
            <w:r w:rsidRPr="0085669F">
              <w:rPr>
                <w:szCs w:val="20"/>
              </w:rPr>
              <w:t>60</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4D7721BF" w14:textId="77777777" w:rsidR="002B4D3D" w:rsidRPr="0085669F" w:rsidRDefault="002B4D3D" w:rsidP="00E45C98">
            <w:pPr>
              <w:pStyle w:val="Tablebodytext"/>
              <w:ind w:left="142"/>
              <w:jc w:val="center"/>
              <w:rPr>
                <w:szCs w:val="20"/>
              </w:rPr>
            </w:pPr>
            <w:r w:rsidRPr="0085669F">
              <w:rPr>
                <w:szCs w:val="20"/>
              </w:rPr>
              <w:t>6 (0.10)</w:t>
            </w:r>
          </w:p>
        </w:tc>
        <w:tc>
          <w:tcPr>
            <w:tcW w:w="623" w:type="pct"/>
            <w:tcBorders>
              <w:top w:val="single" w:sz="4" w:space="0" w:color="002060"/>
              <w:bottom w:val="single" w:sz="4" w:space="0" w:color="002060"/>
            </w:tcBorders>
            <w:tcMar>
              <w:top w:w="0" w:type="dxa"/>
              <w:left w:w="0" w:type="dxa"/>
              <w:bottom w:w="0" w:type="dxa"/>
              <w:right w:w="0" w:type="dxa"/>
            </w:tcMar>
            <w:hideMark/>
          </w:tcPr>
          <w:p w14:paraId="6E567BEB" w14:textId="77777777" w:rsidR="002B4D3D" w:rsidRPr="0085669F" w:rsidRDefault="002B4D3D" w:rsidP="00E45C98">
            <w:pPr>
              <w:pStyle w:val="Tablebodytext"/>
              <w:ind w:left="142"/>
              <w:jc w:val="center"/>
              <w:rPr>
                <w:szCs w:val="20"/>
              </w:rPr>
            </w:pPr>
            <w:r>
              <w:t>8 (0.13)</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06DCD6EB" w14:textId="77777777" w:rsidR="002B4D3D" w:rsidRPr="0085669F" w:rsidRDefault="002B4D3D" w:rsidP="00E45C98">
            <w:pPr>
              <w:pStyle w:val="Tablebodytext"/>
              <w:ind w:left="142"/>
              <w:jc w:val="center"/>
              <w:rPr>
                <w:szCs w:val="20"/>
              </w:rPr>
            </w:pPr>
            <w:r>
              <w:t>10 (0.17)</w:t>
            </w:r>
          </w:p>
        </w:tc>
        <w:tc>
          <w:tcPr>
            <w:tcW w:w="568" w:type="pct"/>
            <w:tcBorders>
              <w:top w:val="single" w:sz="4" w:space="0" w:color="002060"/>
              <w:bottom w:val="single" w:sz="4" w:space="0" w:color="002060"/>
            </w:tcBorders>
            <w:tcMar>
              <w:top w:w="0" w:type="dxa"/>
              <w:left w:w="0" w:type="dxa"/>
              <w:bottom w:w="0" w:type="dxa"/>
              <w:right w:w="0" w:type="dxa"/>
            </w:tcMar>
            <w:hideMark/>
          </w:tcPr>
          <w:p w14:paraId="612DA240" w14:textId="77777777" w:rsidR="002B4D3D" w:rsidRPr="0085669F" w:rsidRDefault="002B4D3D" w:rsidP="00E45C98">
            <w:pPr>
              <w:pStyle w:val="Tablebodytext"/>
              <w:ind w:left="142"/>
              <w:jc w:val="center"/>
              <w:rPr>
                <w:szCs w:val="20"/>
              </w:rPr>
            </w:pPr>
            <w:r w:rsidRPr="0085669F">
              <w:rPr>
                <w:szCs w:val="20"/>
              </w:rPr>
              <w:t>42</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2EB669E3" w14:textId="77777777" w:rsidR="002B4D3D" w:rsidRPr="0085669F" w:rsidRDefault="002B4D3D" w:rsidP="00E45C98">
            <w:pPr>
              <w:pStyle w:val="Tablebodytext"/>
              <w:ind w:left="142"/>
              <w:jc w:val="center"/>
              <w:rPr>
                <w:szCs w:val="20"/>
              </w:rPr>
            </w:pPr>
            <w:r w:rsidRPr="0085669F">
              <w:rPr>
                <w:szCs w:val="20"/>
              </w:rPr>
              <w:t>4</w:t>
            </w:r>
          </w:p>
        </w:tc>
      </w:tr>
      <w:tr w:rsidR="002B4D3D" w:rsidRPr="0085669F" w14:paraId="1593579C" w14:textId="77777777" w:rsidTr="00637AE7">
        <w:tc>
          <w:tcPr>
            <w:tcW w:w="685" w:type="pct"/>
            <w:tcBorders>
              <w:top w:val="single" w:sz="4" w:space="0" w:color="002060"/>
              <w:bottom w:val="single" w:sz="4" w:space="0" w:color="auto"/>
            </w:tcBorders>
            <w:tcMar>
              <w:top w:w="0" w:type="dxa"/>
              <w:left w:w="0" w:type="dxa"/>
              <w:bottom w:w="0" w:type="dxa"/>
              <w:right w:w="0" w:type="dxa"/>
            </w:tcMar>
            <w:vAlign w:val="center"/>
            <w:hideMark/>
          </w:tcPr>
          <w:p w14:paraId="1C9A7DFF" w14:textId="77777777" w:rsidR="002B4D3D" w:rsidRPr="00943101" w:rsidRDefault="002B4D3D" w:rsidP="00E45C98">
            <w:pPr>
              <w:pStyle w:val="Tablebodytext"/>
              <w:ind w:left="142"/>
              <w:rPr>
                <w:szCs w:val="20"/>
              </w:rPr>
            </w:pPr>
            <w:r w:rsidRPr="00943101">
              <w:rPr>
                <w:szCs w:val="20"/>
              </w:rPr>
              <w:t>2009</w:t>
            </w:r>
          </w:p>
        </w:tc>
        <w:tc>
          <w:tcPr>
            <w:tcW w:w="631" w:type="pct"/>
            <w:tcBorders>
              <w:top w:val="single" w:sz="4" w:space="0" w:color="002060"/>
              <w:bottom w:val="single" w:sz="4" w:space="0" w:color="auto"/>
            </w:tcBorders>
            <w:shd w:val="clear" w:color="auto" w:fill="CCDBEA"/>
            <w:tcMar>
              <w:top w:w="0" w:type="dxa"/>
              <w:left w:w="0" w:type="dxa"/>
              <w:bottom w:w="0" w:type="dxa"/>
              <w:right w:w="0" w:type="dxa"/>
            </w:tcMar>
            <w:hideMark/>
          </w:tcPr>
          <w:p w14:paraId="6DE06E62" w14:textId="77777777" w:rsidR="002B4D3D" w:rsidRPr="008550EF" w:rsidRDefault="002B4D3D" w:rsidP="00E45C98">
            <w:pPr>
              <w:pStyle w:val="Tablebodytext"/>
              <w:ind w:left="-218"/>
              <w:jc w:val="center"/>
              <w:rPr>
                <w:i/>
                <w:szCs w:val="20"/>
              </w:rPr>
            </w:pPr>
            <w:r w:rsidRPr="00A164A5">
              <w:rPr>
                <w:i/>
                <w:iCs/>
                <w:szCs w:val="20"/>
              </w:rPr>
              <w:t>Core</w:t>
            </w:r>
          </w:p>
        </w:tc>
        <w:tc>
          <w:tcPr>
            <w:tcW w:w="563" w:type="pct"/>
            <w:tcBorders>
              <w:top w:val="single" w:sz="4" w:space="0" w:color="002060"/>
              <w:bottom w:val="single" w:sz="4" w:space="0" w:color="auto"/>
            </w:tcBorders>
            <w:tcMar>
              <w:top w:w="0" w:type="dxa"/>
              <w:left w:w="0" w:type="dxa"/>
              <w:bottom w:w="0" w:type="dxa"/>
              <w:right w:w="0" w:type="dxa"/>
            </w:tcMar>
            <w:hideMark/>
          </w:tcPr>
          <w:p w14:paraId="55F7A222" w14:textId="77777777" w:rsidR="002B4D3D" w:rsidRPr="0034522D" w:rsidRDefault="002B4D3D" w:rsidP="00E45C98">
            <w:pPr>
              <w:pStyle w:val="Tablebodytext"/>
              <w:ind w:left="142"/>
              <w:jc w:val="center"/>
              <w:rPr>
                <w:szCs w:val="20"/>
              </w:rPr>
            </w:pPr>
            <w:r w:rsidRPr="00943101">
              <w:rPr>
                <w:szCs w:val="20"/>
              </w:rPr>
              <w:t>17</w:t>
            </w:r>
          </w:p>
        </w:tc>
        <w:tc>
          <w:tcPr>
            <w:tcW w:w="722" w:type="pct"/>
            <w:tcBorders>
              <w:top w:val="single" w:sz="4" w:space="0" w:color="002060"/>
              <w:bottom w:val="single" w:sz="4" w:space="0" w:color="auto"/>
            </w:tcBorders>
            <w:shd w:val="clear" w:color="auto" w:fill="CCDBEA"/>
            <w:tcMar>
              <w:top w:w="0" w:type="dxa"/>
              <w:left w:w="0" w:type="dxa"/>
              <w:bottom w:w="0" w:type="dxa"/>
              <w:right w:w="0" w:type="dxa"/>
            </w:tcMar>
            <w:hideMark/>
          </w:tcPr>
          <w:p w14:paraId="1813C7FF" w14:textId="77777777" w:rsidR="002B4D3D" w:rsidRPr="0085669F" w:rsidRDefault="002B4D3D" w:rsidP="00E45C98">
            <w:pPr>
              <w:pStyle w:val="Tablebodytext"/>
              <w:ind w:left="142"/>
              <w:jc w:val="center"/>
              <w:rPr>
                <w:szCs w:val="20"/>
              </w:rPr>
            </w:pPr>
            <w:r w:rsidRPr="0085669F">
              <w:rPr>
                <w:szCs w:val="20"/>
              </w:rPr>
              <w:t>7 (0.41)</w:t>
            </w:r>
          </w:p>
        </w:tc>
        <w:tc>
          <w:tcPr>
            <w:tcW w:w="623" w:type="pct"/>
            <w:tcBorders>
              <w:top w:val="single" w:sz="4" w:space="0" w:color="002060"/>
              <w:bottom w:val="single" w:sz="4" w:space="0" w:color="auto"/>
            </w:tcBorders>
            <w:tcMar>
              <w:top w:w="0" w:type="dxa"/>
              <w:left w:w="0" w:type="dxa"/>
              <w:bottom w:w="0" w:type="dxa"/>
              <w:right w:w="0" w:type="dxa"/>
            </w:tcMar>
            <w:hideMark/>
          </w:tcPr>
          <w:p w14:paraId="49EC4CB7" w14:textId="77777777" w:rsidR="002B4D3D" w:rsidRPr="0085669F" w:rsidRDefault="002B4D3D" w:rsidP="00E45C98">
            <w:pPr>
              <w:pStyle w:val="Tablebodytext"/>
              <w:ind w:left="142"/>
              <w:jc w:val="center"/>
              <w:rPr>
                <w:szCs w:val="20"/>
              </w:rPr>
            </w:pPr>
            <w:r>
              <w:t>3 (0.18)</w:t>
            </w:r>
          </w:p>
        </w:tc>
        <w:tc>
          <w:tcPr>
            <w:tcW w:w="634" w:type="pct"/>
            <w:tcBorders>
              <w:top w:val="single" w:sz="4" w:space="0" w:color="002060"/>
              <w:bottom w:val="single" w:sz="4" w:space="0" w:color="auto"/>
            </w:tcBorders>
            <w:shd w:val="clear" w:color="auto" w:fill="CCDBEA"/>
            <w:tcMar>
              <w:top w:w="0" w:type="dxa"/>
              <w:left w:w="0" w:type="dxa"/>
              <w:bottom w:w="0" w:type="dxa"/>
              <w:right w:w="0" w:type="dxa"/>
            </w:tcMar>
            <w:hideMark/>
          </w:tcPr>
          <w:p w14:paraId="0947E279" w14:textId="77777777" w:rsidR="002B4D3D" w:rsidRPr="0085669F" w:rsidRDefault="002B4D3D" w:rsidP="00E45C98">
            <w:pPr>
              <w:pStyle w:val="Tablebodytext"/>
              <w:ind w:left="142"/>
              <w:jc w:val="center"/>
              <w:rPr>
                <w:szCs w:val="20"/>
              </w:rPr>
            </w:pPr>
            <w:r>
              <w:t>0 (0.00)</w:t>
            </w:r>
          </w:p>
        </w:tc>
        <w:tc>
          <w:tcPr>
            <w:tcW w:w="568" w:type="pct"/>
            <w:tcBorders>
              <w:top w:val="single" w:sz="4" w:space="0" w:color="002060"/>
              <w:bottom w:val="single" w:sz="4" w:space="0" w:color="auto"/>
            </w:tcBorders>
            <w:tcMar>
              <w:top w:w="0" w:type="dxa"/>
              <w:left w:w="0" w:type="dxa"/>
              <w:bottom w:w="0" w:type="dxa"/>
              <w:right w:w="0" w:type="dxa"/>
            </w:tcMar>
            <w:hideMark/>
          </w:tcPr>
          <w:p w14:paraId="25C7F534" w14:textId="77777777" w:rsidR="002B4D3D" w:rsidRPr="0085669F" w:rsidRDefault="002B4D3D" w:rsidP="00E45C98">
            <w:pPr>
              <w:pStyle w:val="Tablebodytext"/>
              <w:ind w:left="142"/>
              <w:jc w:val="center"/>
              <w:rPr>
                <w:szCs w:val="20"/>
              </w:rPr>
            </w:pPr>
            <w:r w:rsidRPr="0085669F">
              <w:rPr>
                <w:szCs w:val="20"/>
              </w:rPr>
              <w:t>59</w:t>
            </w:r>
          </w:p>
        </w:tc>
        <w:tc>
          <w:tcPr>
            <w:tcW w:w="574" w:type="pct"/>
            <w:tcBorders>
              <w:top w:val="single" w:sz="4" w:space="0" w:color="002060"/>
              <w:bottom w:val="single" w:sz="4" w:space="0" w:color="auto"/>
            </w:tcBorders>
            <w:shd w:val="clear" w:color="auto" w:fill="CCDBEA"/>
            <w:tcMar>
              <w:top w:w="0" w:type="dxa"/>
              <w:left w:w="0" w:type="dxa"/>
              <w:bottom w:w="0" w:type="dxa"/>
              <w:right w:w="0" w:type="dxa"/>
            </w:tcMar>
            <w:hideMark/>
          </w:tcPr>
          <w:p w14:paraId="03169D0B" w14:textId="77777777" w:rsidR="002B4D3D" w:rsidRPr="0085669F" w:rsidRDefault="002B4D3D" w:rsidP="00E45C98">
            <w:pPr>
              <w:pStyle w:val="Tablebodytext"/>
              <w:ind w:left="142"/>
              <w:jc w:val="center"/>
              <w:rPr>
                <w:szCs w:val="20"/>
              </w:rPr>
            </w:pPr>
            <w:r w:rsidRPr="0085669F">
              <w:rPr>
                <w:szCs w:val="20"/>
              </w:rPr>
              <w:t>3</w:t>
            </w:r>
          </w:p>
        </w:tc>
      </w:tr>
      <w:tr w:rsidR="002B4D3D" w:rsidRPr="0085669F" w14:paraId="0C32F670" w14:textId="77777777" w:rsidTr="00637AE7">
        <w:tc>
          <w:tcPr>
            <w:tcW w:w="685" w:type="pct"/>
            <w:tcBorders>
              <w:top w:val="single" w:sz="4" w:space="0" w:color="auto"/>
              <w:bottom w:val="single" w:sz="4" w:space="0" w:color="002060"/>
            </w:tcBorders>
            <w:tcMar>
              <w:top w:w="0" w:type="dxa"/>
              <w:left w:w="0" w:type="dxa"/>
              <w:bottom w:w="0" w:type="dxa"/>
              <w:right w:w="0" w:type="dxa"/>
            </w:tcMar>
            <w:vAlign w:val="center"/>
            <w:hideMark/>
          </w:tcPr>
          <w:p w14:paraId="5094C062" w14:textId="77777777" w:rsidR="002B4D3D" w:rsidRPr="00943101" w:rsidRDefault="002B4D3D" w:rsidP="00E45C98">
            <w:pPr>
              <w:pStyle w:val="Tablebodytext"/>
              <w:ind w:left="142"/>
              <w:rPr>
                <w:szCs w:val="20"/>
              </w:rPr>
            </w:pPr>
            <w:r w:rsidRPr="00943101">
              <w:rPr>
                <w:szCs w:val="20"/>
              </w:rPr>
              <w:t>2009</w:t>
            </w:r>
          </w:p>
        </w:tc>
        <w:tc>
          <w:tcPr>
            <w:tcW w:w="631" w:type="pct"/>
            <w:tcBorders>
              <w:top w:val="single" w:sz="4" w:space="0" w:color="auto"/>
              <w:bottom w:val="single" w:sz="4" w:space="0" w:color="002060"/>
            </w:tcBorders>
            <w:shd w:val="clear" w:color="auto" w:fill="CCDBEA"/>
            <w:tcMar>
              <w:top w:w="0" w:type="dxa"/>
              <w:left w:w="0" w:type="dxa"/>
              <w:bottom w:w="0" w:type="dxa"/>
              <w:right w:w="0" w:type="dxa"/>
            </w:tcMar>
            <w:hideMark/>
          </w:tcPr>
          <w:p w14:paraId="75A54FBB" w14:textId="77777777" w:rsidR="002B4D3D" w:rsidRPr="008550EF" w:rsidRDefault="002B4D3D" w:rsidP="00E45C98">
            <w:pPr>
              <w:pStyle w:val="Tablebodytext"/>
              <w:ind w:left="-218"/>
              <w:jc w:val="center"/>
              <w:rPr>
                <w:i/>
                <w:szCs w:val="20"/>
              </w:rPr>
            </w:pPr>
            <w:r w:rsidRPr="008550EF">
              <w:rPr>
                <w:i/>
                <w:szCs w:val="20"/>
              </w:rPr>
              <w:t>Expansion</w:t>
            </w:r>
          </w:p>
        </w:tc>
        <w:tc>
          <w:tcPr>
            <w:tcW w:w="563" w:type="pct"/>
            <w:tcBorders>
              <w:top w:val="single" w:sz="4" w:space="0" w:color="auto"/>
              <w:bottom w:val="single" w:sz="4" w:space="0" w:color="002060"/>
            </w:tcBorders>
            <w:tcMar>
              <w:top w:w="0" w:type="dxa"/>
              <w:left w:w="0" w:type="dxa"/>
              <w:bottom w:w="0" w:type="dxa"/>
              <w:right w:w="0" w:type="dxa"/>
            </w:tcMar>
            <w:hideMark/>
          </w:tcPr>
          <w:p w14:paraId="61F0BADC" w14:textId="77777777" w:rsidR="002B4D3D" w:rsidRPr="0085669F" w:rsidRDefault="002B4D3D" w:rsidP="00E45C98">
            <w:pPr>
              <w:pStyle w:val="Tablebodytext"/>
              <w:ind w:left="142"/>
              <w:jc w:val="center"/>
              <w:rPr>
                <w:szCs w:val="20"/>
              </w:rPr>
            </w:pPr>
            <w:r w:rsidRPr="0085669F">
              <w:rPr>
                <w:szCs w:val="20"/>
              </w:rPr>
              <w:t>58</w:t>
            </w:r>
          </w:p>
        </w:tc>
        <w:tc>
          <w:tcPr>
            <w:tcW w:w="722" w:type="pct"/>
            <w:tcBorders>
              <w:top w:val="single" w:sz="4" w:space="0" w:color="auto"/>
              <w:bottom w:val="single" w:sz="4" w:space="0" w:color="002060"/>
            </w:tcBorders>
            <w:shd w:val="clear" w:color="auto" w:fill="CCDBEA"/>
            <w:tcMar>
              <w:top w:w="0" w:type="dxa"/>
              <w:left w:w="0" w:type="dxa"/>
              <w:bottom w:w="0" w:type="dxa"/>
              <w:right w:w="0" w:type="dxa"/>
            </w:tcMar>
            <w:hideMark/>
          </w:tcPr>
          <w:p w14:paraId="6B3D628F" w14:textId="77777777" w:rsidR="002B4D3D" w:rsidRPr="0085669F" w:rsidRDefault="002B4D3D" w:rsidP="00E45C98">
            <w:pPr>
              <w:pStyle w:val="Tablebodytext"/>
              <w:ind w:left="142"/>
              <w:jc w:val="center"/>
              <w:rPr>
                <w:szCs w:val="20"/>
              </w:rPr>
            </w:pPr>
            <w:r w:rsidRPr="0085669F">
              <w:rPr>
                <w:szCs w:val="20"/>
              </w:rPr>
              <w:t>8 (0.14)</w:t>
            </w:r>
          </w:p>
        </w:tc>
        <w:tc>
          <w:tcPr>
            <w:tcW w:w="623" w:type="pct"/>
            <w:tcBorders>
              <w:top w:val="single" w:sz="4" w:space="0" w:color="auto"/>
              <w:bottom w:val="single" w:sz="4" w:space="0" w:color="002060"/>
            </w:tcBorders>
            <w:tcMar>
              <w:top w:w="0" w:type="dxa"/>
              <w:left w:w="0" w:type="dxa"/>
              <w:bottom w:w="0" w:type="dxa"/>
              <w:right w:w="0" w:type="dxa"/>
            </w:tcMar>
            <w:hideMark/>
          </w:tcPr>
          <w:p w14:paraId="2CFB0395" w14:textId="77777777" w:rsidR="002B4D3D" w:rsidRPr="0085669F" w:rsidRDefault="002B4D3D" w:rsidP="00E45C98">
            <w:pPr>
              <w:pStyle w:val="Tablebodytext"/>
              <w:ind w:left="142"/>
              <w:jc w:val="center"/>
              <w:rPr>
                <w:szCs w:val="20"/>
              </w:rPr>
            </w:pPr>
            <w:r>
              <w:t>7 (0.12)</w:t>
            </w:r>
          </w:p>
        </w:tc>
        <w:tc>
          <w:tcPr>
            <w:tcW w:w="634" w:type="pct"/>
            <w:tcBorders>
              <w:top w:val="single" w:sz="4" w:space="0" w:color="auto"/>
              <w:bottom w:val="single" w:sz="4" w:space="0" w:color="002060"/>
            </w:tcBorders>
            <w:shd w:val="clear" w:color="auto" w:fill="CCDBEA"/>
            <w:tcMar>
              <w:top w:w="0" w:type="dxa"/>
              <w:left w:w="0" w:type="dxa"/>
              <w:bottom w:w="0" w:type="dxa"/>
              <w:right w:w="0" w:type="dxa"/>
            </w:tcMar>
            <w:hideMark/>
          </w:tcPr>
          <w:p w14:paraId="34C539E1" w14:textId="77777777" w:rsidR="002B4D3D" w:rsidRPr="0085669F" w:rsidRDefault="002B4D3D" w:rsidP="00E45C98">
            <w:pPr>
              <w:pStyle w:val="Tablebodytext"/>
              <w:ind w:left="142"/>
              <w:jc w:val="center"/>
              <w:rPr>
                <w:szCs w:val="20"/>
              </w:rPr>
            </w:pPr>
            <w:r>
              <w:t>9 (0.16)</w:t>
            </w:r>
          </w:p>
        </w:tc>
        <w:tc>
          <w:tcPr>
            <w:tcW w:w="568" w:type="pct"/>
            <w:tcBorders>
              <w:top w:val="single" w:sz="4" w:space="0" w:color="auto"/>
              <w:bottom w:val="single" w:sz="4" w:space="0" w:color="002060"/>
            </w:tcBorders>
            <w:tcMar>
              <w:top w:w="0" w:type="dxa"/>
              <w:left w:w="0" w:type="dxa"/>
              <w:bottom w:w="0" w:type="dxa"/>
              <w:right w:w="0" w:type="dxa"/>
            </w:tcMar>
            <w:hideMark/>
          </w:tcPr>
          <w:p w14:paraId="0D4A42E9" w14:textId="77777777" w:rsidR="002B4D3D" w:rsidRPr="0085669F" w:rsidRDefault="002B4D3D" w:rsidP="00E45C98">
            <w:pPr>
              <w:pStyle w:val="Tablebodytext"/>
              <w:ind w:left="142"/>
              <w:jc w:val="center"/>
              <w:rPr>
                <w:szCs w:val="20"/>
              </w:rPr>
            </w:pPr>
            <w:r w:rsidRPr="0085669F">
              <w:rPr>
                <w:szCs w:val="20"/>
              </w:rPr>
              <w:t>47</w:t>
            </w:r>
          </w:p>
        </w:tc>
        <w:tc>
          <w:tcPr>
            <w:tcW w:w="574" w:type="pct"/>
            <w:tcBorders>
              <w:top w:val="single" w:sz="4" w:space="0" w:color="auto"/>
              <w:bottom w:val="single" w:sz="4" w:space="0" w:color="002060"/>
            </w:tcBorders>
            <w:shd w:val="clear" w:color="auto" w:fill="CCDBEA"/>
            <w:tcMar>
              <w:top w:w="0" w:type="dxa"/>
              <w:left w:w="0" w:type="dxa"/>
              <w:bottom w:w="0" w:type="dxa"/>
              <w:right w:w="0" w:type="dxa"/>
            </w:tcMar>
            <w:hideMark/>
          </w:tcPr>
          <w:p w14:paraId="74F593C6" w14:textId="77777777" w:rsidR="002B4D3D" w:rsidRPr="0085669F" w:rsidRDefault="002B4D3D" w:rsidP="00E45C98">
            <w:pPr>
              <w:pStyle w:val="Tablebodytext"/>
              <w:ind w:left="142"/>
              <w:jc w:val="center"/>
              <w:rPr>
                <w:szCs w:val="20"/>
              </w:rPr>
            </w:pPr>
            <w:r w:rsidRPr="0085669F">
              <w:rPr>
                <w:szCs w:val="20"/>
              </w:rPr>
              <w:t>3</w:t>
            </w:r>
          </w:p>
        </w:tc>
      </w:tr>
      <w:tr w:rsidR="002B4D3D" w:rsidRPr="0085669F" w14:paraId="6B16C5F9"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1A24E28F" w14:textId="77777777" w:rsidR="002B4D3D" w:rsidRPr="00943101" w:rsidRDefault="002B4D3D" w:rsidP="00E45C98">
            <w:pPr>
              <w:pStyle w:val="Tablebodytext"/>
              <w:ind w:left="142"/>
              <w:rPr>
                <w:szCs w:val="20"/>
              </w:rPr>
            </w:pPr>
            <w:r w:rsidRPr="00943101">
              <w:rPr>
                <w:szCs w:val="20"/>
              </w:rPr>
              <w:t>2020</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14144073" w14:textId="77777777" w:rsidR="002B4D3D" w:rsidRPr="008550EF" w:rsidRDefault="002B4D3D" w:rsidP="00E45C98">
            <w:pPr>
              <w:pStyle w:val="Tablebodytext"/>
              <w:ind w:left="-218"/>
              <w:jc w:val="center"/>
              <w:rPr>
                <w:i/>
                <w:szCs w:val="20"/>
              </w:rPr>
            </w:pPr>
            <w:r w:rsidRPr="00A164A5">
              <w:rPr>
                <w:i/>
                <w:iCs/>
                <w:szCs w:val="20"/>
              </w:rPr>
              <w:t>Core</w:t>
            </w:r>
          </w:p>
        </w:tc>
        <w:tc>
          <w:tcPr>
            <w:tcW w:w="563" w:type="pct"/>
            <w:tcBorders>
              <w:top w:val="single" w:sz="4" w:space="0" w:color="002060"/>
              <w:bottom w:val="single" w:sz="4" w:space="0" w:color="002060"/>
            </w:tcBorders>
            <w:tcMar>
              <w:top w:w="0" w:type="dxa"/>
              <w:left w:w="0" w:type="dxa"/>
              <w:bottom w:w="0" w:type="dxa"/>
              <w:right w:w="0" w:type="dxa"/>
            </w:tcMar>
            <w:hideMark/>
          </w:tcPr>
          <w:p w14:paraId="67F92D9A" w14:textId="77777777" w:rsidR="002B4D3D" w:rsidRPr="0085669F" w:rsidRDefault="002B4D3D" w:rsidP="00E45C98">
            <w:pPr>
              <w:pStyle w:val="Tablebodytext"/>
              <w:ind w:left="142"/>
              <w:jc w:val="center"/>
              <w:rPr>
                <w:szCs w:val="20"/>
              </w:rPr>
            </w:pPr>
            <w:r w:rsidRPr="0085669F">
              <w:rPr>
                <w:szCs w:val="20"/>
              </w:rPr>
              <w:t>33</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5D576521" w14:textId="77777777" w:rsidR="002B4D3D" w:rsidRPr="0085669F" w:rsidRDefault="002B4D3D" w:rsidP="00E45C98">
            <w:pPr>
              <w:pStyle w:val="Tablebodytext"/>
              <w:ind w:left="142"/>
              <w:jc w:val="center"/>
              <w:rPr>
                <w:szCs w:val="20"/>
              </w:rPr>
            </w:pPr>
            <w:r w:rsidRPr="0085669F">
              <w:rPr>
                <w:szCs w:val="20"/>
              </w:rPr>
              <w:t>17 (0.52)</w:t>
            </w:r>
          </w:p>
        </w:tc>
        <w:tc>
          <w:tcPr>
            <w:tcW w:w="623" w:type="pct"/>
            <w:tcBorders>
              <w:top w:val="single" w:sz="4" w:space="0" w:color="002060"/>
              <w:bottom w:val="single" w:sz="4" w:space="0" w:color="002060"/>
            </w:tcBorders>
            <w:tcMar>
              <w:top w:w="0" w:type="dxa"/>
              <w:left w:w="0" w:type="dxa"/>
              <w:bottom w:w="0" w:type="dxa"/>
              <w:right w:w="0" w:type="dxa"/>
            </w:tcMar>
            <w:hideMark/>
          </w:tcPr>
          <w:p w14:paraId="7CCF8A50" w14:textId="77777777" w:rsidR="002B4D3D" w:rsidRPr="0085669F" w:rsidRDefault="002B4D3D" w:rsidP="00E45C98">
            <w:pPr>
              <w:pStyle w:val="Tablebodytext"/>
              <w:ind w:left="142"/>
              <w:jc w:val="center"/>
              <w:rPr>
                <w:szCs w:val="20"/>
              </w:rPr>
            </w:pPr>
            <w:r w:rsidRPr="0085669F">
              <w:rPr>
                <w:szCs w:val="20"/>
              </w:rPr>
              <w:t>1 (0.03)</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40FA0B69" w14:textId="77777777" w:rsidR="002B4D3D" w:rsidRPr="0085669F" w:rsidRDefault="002B4D3D" w:rsidP="00E45C98">
            <w:pPr>
              <w:pStyle w:val="Tablebodytext"/>
              <w:ind w:left="142"/>
              <w:jc w:val="center"/>
              <w:rPr>
                <w:szCs w:val="20"/>
              </w:rPr>
            </w:pPr>
            <w:r w:rsidRPr="0085669F">
              <w:rPr>
                <w:szCs w:val="20"/>
              </w:rPr>
              <w:t>6 (0.18)</w:t>
            </w:r>
          </w:p>
        </w:tc>
        <w:tc>
          <w:tcPr>
            <w:tcW w:w="568" w:type="pct"/>
            <w:tcBorders>
              <w:top w:val="single" w:sz="4" w:space="0" w:color="002060"/>
              <w:bottom w:val="single" w:sz="4" w:space="0" w:color="002060"/>
            </w:tcBorders>
            <w:tcMar>
              <w:top w:w="0" w:type="dxa"/>
              <w:left w:w="0" w:type="dxa"/>
              <w:bottom w:w="0" w:type="dxa"/>
              <w:right w:w="0" w:type="dxa"/>
            </w:tcMar>
            <w:hideMark/>
          </w:tcPr>
          <w:p w14:paraId="539487CC" w14:textId="77777777" w:rsidR="002B4D3D" w:rsidRPr="0085669F" w:rsidRDefault="002B4D3D" w:rsidP="00E45C98">
            <w:pPr>
              <w:pStyle w:val="Tablebodytext"/>
              <w:ind w:left="142"/>
              <w:jc w:val="center"/>
              <w:rPr>
                <w:szCs w:val="20"/>
              </w:rPr>
            </w:pPr>
            <w:r w:rsidRPr="0085669F">
              <w:rPr>
                <w:szCs w:val="20"/>
              </w:rPr>
              <w:t>69</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042A6FFC" w14:textId="77777777" w:rsidR="002B4D3D" w:rsidRPr="0085669F" w:rsidRDefault="002B4D3D" w:rsidP="00E45C98">
            <w:pPr>
              <w:pStyle w:val="Tablebodytext"/>
              <w:ind w:left="142"/>
              <w:jc w:val="center"/>
              <w:rPr>
                <w:szCs w:val="20"/>
              </w:rPr>
            </w:pPr>
            <w:r w:rsidRPr="0085669F">
              <w:rPr>
                <w:szCs w:val="20"/>
              </w:rPr>
              <w:t>10</w:t>
            </w:r>
          </w:p>
        </w:tc>
      </w:tr>
      <w:tr w:rsidR="002B4D3D" w:rsidRPr="0085669F" w14:paraId="789D27AC"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63B5E0D5" w14:textId="77777777" w:rsidR="002B4D3D" w:rsidRPr="00943101" w:rsidRDefault="002B4D3D" w:rsidP="00E45C98">
            <w:pPr>
              <w:pStyle w:val="Tablebodytext"/>
              <w:ind w:left="142"/>
              <w:rPr>
                <w:szCs w:val="20"/>
              </w:rPr>
            </w:pPr>
            <w:r w:rsidRPr="00943101">
              <w:rPr>
                <w:szCs w:val="20"/>
              </w:rPr>
              <w:t>2020</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537F437D" w14:textId="77777777" w:rsidR="002B4D3D" w:rsidRPr="008550EF" w:rsidRDefault="002B4D3D" w:rsidP="00E45C98">
            <w:pPr>
              <w:pStyle w:val="Tablebodytext"/>
              <w:ind w:left="-218"/>
              <w:jc w:val="center"/>
              <w:rPr>
                <w:i/>
                <w:szCs w:val="20"/>
              </w:rPr>
            </w:pPr>
            <w:r w:rsidRPr="008550EF">
              <w:rPr>
                <w:i/>
                <w:szCs w:val="20"/>
              </w:rPr>
              <w:t>Expansion</w:t>
            </w:r>
          </w:p>
        </w:tc>
        <w:tc>
          <w:tcPr>
            <w:tcW w:w="563" w:type="pct"/>
            <w:tcBorders>
              <w:top w:val="single" w:sz="4" w:space="0" w:color="002060"/>
              <w:bottom w:val="single" w:sz="4" w:space="0" w:color="002060"/>
            </w:tcBorders>
            <w:tcMar>
              <w:top w:w="0" w:type="dxa"/>
              <w:left w:w="0" w:type="dxa"/>
              <w:bottom w:w="0" w:type="dxa"/>
              <w:right w:w="0" w:type="dxa"/>
            </w:tcMar>
            <w:hideMark/>
          </w:tcPr>
          <w:p w14:paraId="544CF2C4" w14:textId="77777777" w:rsidR="002B4D3D" w:rsidRPr="0085669F" w:rsidRDefault="002B4D3D" w:rsidP="00E45C98">
            <w:pPr>
              <w:pStyle w:val="Tablebodytext"/>
              <w:ind w:left="142"/>
              <w:jc w:val="center"/>
              <w:rPr>
                <w:szCs w:val="20"/>
              </w:rPr>
            </w:pPr>
            <w:r w:rsidRPr="0085669F">
              <w:rPr>
                <w:szCs w:val="20"/>
              </w:rPr>
              <w:t>87</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270A39AC" w14:textId="77777777" w:rsidR="002B4D3D" w:rsidRPr="0085669F" w:rsidRDefault="002B4D3D" w:rsidP="00E45C98">
            <w:pPr>
              <w:pStyle w:val="Tablebodytext"/>
              <w:ind w:left="142"/>
              <w:jc w:val="center"/>
              <w:rPr>
                <w:szCs w:val="20"/>
              </w:rPr>
            </w:pPr>
            <w:r w:rsidRPr="0085669F">
              <w:rPr>
                <w:szCs w:val="20"/>
              </w:rPr>
              <w:t>17 (0.20)</w:t>
            </w:r>
          </w:p>
        </w:tc>
        <w:tc>
          <w:tcPr>
            <w:tcW w:w="623" w:type="pct"/>
            <w:tcBorders>
              <w:top w:val="single" w:sz="4" w:space="0" w:color="002060"/>
              <w:bottom w:val="single" w:sz="4" w:space="0" w:color="002060"/>
            </w:tcBorders>
            <w:tcMar>
              <w:top w:w="0" w:type="dxa"/>
              <w:left w:w="0" w:type="dxa"/>
              <w:bottom w:w="0" w:type="dxa"/>
              <w:right w:w="0" w:type="dxa"/>
            </w:tcMar>
            <w:hideMark/>
          </w:tcPr>
          <w:p w14:paraId="4E53479C" w14:textId="77777777" w:rsidR="002B4D3D" w:rsidRPr="0085669F" w:rsidRDefault="002B4D3D" w:rsidP="00E45C98">
            <w:pPr>
              <w:pStyle w:val="Tablebodytext"/>
              <w:ind w:left="142"/>
              <w:jc w:val="center"/>
              <w:rPr>
                <w:szCs w:val="20"/>
              </w:rPr>
            </w:pPr>
            <w:r w:rsidRPr="0085669F">
              <w:rPr>
                <w:szCs w:val="20"/>
              </w:rPr>
              <w:t>0 (0</w:t>
            </w:r>
            <w:r>
              <w:rPr>
                <w:szCs w:val="20"/>
              </w:rPr>
              <w:t>.00</w:t>
            </w:r>
            <w:r w:rsidRPr="0085669F">
              <w:rPr>
                <w:szCs w:val="20"/>
              </w:rPr>
              <w:t>)</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6BEF1A7D" w14:textId="77777777" w:rsidR="002B4D3D" w:rsidRPr="0085669F" w:rsidRDefault="002B4D3D" w:rsidP="00E45C98">
            <w:pPr>
              <w:pStyle w:val="Tablebodytext"/>
              <w:ind w:left="142"/>
              <w:jc w:val="center"/>
              <w:rPr>
                <w:szCs w:val="20"/>
              </w:rPr>
            </w:pPr>
            <w:r w:rsidRPr="0085669F">
              <w:rPr>
                <w:szCs w:val="20"/>
              </w:rPr>
              <w:t>11 (0.13)</w:t>
            </w:r>
          </w:p>
        </w:tc>
        <w:tc>
          <w:tcPr>
            <w:tcW w:w="568" w:type="pct"/>
            <w:tcBorders>
              <w:top w:val="single" w:sz="4" w:space="0" w:color="002060"/>
              <w:bottom w:val="single" w:sz="4" w:space="0" w:color="002060"/>
            </w:tcBorders>
            <w:tcMar>
              <w:top w:w="0" w:type="dxa"/>
              <w:left w:w="0" w:type="dxa"/>
              <w:bottom w:w="0" w:type="dxa"/>
              <w:right w:w="0" w:type="dxa"/>
            </w:tcMar>
            <w:hideMark/>
          </w:tcPr>
          <w:p w14:paraId="4ED8200D" w14:textId="77777777" w:rsidR="002B4D3D" w:rsidRPr="0085669F" w:rsidRDefault="002B4D3D" w:rsidP="00E45C98">
            <w:pPr>
              <w:pStyle w:val="Tablebodytext"/>
              <w:ind w:left="142"/>
              <w:jc w:val="center"/>
              <w:rPr>
                <w:szCs w:val="20"/>
              </w:rPr>
            </w:pPr>
            <w:r w:rsidRPr="0085669F">
              <w:rPr>
                <w:szCs w:val="20"/>
              </w:rPr>
              <w:t>61</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54526944" w14:textId="77777777" w:rsidR="002B4D3D" w:rsidRPr="0085669F" w:rsidRDefault="002B4D3D" w:rsidP="00E45C98">
            <w:pPr>
              <w:pStyle w:val="Tablebodytext"/>
              <w:ind w:left="142"/>
              <w:jc w:val="center"/>
              <w:rPr>
                <w:szCs w:val="20"/>
              </w:rPr>
            </w:pPr>
            <w:r w:rsidRPr="0085669F">
              <w:rPr>
                <w:szCs w:val="20"/>
              </w:rPr>
              <w:t>4</w:t>
            </w:r>
          </w:p>
        </w:tc>
      </w:tr>
      <w:tr w:rsidR="002B4D3D" w:rsidRPr="0085669F" w14:paraId="233AE28E"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4007E6BF" w14:textId="77777777" w:rsidR="002B4D3D" w:rsidRPr="00943101" w:rsidRDefault="002B4D3D" w:rsidP="00E45C98">
            <w:pPr>
              <w:pStyle w:val="Tablebodytext"/>
              <w:ind w:left="142"/>
              <w:rPr>
                <w:szCs w:val="20"/>
              </w:rPr>
            </w:pPr>
            <w:r w:rsidRPr="00943101">
              <w:rPr>
                <w:szCs w:val="20"/>
              </w:rPr>
              <w:t>2021</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0A2C1192" w14:textId="77777777" w:rsidR="002B4D3D" w:rsidRPr="008550EF" w:rsidRDefault="002B4D3D" w:rsidP="00E45C98">
            <w:pPr>
              <w:pStyle w:val="Tablebodytext"/>
              <w:ind w:left="-218"/>
              <w:jc w:val="center"/>
              <w:rPr>
                <w:i/>
                <w:szCs w:val="20"/>
              </w:rPr>
            </w:pPr>
            <w:r w:rsidRPr="00A164A5">
              <w:rPr>
                <w:i/>
                <w:iCs/>
                <w:szCs w:val="20"/>
              </w:rPr>
              <w:t>Core</w:t>
            </w:r>
          </w:p>
        </w:tc>
        <w:tc>
          <w:tcPr>
            <w:tcW w:w="563" w:type="pct"/>
            <w:tcBorders>
              <w:top w:val="single" w:sz="4" w:space="0" w:color="002060"/>
              <w:bottom w:val="single" w:sz="4" w:space="0" w:color="002060"/>
            </w:tcBorders>
            <w:tcMar>
              <w:top w:w="0" w:type="dxa"/>
              <w:left w:w="0" w:type="dxa"/>
              <w:bottom w:w="0" w:type="dxa"/>
              <w:right w:w="0" w:type="dxa"/>
            </w:tcMar>
            <w:hideMark/>
          </w:tcPr>
          <w:p w14:paraId="57AABBE5" w14:textId="77777777" w:rsidR="002B4D3D" w:rsidRPr="0085669F" w:rsidRDefault="002B4D3D" w:rsidP="00E45C98">
            <w:pPr>
              <w:pStyle w:val="Tablebodytext"/>
              <w:ind w:left="142"/>
              <w:jc w:val="center"/>
              <w:rPr>
                <w:szCs w:val="20"/>
              </w:rPr>
            </w:pPr>
            <w:r w:rsidRPr="0085669F">
              <w:rPr>
                <w:szCs w:val="20"/>
              </w:rPr>
              <w:t>37</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4BF72053" w14:textId="77777777" w:rsidR="002B4D3D" w:rsidRPr="0085669F" w:rsidRDefault="002B4D3D" w:rsidP="00E45C98">
            <w:pPr>
              <w:pStyle w:val="Tablebodytext"/>
              <w:ind w:left="142"/>
              <w:jc w:val="center"/>
              <w:rPr>
                <w:szCs w:val="20"/>
              </w:rPr>
            </w:pPr>
            <w:r w:rsidRPr="0085669F">
              <w:rPr>
                <w:szCs w:val="20"/>
              </w:rPr>
              <w:t>26 (0.70)</w:t>
            </w:r>
          </w:p>
        </w:tc>
        <w:tc>
          <w:tcPr>
            <w:tcW w:w="623" w:type="pct"/>
            <w:tcBorders>
              <w:top w:val="single" w:sz="4" w:space="0" w:color="002060"/>
              <w:bottom w:val="single" w:sz="4" w:space="0" w:color="002060"/>
            </w:tcBorders>
            <w:tcMar>
              <w:top w:w="0" w:type="dxa"/>
              <w:left w:w="0" w:type="dxa"/>
              <w:bottom w:w="0" w:type="dxa"/>
              <w:right w:w="0" w:type="dxa"/>
            </w:tcMar>
            <w:hideMark/>
          </w:tcPr>
          <w:p w14:paraId="629FEBB7" w14:textId="77777777" w:rsidR="002B4D3D" w:rsidRPr="0085669F" w:rsidRDefault="002B4D3D" w:rsidP="00E45C98">
            <w:pPr>
              <w:pStyle w:val="Tablebodytext"/>
              <w:ind w:left="142"/>
              <w:jc w:val="center"/>
              <w:rPr>
                <w:szCs w:val="20"/>
              </w:rPr>
            </w:pPr>
            <w:r w:rsidRPr="0085669F">
              <w:rPr>
                <w:szCs w:val="20"/>
              </w:rPr>
              <w:t>1 (0.03)</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2C22A3F9" w14:textId="77777777" w:rsidR="002B4D3D" w:rsidRPr="0085669F" w:rsidRDefault="002B4D3D" w:rsidP="00E45C98">
            <w:pPr>
              <w:pStyle w:val="Tablebodytext"/>
              <w:ind w:left="142"/>
              <w:jc w:val="center"/>
              <w:rPr>
                <w:szCs w:val="20"/>
              </w:rPr>
            </w:pPr>
            <w:r w:rsidRPr="0085669F">
              <w:rPr>
                <w:szCs w:val="20"/>
              </w:rPr>
              <w:t>14 (0.36)</w:t>
            </w:r>
          </w:p>
        </w:tc>
        <w:tc>
          <w:tcPr>
            <w:tcW w:w="568" w:type="pct"/>
            <w:tcBorders>
              <w:top w:val="single" w:sz="4" w:space="0" w:color="002060"/>
              <w:bottom w:val="single" w:sz="4" w:space="0" w:color="002060"/>
            </w:tcBorders>
            <w:tcMar>
              <w:top w:w="0" w:type="dxa"/>
              <w:left w:w="0" w:type="dxa"/>
              <w:bottom w:w="0" w:type="dxa"/>
              <w:right w:w="0" w:type="dxa"/>
            </w:tcMar>
            <w:hideMark/>
          </w:tcPr>
          <w:p w14:paraId="47F94ECA" w14:textId="77777777" w:rsidR="002B4D3D" w:rsidRPr="0085669F" w:rsidRDefault="002B4D3D" w:rsidP="00E45C98">
            <w:pPr>
              <w:pStyle w:val="Tablebodytext"/>
              <w:ind w:left="142"/>
              <w:jc w:val="center"/>
              <w:rPr>
                <w:szCs w:val="20"/>
              </w:rPr>
            </w:pPr>
            <w:r w:rsidRPr="0085669F">
              <w:rPr>
                <w:szCs w:val="20"/>
              </w:rPr>
              <w:t>70</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4250723A" w14:textId="77777777" w:rsidR="002B4D3D" w:rsidRPr="0085669F" w:rsidRDefault="002B4D3D" w:rsidP="00E45C98">
            <w:pPr>
              <w:pStyle w:val="Tablebodytext"/>
              <w:ind w:left="142"/>
              <w:jc w:val="center"/>
              <w:rPr>
                <w:szCs w:val="20"/>
              </w:rPr>
            </w:pPr>
            <w:r w:rsidRPr="0085669F">
              <w:rPr>
                <w:szCs w:val="20"/>
              </w:rPr>
              <w:t>11</w:t>
            </w:r>
          </w:p>
        </w:tc>
      </w:tr>
      <w:tr w:rsidR="002B4D3D" w:rsidRPr="0085669F" w14:paraId="27BA91F9"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25122001" w14:textId="77777777" w:rsidR="002B4D3D" w:rsidRPr="00943101" w:rsidRDefault="002B4D3D" w:rsidP="00E45C98">
            <w:pPr>
              <w:pStyle w:val="Tablebodytext"/>
              <w:ind w:left="142"/>
              <w:rPr>
                <w:szCs w:val="20"/>
              </w:rPr>
            </w:pPr>
            <w:bookmarkStart w:id="59" w:name="_Hlk163548160"/>
            <w:r w:rsidRPr="00943101">
              <w:rPr>
                <w:szCs w:val="20"/>
              </w:rPr>
              <w:t>2021</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4362859A" w14:textId="77777777" w:rsidR="002B4D3D" w:rsidRPr="008550EF" w:rsidRDefault="002B4D3D" w:rsidP="00E45C98">
            <w:pPr>
              <w:pStyle w:val="Tablebodytext"/>
              <w:ind w:left="-218"/>
              <w:jc w:val="center"/>
              <w:rPr>
                <w:i/>
                <w:szCs w:val="20"/>
              </w:rPr>
            </w:pPr>
            <w:r w:rsidRPr="008550EF">
              <w:rPr>
                <w:i/>
                <w:szCs w:val="20"/>
              </w:rPr>
              <w:t>Expansion</w:t>
            </w:r>
          </w:p>
        </w:tc>
        <w:tc>
          <w:tcPr>
            <w:tcW w:w="563" w:type="pct"/>
            <w:tcBorders>
              <w:top w:val="single" w:sz="4" w:space="0" w:color="002060"/>
              <w:bottom w:val="single" w:sz="4" w:space="0" w:color="002060"/>
            </w:tcBorders>
            <w:tcMar>
              <w:top w:w="0" w:type="dxa"/>
              <w:left w:w="0" w:type="dxa"/>
              <w:bottom w:w="0" w:type="dxa"/>
              <w:right w:w="0" w:type="dxa"/>
            </w:tcMar>
            <w:hideMark/>
          </w:tcPr>
          <w:p w14:paraId="35AC4A79" w14:textId="77777777" w:rsidR="002B4D3D" w:rsidRPr="0085669F" w:rsidRDefault="002B4D3D" w:rsidP="00E45C98">
            <w:pPr>
              <w:pStyle w:val="Tablebodytext"/>
              <w:ind w:left="142"/>
              <w:jc w:val="center"/>
              <w:rPr>
                <w:szCs w:val="20"/>
              </w:rPr>
            </w:pPr>
            <w:r w:rsidRPr="00943101">
              <w:rPr>
                <w:szCs w:val="20"/>
              </w:rPr>
              <w:t>10</w:t>
            </w:r>
            <w:r w:rsidRPr="0085669F">
              <w:rPr>
                <w:szCs w:val="20"/>
              </w:rPr>
              <w:t>0</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2DB1E285" w14:textId="77777777" w:rsidR="002B4D3D" w:rsidRPr="0085669F" w:rsidRDefault="002B4D3D" w:rsidP="00E45C98">
            <w:pPr>
              <w:pStyle w:val="Tablebodytext"/>
              <w:ind w:left="142"/>
              <w:jc w:val="center"/>
              <w:rPr>
                <w:szCs w:val="20"/>
              </w:rPr>
            </w:pPr>
            <w:r w:rsidRPr="0085669F">
              <w:rPr>
                <w:szCs w:val="20"/>
              </w:rPr>
              <w:t>26 (0.26)</w:t>
            </w:r>
          </w:p>
        </w:tc>
        <w:tc>
          <w:tcPr>
            <w:tcW w:w="623" w:type="pct"/>
            <w:tcBorders>
              <w:top w:val="single" w:sz="4" w:space="0" w:color="002060"/>
              <w:bottom w:val="single" w:sz="4" w:space="0" w:color="002060"/>
            </w:tcBorders>
            <w:tcMar>
              <w:top w:w="0" w:type="dxa"/>
              <w:left w:w="0" w:type="dxa"/>
              <w:bottom w:w="0" w:type="dxa"/>
              <w:right w:w="0" w:type="dxa"/>
            </w:tcMar>
            <w:hideMark/>
          </w:tcPr>
          <w:p w14:paraId="1C4BC4A3" w14:textId="77777777" w:rsidR="002B4D3D" w:rsidRPr="0085669F" w:rsidRDefault="002B4D3D" w:rsidP="00E45C98">
            <w:pPr>
              <w:pStyle w:val="Tablebodytext"/>
              <w:ind w:left="142"/>
              <w:jc w:val="center"/>
              <w:rPr>
                <w:szCs w:val="20"/>
              </w:rPr>
            </w:pPr>
            <w:r w:rsidRPr="0085669F">
              <w:rPr>
                <w:szCs w:val="20"/>
              </w:rPr>
              <w:t>9 (0.09)</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21C35D29" w14:textId="77777777" w:rsidR="002B4D3D" w:rsidRPr="0085669F" w:rsidRDefault="002B4D3D" w:rsidP="00E45C98">
            <w:pPr>
              <w:pStyle w:val="Tablebodytext"/>
              <w:ind w:left="142"/>
              <w:jc w:val="center"/>
              <w:rPr>
                <w:szCs w:val="20"/>
              </w:rPr>
            </w:pPr>
            <w:r w:rsidRPr="0085669F">
              <w:rPr>
                <w:szCs w:val="20"/>
              </w:rPr>
              <w:t>19 (0.19)</w:t>
            </w:r>
          </w:p>
        </w:tc>
        <w:tc>
          <w:tcPr>
            <w:tcW w:w="568" w:type="pct"/>
            <w:tcBorders>
              <w:top w:val="single" w:sz="4" w:space="0" w:color="002060"/>
              <w:bottom w:val="single" w:sz="4" w:space="0" w:color="002060"/>
            </w:tcBorders>
            <w:tcMar>
              <w:top w:w="0" w:type="dxa"/>
              <w:left w:w="0" w:type="dxa"/>
              <w:bottom w:w="0" w:type="dxa"/>
              <w:right w:w="0" w:type="dxa"/>
            </w:tcMar>
            <w:hideMark/>
          </w:tcPr>
          <w:p w14:paraId="5ED9AD5B" w14:textId="77777777" w:rsidR="002B4D3D" w:rsidRPr="0085669F" w:rsidRDefault="002B4D3D" w:rsidP="00E45C98">
            <w:pPr>
              <w:pStyle w:val="Tablebodytext"/>
              <w:ind w:left="142"/>
              <w:jc w:val="center"/>
              <w:rPr>
                <w:szCs w:val="20"/>
              </w:rPr>
            </w:pPr>
            <w:r w:rsidRPr="0085669F">
              <w:rPr>
                <w:szCs w:val="20"/>
              </w:rPr>
              <w:t>56</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5FDC767D" w14:textId="77777777" w:rsidR="002B4D3D" w:rsidRPr="0085669F" w:rsidRDefault="002B4D3D" w:rsidP="00E45C98">
            <w:pPr>
              <w:pStyle w:val="Tablebodytext"/>
              <w:ind w:left="142"/>
              <w:jc w:val="center"/>
              <w:rPr>
                <w:szCs w:val="20"/>
              </w:rPr>
            </w:pPr>
            <w:r w:rsidRPr="0085669F">
              <w:rPr>
                <w:szCs w:val="20"/>
              </w:rPr>
              <w:t>6</w:t>
            </w:r>
          </w:p>
        </w:tc>
      </w:tr>
      <w:tr w:rsidR="002B4D3D" w:rsidRPr="0085669F" w14:paraId="5A5C15D8"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3B7EBAE6" w14:textId="77777777" w:rsidR="002B4D3D" w:rsidRPr="00943101" w:rsidRDefault="002B4D3D" w:rsidP="00E45C98">
            <w:pPr>
              <w:pStyle w:val="Tablebodytext"/>
              <w:ind w:left="142"/>
              <w:rPr>
                <w:szCs w:val="20"/>
              </w:rPr>
            </w:pPr>
            <w:r w:rsidRPr="00943101">
              <w:rPr>
                <w:szCs w:val="20"/>
              </w:rPr>
              <w:t>2022</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07D4E14D" w14:textId="77777777" w:rsidR="002B4D3D" w:rsidRPr="008550EF" w:rsidRDefault="002B4D3D" w:rsidP="00E45C98">
            <w:pPr>
              <w:pStyle w:val="Tablebodytext"/>
              <w:ind w:left="-218"/>
              <w:jc w:val="center"/>
              <w:rPr>
                <w:i/>
                <w:szCs w:val="20"/>
              </w:rPr>
            </w:pPr>
            <w:r w:rsidRPr="00A164A5">
              <w:rPr>
                <w:i/>
                <w:iCs/>
                <w:szCs w:val="20"/>
              </w:rPr>
              <w:t>Core</w:t>
            </w:r>
          </w:p>
        </w:tc>
        <w:tc>
          <w:tcPr>
            <w:tcW w:w="563" w:type="pct"/>
            <w:tcBorders>
              <w:top w:val="single" w:sz="4" w:space="0" w:color="002060"/>
              <w:bottom w:val="single" w:sz="4" w:space="0" w:color="002060"/>
            </w:tcBorders>
            <w:tcMar>
              <w:top w:w="0" w:type="dxa"/>
              <w:left w:w="0" w:type="dxa"/>
              <w:bottom w:w="0" w:type="dxa"/>
              <w:right w:w="0" w:type="dxa"/>
            </w:tcMar>
            <w:hideMark/>
          </w:tcPr>
          <w:p w14:paraId="0CD3EEFD" w14:textId="77777777" w:rsidR="002B4D3D" w:rsidRPr="0085669F" w:rsidRDefault="002B4D3D" w:rsidP="00E45C98">
            <w:pPr>
              <w:pStyle w:val="Tablebodytext"/>
              <w:ind w:left="142"/>
              <w:jc w:val="center"/>
              <w:rPr>
                <w:szCs w:val="20"/>
              </w:rPr>
            </w:pPr>
            <w:r w:rsidRPr="0085669F">
              <w:rPr>
                <w:szCs w:val="20"/>
              </w:rPr>
              <w:t>36</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3984133D" w14:textId="77777777" w:rsidR="002B4D3D" w:rsidRPr="0085669F" w:rsidRDefault="002B4D3D" w:rsidP="00E45C98">
            <w:pPr>
              <w:pStyle w:val="Tablebodytext"/>
              <w:ind w:left="142"/>
              <w:jc w:val="center"/>
              <w:rPr>
                <w:szCs w:val="20"/>
              </w:rPr>
            </w:pPr>
            <w:r w:rsidRPr="0085669F">
              <w:rPr>
                <w:szCs w:val="20"/>
              </w:rPr>
              <w:t>27 (0.75)</w:t>
            </w:r>
          </w:p>
        </w:tc>
        <w:tc>
          <w:tcPr>
            <w:tcW w:w="623" w:type="pct"/>
            <w:tcBorders>
              <w:top w:val="single" w:sz="4" w:space="0" w:color="002060"/>
              <w:bottom w:val="single" w:sz="4" w:space="0" w:color="002060"/>
            </w:tcBorders>
            <w:tcMar>
              <w:top w:w="0" w:type="dxa"/>
              <w:left w:w="0" w:type="dxa"/>
              <w:bottom w:w="0" w:type="dxa"/>
              <w:right w:w="0" w:type="dxa"/>
            </w:tcMar>
            <w:hideMark/>
          </w:tcPr>
          <w:p w14:paraId="1AE2CEE6" w14:textId="77777777" w:rsidR="002B4D3D" w:rsidRPr="0085669F" w:rsidRDefault="002B4D3D" w:rsidP="00E45C98">
            <w:pPr>
              <w:pStyle w:val="Tablebodytext"/>
              <w:ind w:left="142"/>
              <w:jc w:val="center"/>
              <w:rPr>
                <w:szCs w:val="20"/>
              </w:rPr>
            </w:pPr>
            <w:r w:rsidRPr="0085669F">
              <w:rPr>
                <w:szCs w:val="20"/>
              </w:rPr>
              <w:t>0 (0</w:t>
            </w:r>
            <w:r>
              <w:rPr>
                <w:szCs w:val="20"/>
              </w:rPr>
              <w:t>.00</w:t>
            </w:r>
            <w:r w:rsidRPr="0085669F">
              <w:rPr>
                <w:szCs w:val="20"/>
              </w:rPr>
              <w:t>)</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0A2808D4" w14:textId="77777777" w:rsidR="002B4D3D" w:rsidRPr="0085669F" w:rsidRDefault="002B4D3D" w:rsidP="00E45C98">
            <w:pPr>
              <w:pStyle w:val="Tablebodytext"/>
              <w:ind w:left="142"/>
              <w:jc w:val="center"/>
              <w:rPr>
                <w:szCs w:val="20"/>
              </w:rPr>
            </w:pPr>
            <w:r w:rsidRPr="0085669F">
              <w:rPr>
                <w:szCs w:val="20"/>
              </w:rPr>
              <w:t>6 (0.17)</w:t>
            </w:r>
          </w:p>
        </w:tc>
        <w:tc>
          <w:tcPr>
            <w:tcW w:w="568" w:type="pct"/>
            <w:tcBorders>
              <w:top w:val="single" w:sz="4" w:space="0" w:color="002060"/>
              <w:bottom w:val="single" w:sz="4" w:space="0" w:color="002060"/>
            </w:tcBorders>
            <w:tcMar>
              <w:top w:w="0" w:type="dxa"/>
              <w:left w:w="0" w:type="dxa"/>
              <w:bottom w:w="0" w:type="dxa"/>
              <w:right w:w="0" w:type="dxa"/>
            </w:tcMar>
            <w:hideMark/>
          </w:tcPr>
          <w:p w14:paraId="3CE75421" w14:textId="77777777" w:rsidR="002B4D3D" w:rsidRPr="0085669F" w:rsidRDefault="002B4D3D" w:rsidP="00E45C98">
            <w:pPr>
              <w:pStyle w:val="Tablebodytext"/>
              <w:ind w:left="142"/>
              <w:jc w:val="center"/>
              <w:rPr>
                <w:szCs w:val="20"/>
              </w:rPr>
            </w:pPr>
            <w:r w:rsidRPr="0085669F">
              <w:rPr>
                <w:szCs w:val="20"/>
              </w:rPr>
              <w:t>70</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119348CA" w14:textId="77777777" w:rsidR="002B4D3D" w:rsidRPr="0085669F" w:rsidRDefault="002B4D3D" w:rsidP="00E45C98">
            <w:pPr>
              <w:pStyle w:val="Tablebodytext"/>
              <w:ind w:left="142"/>
              <w:jc w:val="center"/>
              <w:rPr>
                <w:szCs w:val="20"/>
              </w:rPr>
            </w:pPr>
            <w:r w:rsidRPr="0085669F">
              <w:rPr>
                <w:szCs w:val="20"/>
              </w:rPr>
              <w:t>12</w:t>
            </w:r>
          </w:p>
        </w:tc>
      </w:tr>
      <w:bookmarkEnd w:id="59"/>
      <w:tr w:rsidR="002B4D3D" w:rsidRPr="0085669F" w14:paraId="73DA9636" w14:textId="77777777" w:rsidTr="00637AE7">
        <w:tc>
          <w:tcPr>
            <w:tcW w:w="685" w:type="pct"/>
            <w:tcBorders>
              <w:top w:val="single" w:sz="4" w:space="0" w:color="002060"/>
              <w:bottom w:val="single" w:sz="4" w:space="0" w:color="002060"/>
            </w:tcBorders>
            <w:tcMar>
              <w:top w:w="0" w:type="dxa"/>
              <w:left w:w="0" w:type="dxa"/>
              <w:bottom w:w="0" w:type="dxa"/>
              <w:right w:w="0" w:type="dxa"/>
            </w:tcMar>
            <w:vAlign w:val="center"/>
            <w:hideMark/>
          </w:tcPr>
          <w:p w14:paraId="19BEDC9B" w14:textId="77777777" w:rsidR="002B4D3D" w:rsidRPr="00943101" w:rsidRDefault="002B4D3D" w:rsidP="00E45C98">
            <w:pPr>
              <w:pStyle w:val="Tablebodytext"/>
              <w:ind w:left="142"/>
              <w:rPr>
                <w:szCs w:val="20"/>
              </w:rPr>
            </w:pPr>
            <w:r w:rsidRPr="00943101">
              <w:rPr>
                <w:szCs w:val="20"/>
              </w:rPr>
              <w:t>2022</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4A21F7AE" w14:textId="77777777" w:rsidR="002B4D3D" w:rsidRPr="008550EF" w:rsidRDefault="002B4D3D" w:rsidP="00E45C98">
            <w:pPr>
              <w:pStyle w:val="Tablebodytext"/>
              <w:ind w:left="-218"/>
              <w:jc w:val="center"/>
              <w:rPr>
                <w:i/>
                <w:szCs w:val="20"/>
              </w:rPr>
            </w:pPr>
            <w:r w:rsidRPr="008550EF">
              <w:rPr>
                <w:i/>
                <w:szCs w:val="20"/>
              </w:rPr>
              <w:t>Expansion</w:t>
            </w:r>
          </w:p>
        </w:tc>
        <w:tc>
          <w:tcPr>
            <w:tcW w:w="563" w:type="pct"/>
            <w:tcBorders>
              <w:top w:val="single" w:sz="4" w:space="0" w:color="002060"/>
              <w:bottom w:val="single" w:sz="4" w:space="0" w:color="002060"/>
            </w:tcBorders>
            <w:tcMar>
              <w:top w:w="0" w:type="dxa"/>
              <w:left w:w="0" w:type="dxa"/>
              <w:bottom w:w="0" w:type="dxa"/>
              <w:right w:w="0" w:type="dxa"/>
            </w:tcMar>
            <w:hideMark/>
          </w:tcPr>
          <w:p w14:paraId="1427B218" w14:textId="77777777" w:rsidR="002B4D3D" w:rsidRPr="0085669F" w:rsidRDefault="002B4D3D" w:rsidP="00E45C98">
            <w:pPr>
              <w:pStyle w:val="Tablebodytext"/>
              <w:ind w:left="142"/>
              <w:jc w:val="center"/>
              <w:rPr>
                <w:szCs w:val="20"/>
              </w:rPr>
            </w:pPr>
            <w:r w:rsidRPr="0085669F">
              <w:rPr>
                <w:szCs w:val="20"/>
              </w:rPr>
              <w:t>88</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hideMark/>
          </w:tcPr>
          <w:p w14:paraId="51E7FB10" w14:textId="77777777" w:rsidR="002B4D3D" w:rsidRPr="0085669F" w:rsidRDefault="002B4D3D" w:rsidP="00E45C98">
            <w:pPr>
              <w:pStyle w:val="Tablebodytext"/>
              <w:ind w:left="142"/>
              <w:jc w:val="center"/>
              <w:rPr>
                <w:szCs w:val="20"/>
              </w:rPr>
            </w:pPr>
            <w:r w:rsidRPr="0085669F">
              <w:rPr>
                <w:szCs w:val="20"/>
              </w:rPr>
              <w:t>21 (0.24)</w:t>
            </w:r>
          </w:p>
        </w:tc>
        <w:tc>
          <w:tcPr>
            <w:tcW w:w="623" w:type="pct"/>
            <w:tcBorders>
              <w:top w:val="single" w:sz="4" w:space="0" w:color="002060"/>
              <w:bottom w:val="single" w:sz="4" w:space="0" w:color="002060"/>
            </w:tcBorders>
            <w:tcMar>
              <w:top w:w="0" w:type="dxa"/>
              <w:left w:w="0" w:type="dxa"/>
              <w:bottom w:w="0" w:type="dxa"/>
              <w:right w:w="0" w:type="dxa"/>
            </w:tcMar>
            <w:hideMark/>
          </w:tcPr>
          <w:p w14:paraId="4B97856E" w14:textId="77777777" w:rsidR="002B4D3D" w:rsidRPr="0085669F" w:rsidRDefault="002B4D3D" w:rsidP="00E45C98">
            <w:pPr>
              <w:pStyle w:val="Tablebodytext"/>
              <w:ind w:left="142"/>
              <w:jc w:val="center"/>
              <w:rPr>
                <w:szCs w:val="20"/>
              </w:rPr>
            </w:pPr>
            <w:r w:rsidRPr="0085669F">
              <w:rPr>
                <w:szCs w:val="20"/>
              </w:rPr>
              <w:t>5 (0.06)</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hideMark/>
          </w:tcPr>
          <w:p w14:paraId="0EE6A707" w14:textId="77777777" w:rsidR="002B4D3D" w:rsidRPr="0085669F" w:rsidRDefault="002B4D3D" w:rsidP="00E45C98">
            <w:pPr>
              <w:pStyle w:val="Tablebodytext"/>
              <w:ind w:left="142"/>
              <w:jc w:val="center"/>
              <w:rPr>
                <w:szCs w:val="20"/>
              </w:rPr>
            </w:pPr>
            <w:r w:rsidRPr="0085669F">
              <w:rPr>
                <w:szCs w:val="20"/>
              </w:rPr>
              <w:t>20 (0.23)</w:t>
            </w:r>
          </w:p>
        </w:tc>
        <w:tc>
          <w:tcPr>
            <w:tcW w:w="568" w:type="pct"/>
            <w:tcBorders>
              <w:top w:val="single" w:sz="4" w:space="0" w:color="002060"/>
              <w:bottom w:val="single" w:sz="4" w:space="0" w:color="002060"/>
            </w:tcBorders>
            <w:tcMar>
              <w:top w:w="0" w:type="dxa"/>
              <w:left w:w="0" w:type="dxa"/>
              <w:bottom w:w="0" w:type="dxa"/>
              <w:right w:w="0" w:type="dxa"/>
            </w:tcMar>
            <w:hideMark/>
          </w:tcPr>
          <w:p w14:paraId="41A277C2" w14:textId="77777777" w:rsidR="002B4D3D" w:rsidRPr="0085669F" w:rsidRDefault="002B4D3D" w:rsidP="00E45C98">
            <w:pPr>
              <w:pStyle w:val="Tablebodytext"/>
              <w:ind w:left="142"/>
              <w:jc w:val="center"/>
              <w:rPr>
                <w:szCs w:val="20"/>
              </w:rPr>
            </w:pPr>
            <w:r w:rsidRPr="0085669F">
              <w:rPr>
                <w:szCs w:val="20"/>
              </w:rPr>
              <w:t>57</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hideMark/>
          </w:tcPr>
          <w:p w14:paraId="10D91A82" w14:textId="77777777" w:rsidR="002B4D3D" w:rsidRPr="0085669F" w:rsidRDefault="002B4D3D" w:rsidP="00E45C98">
            <w:pPr>
              <w:pStyle w:val="Tablebodytext"/>
              <w:ind w:left="142"/>
              <w:jc w:val="center"/>
              <w:rPr>
                <w:szCs w:val="20"/>
              </w:rPr>
            </w:pPr>
            <w:r w:rsidRPr="0085669F">
              <w:rPr>
                <w:szCs w:val="20"/>
              </w:rPr>
              <w:t>7</w:t>
            </w:r>
          </w:p>
        </w:tc>
      </w:tr>
      <w:tr w:rsidR="00637AE7" w:rsidRPr="0085669F" w14:paraId="347EF466" w14:textId="77777777" w:rsidTr="0091267A">
        <w:tc>
          <w:tcPr>
            <w:tcW w:w="685" w:type="pct"/>
            <w:tcBorders>
              <w:top w:val="single" w:sz="4" w:space="0" w:color="002060"/>
              <w:left w:val="nil"/>
              <w:bottom w:val="single" w:sz="4" w:space="0" w:color="002060"/>
              <w:right w:val="nil"/>
            </w:tcBorders>
            <w:tcMar>
              <w:top w:w="0" w:type="dxa"/>
              <w:left w:w="0" w:type="dxa"/>
              <w:bottom w:w="0" w:type="dxa"/>
              <w:right w:w="0" w:type="dxa"/>
            </w:tcMar>
            <w:vAlign w:val="center"/>
          </w:tcPr>
          <w:p w14:paraId="1A22071B" w14:textId="6ADA0DFD" w:rsidR="00637AE7" w:rsidRPr="00943101" w:rsidRDefault="00637AE7" w:rsidP="00637AE7">
            <w:pPr>
              <w:pStyle w:val="Tablebodytext"/>
              <w:ind w:left="142"/>
              <w:rPr>
                <w:szCs w:val="20"/>
              </w:rPr>
            </w:pPr>
            <w:r>
              <w:rPr>
                <w:szCs w:val="20"/>
              </w:rPr>
              <w:t>2023</w:t>
            </w:r>
          </w:p>
        </w:tc>
        <w:tc>
          <w:tcPr>
            <w:tcW w:w="631"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267756F3" w14:textId="4A5787D7" w:rsidR="00637AE7" w:rsidRPr="008550EF" w:rsidRDefault="00637AE7" w:rsidP="00637AE7">
            <w:pPr>
              <w:pStyle w:val="Tablebodytext"/>
              <w:ind w:left="-218"/>
              <w:jc w:val="center"/>
              <w:rPr>
                <w:i/>
                <w:szCs w:val="20"/>
              </w:rPr>
            </w:pPr>
            <w:r>
              <w:rPr>
                <w:i/>
                <w:szCs w:val="20"/>
              </w:rPr>
              <w:t>Core</w:t>
            </w:r>
          </w:p>
        </w:tc>
        <w:tc>
          <w:tcPr>
            <w:tcW w:w="563" w:type="pct"/>
            <w:tcBorders>
              <w:top w:val="single" w:sz="4" w:space="0" w:color="002060"/>
              <w:left w:val="nil"/>
              <w:bottom w:val="single" w:sz="4" w:space="0" w:color="002060"/>
              <w:right w:val="nil"/>
            </w:tcBorders>
            <w:tcMar>
              <w:top w:w="0" w:type="dxa"/>
              <w:left w:w="0" w:type="dxa"/>
              <w:bottom w:w="0" w:type="dxa"/>
              <w:right w:w="0" w:type="dxa"/>
            </w:tcMar>
            <w:vAlign w:val="center"/>
          </w:tcPr>
          <w:p w14:paraId="4B4F6E56" w14:textId="1B03105C" w:rsidR="00637AE7" w:rsidRPr="0085669F" w:rsidRDefault="00637AE7" w:rsidP="00637AE7">
            <w:pPr>
              <w:pStyle w:val="Tablebodytext"/>
              <w:ind w:left="142"/>
              <w:jc w:val="center"/>
              <w:rPr>
                <w:szCs w:val="20"/>
              </w:rPr>
            </w:pPr>
            <w:r>
              <w:rPr>
                <w:szCs w:val="20"/>
              </w:rPr>
              <w:t>40</w:t>
            </w:r>
          </w:p>
        </w:tc>
        <w:tc>
          <w:tcPr>
            <w:tcW w:w="722"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4148ACB6" w14:textId="5F975750" w:rsidR="00637AE7" w:rsidRPr="0085669F" w:rsidRDefault="00637AE7" w:rsidP="00637AE7">
            <w:pPr>
              <w:pStyle w:val="Tablebodytext"/>
              <w:ind w:left="142"/>
              <w:jc w:val="center"/>
              <w:rPr>
                <w:szCs w:val="20"/>
              </w:rPr>
            </w:pPr>
            <w:r>
              <w:rPr>
                <w:szCs w:val="20"/>
              </w:rPr>
              <w:t>28 (0.70)</w:t>
            </w:r>
          </w:p>
        </w:tc>
        <w:tc>
          <w:tcPr>
            <w:tcW w:w="623" w:type="pct"/>
            <w:tcBorders>
              <w:top w:val="single" w:sz="4" w:space="0" w:color="002060"/>
              <w:left w:val="nil"/>
              <w:bottom w:val="single" w:sz="4" w:space="0" w:color="002060"/>
              <w:right w:val="nil"/>
            </w:tcBorders>
            <w:tcMar>
              <w:top w:w="0" w:type="dxa"/>
              <w:left w:w="0" w:type="dxa"/>
              <w:bottom w:w="0" w:type="dxa"/>
              <w:right w:w="0" w:type="dxa"/>
            </w:tcMar>
            <w:vAlign w:val="center"/>
          </w:tcPr>
          <w:p w14:paraId="1C16A94C" w14:textId="4BFD7340" w:rsidR="00637AE7" w:rsidRPr="0085669F" w:rsidRDefault="00637AE7" w:rsidP="00637AE7">
            <w:pPr>
              <w:pStyle w:val="Tablebodytext"/>
              <w:ind w:left="142"/>
              <w:jc w:val="center"/>
              <w:rPr>
                <w:szCs w:val="20"/>
              </w:rPr>
            </w:pPr>
            <w:r>
              <w:rPr>
                <w:szCs w:val="20"/>
              </w:rPr>
              <w:t>1 (0.03)</w:t>
            </w:r>
          </w:p>
        </w:tc>
        <w:tc>
          <w:tcPr>
            <w:tcW w:w="63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2C6980A8" w14:textId="553B3A43" w:rsidR="00637AE7" w:rsidRPr="0085669F" w:rsidRDefault="00637AE7" w:rsidP="00637AE7">
            <w:pPr>
              <w:pStyle w:val="Tablebodytext"/>
              <w:ind w:left="142"/>
              <w:jc w:val="center"/>
              <w:rPr>
                <w:szCs w:val="20"/>
              </w:rPr>
            </w:pPr>
            <w:r>
              <w:rPr>
                <w:szCs w:val="20"/>
              </w:rPr>
              <w:t>10 (0.25)</w:t>
            </w:r>
          </w:p>
        </w:tc>
        <w:tc>
          <w:tcPr>
            <w:tcW w:w="568" w:type="pct"/>
            <w:tcBorders>
              <w:top w:val="single" w:sz="4" w:space="0" w:color="002060"/>
              <w:left w:val="nil"/>
              <w:bottom w:val="single" w:sz="4" w:space="0" w:color="002060"/>
              <w:right w:val="nil"/>
            </w:tcBorders>
            <w:tcMar>
              <w:top w:w="0" w:type="dxa"/>
              <w:left w:w="0" w:type="dxa"/>
              <w:bottom w:w="0" w:type="dxa"/>
              <w:right w:w="0" w:type="dxa"/>
            </w:tcMar>
            <w:vAlign w:val="center"/>
          </w:tcPr>
          <w:p w14:paraId="667981C6" w14:textId="5C36F847" w:rsidR="00637AE7" w:rsidRPr="0085669F" w:rsidRDefault="00637AE7" w:rsidP="00637AE7">
            <w:pPr>
              <w:pStyle w:val="Tablebodytext"/>
              <w:ind w:left="142"/>
              <w:jc w:val="center"/>
              <w:rPr>
                <w:szCs w:val="20"/>
              </w:rPr>
            </w:pPr>
            <w:r>
              <w:rPr>
                <w:szCs w:val="20"/>
              </w:rPr>
              <w:t>68</w:t>
            </w:r>
          </w:p>
        </w:tc>
        <w:tc>
          <w:tcPr>
            <w:tcW w:w="57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5E74737A" w14:textId="43DF90C3" w:rsidR="00637AE7" w:rsidRPr="0085669F" w:rsidRDefault="00637AE7" w:rsidP="00637AE7">
            <w:pPr>
              <w:pStyle w:val="Tablebodytext"/>
              <w:ind w:left="142"/>
              <w:jc w:val="center"/>
              <w:rPr>
                <w:szCs w:val="20"/>
              </w:rPr>
            </w:pPr>
            <w:r>
              <w:rPr>
                <w:szCs w:val="20"/>
              </w:rPr>
              <w:t>14</w:t>
            </w:r>
          </w:p>
        </w:tc>
      </w:tr>
      <w:tr w:rsidR="00637AE7" w:rsidRPr="0085669F" w14:paraId="66B73DA0" w14:textId="77777777" w:rsidTr="0091267A">
        <w:tc>
          <w:tcPr>
            <w:tcW w:w="685" w:type="pct"/>
            <w:tcBorders>
              <w:top w:val="single" w:sz="4" w:space="0" w:color="002060"/>
              <w:left w:val="nil"/>
              <w:bottom w:val="single" w:sz="4" w:space="0" w:color="002060"/>
              <w:right w:val="nil"/>
            </w:tcBorders>
            <w:tcMar>
              <w:top w:w="0" w:type="dxa"/>
              <w:left w:w="0" w:type="dxa"/>
              <w:bottom w:w="0" w:type="dxa"/>
              <w:right w:w="0" w:type="dxa"/>
            </w:tcMar>
            <w:vAlign w:val="center"/>
          </w:tcPr>
          <w:p w14:paraId="1C4B6220" w14:textId="72C161ED" w:rsidR="00637AE7" w:rsidRPr="00943101" w:rsidRDefault="00637AE7" w:rsidP="00637AE7">
            <w:pPr>
              <w:pStyle w:val="Tablebodytext"/>
              <w:ind w:left="142"/>
              <w:rPr>
                <w:szCs w:val="20"/>
              </w:rPr>
            </w:pPr>
            <w:r>
              <w:rPr>
                <w:szCs w:val="20"/>
              </w:rPr>
              <w:t>2023</w:t>
            </w:r>
          </w:p>
        </w:tc>
        <w:tc>
          <w:tcPr>
            <w:tcW w:w="631"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13003547" w14:textId="7FD6C02C" w:rsidR="00637AE7" w:rsidRPr="008550EF" w:rsidRDefault="00637AE7" w:rsidP="00637AE7">
            <w:pPr>
              <w:pStyle w:val="Tablebodytext"/>
              <w:ind w:left="-218"/>
              <w:jc w:val="center"/>
              <w:rPr>
                <w:i/>
                <w:szCs w:val="20"/>
              </w:rPr>
            </w:pPr>
            <w:r>
              <w:rPr>
                <w:i/>
                <w:szCs w:val="20"/>
              </w:rPr>
              <w:t>Expansion</w:t>
            </w:r>
          </w:p>
        </w:tc>
        <w:tc>
          <w:tcPr>
            <w:tcW w:w="563" w:type="pct"/>
            <w:tcBorders>
              <w:top w:val="single" w:sz="4" w:space="0" w:color="002060"/>
              <w:left w:val="nil"/>
              <w:bottom w:val="single" w:sz="4" w:space="0" w:color="002060"/>
              <w:right w:val="nil"/>
            </w:tcBorders>
            <w:tcMar>
              <w:top w:w="0" w:type="dxa"/>
              <w:left w:w="0" w:type="dxa"/>
              <w:bottom w:w="0" w:type="dxa"/>
              <w:right w:w="0" w:type="dxa"/>
            </w:tcMar>
            <w:vAlign w:val="center"/>
          </w:tcPr>
          <w:p w14:paraId="0A089B7F" w14:textId="6C975A95" w:rsidR="00637AE7" w:rsidRPr="0085669F" w:rsidRDefault="00637AE7" w:rsidP="00637AE7">
            <w:pPr>
              <w:pStyle w:val="Tablebodytext"/>
              <w:ind w:left="142"/>
              <w:jc w:val="center"/>
              <w:rPr>
                <w:szCs w:val="20"/>
              </w:rPr>
            </w:pPr>
            <w:r>
              <w:rPr>
                <w:szCs w:val="20"/>
              </w:rPr>
              <w:t>95</w:t>
            </w:r>
          </w:p>
        </w:tc>
        <w:tc>
          <w:tcPr>
            <w:tcW w:w="722"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0741FB2E" w14:textId="057AF70D" w:rsidR="00637AE7" w:rsidRPr="0085669F" w:rsidRDefault="00637AE7" w:rsidP="00637AE7">
            <w:pPr>
              <w:pStyle w:val="Tablebodytext"/>
              <w:ind w:left="142"/>
              <w:jc w:val="center"/>
              <w:rPr>
                <w:szCs w:val="20"/>
              </w:rPr>
            </w:pPr>
            <w:r>
              <w:rPr>
                <w:szCs w:val="20"/>
              </w:rPr>
              <w:t>34 (0.36)</w:t>
            </w:r>
          </w:p>
        </w:tc>
        <w:tc>
          <w:tcPr>
            <w:tcW w:w="623" w:type="pct"/>
            <w:tcBorders>
              <w:top w:val="single" w:sz="4" w:space="0" w:color="002060"/>
              <w:left w:val="nil"/>
              <w:bottom w:val="single" w:sz="4" w:space="0" w:color="002060"/>
              <w:right w:val="nil"/>
            </w:tcBorders>
            <w:tcMar>
              <w:top w:w="0" w:type="dxa"/>
              <w:left w:w="0" w:type="dxa"/>
              <w:bottom w:w="0" w:type="dxa"/>
              <w:right w:w="0" w:type="dxa"/>
            </w:tcMar>
            <w:vAlign w:val="center"/>
          </w:tcPr>
          <w:p w14:paraId="094DD55A" w14:textId="59645702" w:rsidR="00637AE7" w:rsidRPr="0085669F" w:rsidRDefault="00637AE7" w:rsidP="00637AE7">
            <w:pPr>
              <w:pStyle w:val="Tablebodytext"/>
              <w:ind w:left="142"/>
              <w:jc w:val="center"/>
              <w:rPr>
                <w:szCs w:val="20"/>
              </w:rPr>
            </w:pPr>
            <w:r>
              <w:rPr>
                <w:szCs w:val="20"/>
              </w:rPr>
              <w:t>3 (0.03)</w:t>
            </w:r>
          </w:p>
        </w:tc>
        <w:tc>
          <w:tcPr>
            <w:tcW w:w="63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09FE95AC" w14:textId="796AC4C9" w:rsidR="00637AE7" w:rsidRPr="0085669F" w:rsidRDefault="00637AE7" w:rsidP="00637AE7">
            <w:pPr>
              <w:pStyle w:val="Tablebodytext"/>
              <w:ind w:left="142"/>
              <w:jc w:val="center"/>
              <w:rPr>
                <w:szCs w:val="20"/>
              </w:rPr>
            </w:pPr>
            <w:r>
              <w:rPr>
                <w:szCs w:val="20"/>
              </w:rPr>
              <w:t>19 (0.20)</w:t>
            </w:r>
          </w:p>
        </w:tc>
        <w:tc>
          <w:tcPr>
            <w:tcW w:w="568" w:type="pct"/>
            <w:tcBorders>
              <w:top w:val="single" w:sz="4" w:space="0" w:color="002060"/>
              <w:left w:val="nil"/>
              <w:bottom w:val="single" w:sz="4" w:space="0" w:color="002060"/>
              <w:right w:val="nil"/>
            </w:tcBorders>
            <w:tcMar>
              <w:top w:w="0" w:type="dxa"/>
              <w:left w:w="0" w:type="dxa"/>
              <w:bottom w:w="0" w:type="dxa"/>
              <w:right w:w="0" w:type="dxa"/>
            </w:tcMar>
            <w:vAlign w:val="center"/>
          </w:tcPr>
          <w:p w14:paraId="06C08EE7" w14:textId="100C43CA" w:rsidR="00637AE7" w:rsidRPr="0085669F" w:rsidRDefault="00637AE7" w:rsidP="00637AE7">
            <w:pPr>
              <w:pStyle w:val="Tablebodytext"/>
              <w:ind w:left="142"/>
              <w:jc w:val="center"/>
              <w:rPr>
                <w:szCs w:val="20"/>
              </w:rPr>
            </w:pPr>
            <w:r>
              <w:rPr>
                <w:szCs w:val="20"/>
              </w:rPr>
              <w:t>57</w:t>
            </w:r>
          </w:p>
        </w:tc>
        <w:tc>
          <w:tcPr>
            <w:tcW w:w="57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2436D5DD" w14:textId="41915E18" w:rsidR="00637AE7" w:rsidRPr="0085669F" w:rsidRDefault="00637AE7" w:rsidP="00637AE7">
            <w:pPr>
              <w:pStyle w:val="Tablebodytext"/>
              <w:ind w:left="142"/>
              <w:jc w:val="center"/>
              <w:rPr>
                <w:szCs w:val="20"/>
              </w:rPr>
            </w:pPr>
            <w:r>
              <w:rPr>
                <w:szCs w:val="20"/>
              </w:rPr>
              <w:t>8</w:t>
            </w:r>
          </w:p>
        </w:tc>
      </w:tr>
      <w:tr w:rsidR="00727D3D" w:rsidRPr="0085669F" w14:paraId="5F8E9B5C" w14:textId="77777777" w:rsidTr="006D610D">
        <w:tc>
          <w:tcPr>
            <w:tcW w:w="685" w:type="pct"/>
            <w:tcBorders>
              <w:top w:val="single" w:sz="4" w:space="0" w:color="002060"/>
              <w:left w:val="nil"/>
              <w:bottom w:val="single" w:sz="4" w:space="0" w:color="002060"/>
              <w:right w:val="nil"/>
            </w:tcBorders>
            <w:tcMar>
              <w:top w:w="0" w:type="dxa"/>
              <w:left w:w="0" w:type="dxa"/>
              <w:bottom w:w="0" w:type="dxa"/>
              <w:right w:w="0" w:type="dxa"/>
            </w:tcMar>
            <w:vAlign w:val="center"/>
          </w:tcPr>
          <w:p w14:paraId="3E4D2D10" w14:textId="55C3D4EE" w:rsidR="00727D3D" w:rsidRPr="00746266" w:rsidRDefault="00727D3D" w:rsidP="00727D3D">
            <w:pPr>
              <w:pStyle w:val="Tablebodytext"/>
              <w:ind w:left="142"/>
              <w:rPr>
                <w:szCs w:val="20"/>
                <w:highlight w:val="yellow"/>
              </w:rPr>
            </w:pPr>
            <w:r>
              <w:rPr>
                <w:szCs w:val="20"/>
              </w:rPr>
              <w:t>2024</w:t>
            </w:r>
          </w:p>
        </w:tc>
        <w:tc>
          <w:tcPr>
            <w:tcW w:w="631"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31C6A77D" w14:textId="44C10D37" w:rsidR="00727D3D" w:rsidRPr="00746266" w:rsidRDefault="00727D3D" w:rsidP="00727D3D">
            <w:pPr>
              <w:pStyle w:val="Tablebodytext"/>
              <w:ind w:left="-218"/>
              <w:jc w:val="center"/>
              <w:rPr>
                <w:i/>
                <w:szCs w:val="20"/>
                <w:highlight w:val="yellow"/>
              </w:rPr>
            </w:pPr>
            <w:r>
              <w:rPr>
                <w:i/>
                <w:szCs w:val="20"/>
              </w:rPr>
              <w:t>Core</w:t>
            </w:r>
          </w:p>
        </w:tc>
        <w:tc>
          <w:tcPr>
            <w:tcW w:w="563" w:type="pct"/>
            <w:tcBorders>
              <w:top w:val="single" w:sz="4" w:space="0" w:color="002060"/>
              <w:left w:val="nil"/>
              <w:bottom w:val="single" w:sz="4" w:space="0" w:color="002060"/>
              <w:right w:val="nil"/>
            </w:tcBorders>
            <w:tcMar>
              <w:top w:w="0" w:type="dxa"/>
              <w:left w:w="0" w:type="dxa"/>
              <w:bottom w:w="0" w:type="dxa"/>
              <w:right w:w="0" w:type="dxa"/>
            </w:tcMar>
          </w:tcPr>
          <w:p w14:paraId="2D1436BC" w14:textId="3D24CE6C" w:rsidR="00727D3D" w:rsidRPr="00746266" w:rsidRDefault="00727D3D" w:rsidP="00727D3D">
            <w:pPr>
              <w:pStyle w:val="Tablebodytext"/>
              <w:ind w:left="142"/>
              <w:jc w:val="center"/>
              <w:rPr>
                <w:szCs w:val="20"/>
                <w:highlight w:val="yellow"/>
              </w:rPr>
            </w:pPr>
            <w:r>
              <w:rPr>
                <w:szCs w:val="20"/>
              </w:rPr>
              <w:t>40</w:t>
            </w:r>
          </w:p>
        </w:tc>
        <w:tc>
          <w:tcPr>
            <w:tcW w:w="722" w:type="pct"/>
            <w:tcBorders>
              <w:top w:val="single" w:sz="4" w:space="0" w:color="002060"/>
              <w:left w:val="nil"/>
              <w:bottom w:val="single" w:sz="4" w:space="0" w:color="002060"/>
              <w:right w:val="nil"/>
            </w:tcBorders>
            <w:shd w:val="clear" w:color="auto" w:fill="CCDBEA"/>
            <w:tcMar>
              <w:top w:w="0" w:type="dxa"/>
              <w:left w:w="0" w:type="dxa"/>
              <w:bottom w:w="0" w:type="dxa"/>
              <w:right w:w="0" w:type="dxa"/>
            </w:tcMar>
          </w:tcPr>
          <w:p w14:paraId="7B849958" w14:textId="480FDE19" w:rsidR="00727D3D" w:rsidRPr="00746266" w:rsidRDefault="00727D3D" w:rsidP="00727D3D">
            <w:pPr>
              <w:pStyle w:val="Tablebodytext"/>
              <w:ind w:left="142"/>
              <w:jc w:val="center"/>
              <w:rPr>
                <w:szCs w:val="20"/>
                <w:highlight w:val="yellow"/>
              </w:rPr>
            </w:pPr>
            <w:r>
              <w:rPr>
                <w:szCs w:val="20"/>
              </w:rPr>
              <w:t>33 (0.82)</w:t>
            </w:r>
          </w:p>
        </w:tc>
        <w:tc>
          <w:tcPr>
            <w:tcW w:w="623" w:type="pct"/>
            <w:tcBorders>
              <w:top w:val="single" w:sz="4" w:space="0" w:color="002060"/>
              <w:left w:val="nil"/>
              <w:bottom w:val="single" w:sz="4" w:space="0" w:color="002060"/>
              <w:right w:val="nil"/>
            </w:tcBorders>
            <w:tcMar>
              <w:top w:w="0" w:type="dxa"/>
              <w:left w:w="0" w:type="dxa"/>
              <w:bottom w:w="0" w:type="dxa"/>
              <w:right w:w="0" w:type="dxa"/>
            </w:tcMar>
          </w:tcPr>
          <w:p w14:paraId="28FBB703" w14:textId="23C84F42" w:rsidR="00727D3D" w:rsidRPr="00746266" w:rsidRDefault="00727D3D" w:rsidP="00727D3D">
            <w:pPr>
              <w:pStyle w:val="Tablebodytext"/>
              <w:ind w:left="142"/>
              <w:jc w:val="center"/>
              <w:rPr>
                <w:szCs w:val="20"/>
                <w:highlight w:val="yellow"/>
              </w:rPr>
            </w:pPr>
            <w:r>
              <w:rPr>
                <w:szCs w:val="20"/>
              </w:rPr>
              <w:t>0 (0.00)</w:t>
            </w:r>
          </w:p>
        </w:tc>
        <w:tc>
          <w:tcPr>
            <w:tcW w:w="63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tcPr>
          <w:p w14:paraId="5BA8B33F" w14:textId="56955936" w:rsidR="00727D3D" w:rsidRPr="00746266" w:rsidRDefault="00727D3D" w:rsidP="00727D3D">
            <w:pPr>
              <w:pStyle w:val="Tablebodytext"/>
              <w:ind w:left="142"/>
              <w:jc w:val="center"/>
              <w:rPr>
                <w:szCs w:val="20"/>
                <w:highlight w:val="yellow"/>
              </w:rPr>
            </w:pPr>
            <w:r>
              <w:rPr>
                <w:szCs w:val="20"/>
              </w:rPr>
              <w:t>13 (0.32)</w:t>
            </w:r>
          </w:p>
        </w:tc>
        <w:tc>
          <w:tcPr>
            <w:tcW w:w="568" w:type="pct"/>
            <w:tcBorders>
              <w:top w:val="single" w:sz="4" w:space="0" w:color="002060"/>
              <w:left w:val="nil"/>
              <w:bottom w:val="single" w:sz="4" w:space="0" w:color="002060"/>
              <w:right w:val="nil"/>
            </w:tcBorders>
            <w:tcMar>
              <w:top w:w="0" w:type="dxa"/>
              <w:left w:w="0" w:type="dxa"/>
              <w:bottom w:w="0" w:type="dxa"/>
              <w:right w:w="0" w:type="dxa"/>
            </w:tcMar>
          </w:tcPr>
          <w:p w14:paraId="71F16AD3" w14:textId="3A8C5C56" w:rsidR="00727D3D" w:rsidRPr="00746266" w:rsidRDefault="00727D3D" w:rsidP="00727D3D">
            <w:pPr>
              <w:pStyle w:val="Tablebodytext"/>
              <w:ind w:left="142"/>
              <w:jc w:val="center"/>
              <w:rPr>
                <w:szCs w:val="20"/>
                <w:highlight w:val="yellow"/>
              </w:rPr>
            </w:pPr>
            <w:r>
              <w:rPr>
                <w:szCs w:val="20"/>
              </w:rPr>
              <w:t>69</w:t>
            </w:r>
          </w:p>
        </w:tc>
        <w:tc>
          <w:tcPr>
            <w:tcW w:w="57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tcPr>
          <w:p w14:paraId="559C12EB" w14:textId="009807D1" w:rsidR="00727D3D" w:rsidRPr="00746266" w:rsidRDefault="00727D3D" w:rsidP="00727D3D">
            <w:pPr>
              <w:pStyle w:val="Tablebodytext"/>
              <w:ind w:left="142"/>
              <w:jc w:val="center"/>
              <w:rPr>
                <w:szCs w:val="20"/>
                <w:highlight w:val="yellow"/>
              </w:rPr>
            </w:pPr>
            <w:r>
              <w:rPr>
                <w:szCs w:val="20"/>
              </w:rPr>
              <w:t>15</w:t>
            </w:r>
          </w:p>
        </w:tc>
      </w:tr>
      <w:tr w:rsidR="00727D3D" w:rsidRPr="0085669F" w14:paraId="4B40BEAC" w14:textId="77777777" w:rsidTr="006D610D">
        <w:tc>
          <w:tcPr>
            <w:tcW w:w="685" w:type="pct"/>
            <w:tcBorders>
              <w:top w:val="single" w:sz="4" w:space="0" w:color="002060"/>
              <w:left w:val="nil"/>
              <w:bottom w:val="single" w:sz="4" w:space="0" w:color="002060"/>
              <w:right w:val="nil"/>
            </w:tcBorders>
            <w:tcMar>
              <w:top w:w="0" w:type="dxa"/>
              <w:left w:w="0" w:type="dxa"/>
              <w:bottom w:w="0" w:type="dxa"/>
              <w:right w:w="0" w:type="dxa"/>
            </w:tcMar>
            <w:vAlign w:val="center"/>
          </w:tcPr>
          <w:p w14:paraId="41329A1C" w14:textId="6DC88EF6" w:rsidR="00727D3D" w:rsidRPr="00746266" w:rsidRDefault="00727D3D" w:rsidP="00727D3D">
            <w:pPr>
              <w:pStyle w:val="Tablebodytext"/>
              <w:ind w:left="142"/>
              <w:rPr>
                <w:szCs w:val="20"/>
                <w:highlight w:val="yellow"/>
              </w:rPr>
            </w:pPr>
            <w:r>
              <w:rPr>
                <w:szCs w:val="20"/>
              </w:rPr>
              <w:t>2024</w:t>
            </w:r>
          </w:p>
        </w:tc>
        <w:tc>
          <w:tcPr>
            <w:tcW w:w="631" w:type="pct"/>
            <w:tcBorders>
              <w:top w:val="single" w:sz="4" w:space="0" w:color="002060"/>
              <w:left w:val="nil"/>
              <w:bottom w:val="single" w:sz="4" w:space="0" w:color="002060"/>
              <w:right w:val="nil"/>
            </w:tcBorders>
            <w:shd w:val="clear" w:color="auto" w:fill="CCDBEA"/>
            <w:tcMar>
              <w:top w:w="0" w:type="dxa"/>
              <w:left w:w="0" w:type="dxa"/>
              <w:bottom w:w="0" w:type="dxa"/>
              <w:right w:w="0" w:type="dxa"/>
            </w:tcMar>
            <w:vAlign w:val="center"/>
          </w:tcPr>
          <w:p w14:paraId="4D4EEF40" w14:textId="18F0F310" w:rsidR="00727D3D" w:rsidRPr="00746266" w:rsidRDefault="00727D3D" w:rsidP="00727D3D">
            <w:pPr>
              <w:pStyle w:val="Tablebodytext"/>
              <w:ind w:left="-218"/>
              <w:jc w:val="center"/>
              <w:rPr>
                <w:i/>
                <w:szCs w:val="20"/>
                <w:highlight w:val="yellow"/>
              </w:rPr>
            </w:pPr>
            <w:r>
              <w:rPr>
                <w:i/>
                <w:szCs w:val="20"/>
              </w:rPr>
              <w:t>Expansion</w:t>
            </w:r>
          </w:p>
        </w:tc>
        <w:tc>
          <w:tcPr>
            <w:tcW w:w="563" w:type="pct"/>
            <w:tcBorders>
              <w:top w:val="single" w:sz="4" w:space="0" w:color="002060"/>
              <w:left w:val="nil"/>
              <w:bottom w:val="single" w:sz="4" w:space="0" w:color="002060"/>
              <w:right w:val="nil"/>
            </w:tcBorders>
            <w:tcMar>
              <w:top w:w="0" w:type="dxa"/>
              <w:left w:w="0" w:type="dxa"/>
              <w:bottom w:w="0" w:type="dxa"/>
              <w:right w:w="0" w:type="dxa"/>
            </w:tcMar>
          </w:tcPr>
          <w:p w14:paraId="683D443D" w14:textId="6EA976B0" w:rsidR="00727D3D" w:rsidRPr="00746266" w:rsidRDefault="00727D3D" w:rsidP="00727D3D">
            <w:pPr>
              <w:pStyle w:val="Tablebodytext"/>
              <w:ind w:left="142"/>
              <w:jc w:val="center"/>
              <w:rPr>
                <w:szCs w:val="20"/>
                <w:highlight w:val="yellow"/>
              </w:rPr>
            </w:pPr>
            <w:r>
              <w:rPr>
                <w:szCs w:val="20"/>
              </w:rPr>
              <w:t>92</w:t>
            </w:r>
          </w:p>
        </w:tc>
        <w:tc>
          <w:tcPr>
            <w:tcW w:w="722" w:type="pct"/>
            <w:tcBorders>
              <w:top w:val="single" w:sz="4" w:space="0" w:color="002060"/>
              <w:left w:val="nil"/>
              <w:bottom w:val="single" w:sz="4" w:space="0" w:color="002060"/>
              <w:right w:val="nil"/>
            </w:tcBorders>
            <w:shd w:val="clear" w:color="auto" w:fill="CCDBEA"/>
            <w:tcMar>
              <w:top w:w="0" w:type="dxa"/>
              <w:left w:w="0" w:type="dxa"/>
              <w:bottom w:w="0" w:type="dxa"/>
              <w:right w:w="0" w:type="dxa"/>
            </w:tcMar>
          </w:tcPr>
          <w:p w14:paraId="116FB7C6" w14:textId="763B41E2" w:rsidR="00727D3D" w:rsidRPr="00746266" w:rsidRDefault="00727D3D" w:rsidP="00727D3D">
            <w:pPr>
              <w:pStyle w:val="Tablebodytext"/>
              <w:ind w:left="142"/>
              <w:jc w:val="center"/>
              <w:rPr>
                <w:szCs w:val="20"/>
                <w:highlight w:val="yellow"/>
              </w:rPr>
            </w:pPr>
            <w:r>
              <w:rPr>
                <w:szCs w:val="20"/>
              </w:rPr>
              <w:t>40 (0.43)</w:t>
            </w:r>
          </w:p>
        </w:tc>
        <w:tc>
          <w:tcPr>
            <w:tcW w:w="623" w:type="pct"/>
            <w:tcBorders>
              <w:top w:val="single" w:sz="4" w:space="0" w:color="002060"/>
              <w:left w:val="nil"/>
              <w:bottom w:val="single" w:sz="4" w:space="0" w:color="002060"/>
              <w:right w:val="nil"/>
            </w:tcBorders>
            <w:tcMar>
              <w:top w:w="0" w:type="dxa"/>
              <w:left w:w="0" w:type="dxa"/>
              <w:bottom w:w="0" w:type="dxa"/>
              <w:right w:w="0" w:type="dxa"/>
            </w:tcMar>
          </w:tcPr>
          <w:p w14:paraId="05E9D1B8" w14:textId="5A5B765B" w:rsidR="00727D3D" w:rsidRPr="00746266" w:rsidRDefault="00727D3D" w:rsidP="00727D3D">
            <w:pPr>
              <w:pStyle w:val="Tablebodytext"/>
              <w:ind w:left="142"/>
              <w:jc w:val="center"/>
              <w:rPr>
                <w:szCs w:val="20"/>
                <w:highlight w:val="yellow"/>
              </w:rPr>
            </w:pPr>
            <w:r>
              <w:rPr>
                <w:szCs w:val="20"/>
              </w:rPr>
              <w:t>9 (0.10)</w:t>
            </w:r>
          </w:p>
        </w:tc>
        <w:tc>
          <w:tcPr>
            <w:tcW w:w="63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tcPr>
          <w:p w14:paraId="761F2874" w14:textId="01D8799F" w:rsidR="00727D3D" w:rsidRPr="00746266" w:rsidRDefault="00727D3D" w:rsidP="00727D3D">
            <w:pPr>
              <w:pStyle w:val="Tablebodytext"/>
              <w:ind w:left="142"/>
              <w:jc w:val="center"/>
              <w:rPr>
                <w:szCs w:val="20"/>
                <w:highlight w:val="yellow"/>
              </w:rPr>
            </w:pPr>
            <w:r>
              <w:rPr>
                <w:szCs w:val="20"/>
              </w:rPr>
              <w:t>18 (0.20)</w:t>
            </w:r>
          </w:p>
        </w:tc>
        <w:tc>
          <w:tcPr>
            <w:tcW w:w="568" w:type="pct"/>
            <w:tcBorders>
              <w:top w:val="single" w:sz="4" w:space="0" w:color="002060"/>
              <w:left w:val="nil"/>
              <w:bottom w:val="single" w:sz="4" w:space="0" w:color="002060"/>
              <w:right w:val="nil"/>
            </w:tcBorders>
            <w:tcMar>
              <w:top w:w="0" w:type="dxa"/>
              <w:left w:w="0" w:type="dxa"/>
              <w:bottom w:w="0" w:type="dxa"/>
              <w:right w:w="0" w:type="dxa"/>
            </w:tcMar>
          </w:tcPr>
          <w:p w14:paraId="245FD537" w14:textId="68BE8633" w:rsidR="00727D3D" w:rsidRPr="00746266" w:rsidRDefault="00727D3D" w:rsidP="00727D3D">
            <w:pPr>
              <w:pStyle w:val="Tablebodytext"/>
              <w:ind w:left="142"/>
              <w:jc w:val="center"/>
              <w:rPr>
                <w:szCs w:val="20"/>
                <w:highlight w:val="yellow"/>
              </w:rPr>
            </w:pPr>
            <w:r>
              <w:rPr>
                <w:szCs w:val="20"/>
              </w:rPr>
              <w:t>58</w:t>
            </w:r>
          </w:p>
        </w:tc>
        <w:tc>
          <w:tcPr>
            <w:tcW w:w="574" w:type="pct"/>
            <w:tcBorders>
              <w:top w:val="single" w:sz="4" w:space="0" w:color="002060"/>
              <w:left w:val="nil"/>
              <w:bottom w:val="single" w:sz="4" w:space="0" w:color="002060"/>
              <w:right w:val="nil"/>
            </w:tcBorders>
            <w:shd w:val="clear" w:color="auto" w:fill="CCDBEA"/>
            <w:tcMar>
              <w:top w:w="0" w:type="dxa"/>
              <w:left w:w="0" w:type="dxa"/>
              <w:bottom w:w="0" w:type="dxa"/>
              <w:right w:w="0" w:type="dxa"/>
            </w:tcMar>
          </w:tcPr>
          <w:p w14:paraId="0B836830" w14:textId="62353C3A" w:rsidR="00727D3D" w:rsidRPr="00746266" w:rsidRDefault="00727D3D" w:rsidP="00727D3D">
            <w:pPr>
              <w:pStyle w:val="Tablebodytext"/>
              <w:ind w:left="142"/>
              <w:jc w:val="center"/>
              <w:rPr>
                <w:szCs w:val="20"/>
                <w:highlight w:val="yellow"/>
              </w:rPr>
            </w:pPr>
            <w:r>
              <w:rPr>
                <w:szCs w:val="20"/>
              </w:rPr>
              <w:t>9</w:t>
            </w:r>
          </w:p>
        </w:tc>
      </w:tr>
      <w:tr w:rsidR="00727D3D" w:rsidRPr="0085669F" w14:paraId="12920B61" w14:textId="77777777" w:rsidTr="006D610D">
        <w:tc>
          <w:tcPr>
            <w:tcW w:w="685" w:type="pct"/>
            <w:tcBorders>
              <w:top w:val="single" w:sz="4" w:space="0" w:color="002060"/>
              <w:bottom w:val="single" w:sz="4" w:space="0" w:color="002060"/>
            </w:tcBorders>
            <w:tcMar>
              <w:top w:w="0" w:type="dxa"/>
              <w:left w:w="0" w:type="dxa"/>
              <w:bottom w:w="0" w:type="dxa"/>
              <w:right w:w="0" w:type="dxa"/>
            </w:tcMar>
            <w:vAlign w:val="center"/>
            <w:hideMark/>
          </w:tcPr>
          <w:p w14:paraId="23C17D2C" w14:textId="55F807E1" w:rsidR="00727D3D" w:rsidRPr="0034522D" w:rsidRDefault="00727D3D" w:rsidP="00727D3D">
            <w:pPr>
              <w:pStyle w:val="Tablebodytext"/>
              <w:ind w:left="142"/>
              <w:rPr>
                <w:szCs w:val="20"/>
              </w:rPr>
            </w:pPr>
            <w:r w:rsidRPr="00943101">
              <w:rPr>
                <w:szCs w:val="20"/>
              </w:rPr>
              <w:t>2007–20</w:t>
            </w:r>
            <w:r w:rsidRPr="0034522D">
              <w:rPr>
                <w:szCs w:val="20"/>
              </w:rPr>
              <w:t>09</w:t>
            </w:r>
            <w:r>
              <w:rPr>
                <w:szCs w:val="20"/>
              </w:rPr>
              <w:t>*</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50EBB5A9" w14:textId="3B06253B" w:rsidR="00727D3D" w:rsidRPr="00B90A19" w:rsidRDefault="00727D3D" w:rsidP="00727D3D">
            <w:pPr>
              <w:pStyle w:val="Tablebodytext"/>
              <w:ind w:left="-218"/>
              <w:jc w:val="center"/>
              <w:rPr>
                <w:szCs w:val="20"/>
              </w:rPr>
            </w:pPr>
            <w:r w:rsidRPr="00B90A19">
              <w:rPr>
                <w:szCs w:val="20"/>
              </w:rPr>
              <w:t>All</w:t>
            </w:r>
          </w:p>
        </w:tc>
        <w:tc>
          <w:tcPr>
            <w:tcW w:w="563" w:type="pct"/>
            <w:tcBorders>
              <w:top w:val="single" w:sz="4" w:space="0" w:color="002060"/>
              <w:bottom w:val="single" w:sz="4" w:space="0" w:color="002060"/>
            </w:tcBorders>
            <w:tcMar>
              <w:top w:w="0" w:type="dxa"/>
              <w:left w:w="0" w:type="dxa"/>
              <w:bottom w:w="0" w:type="dxa"/>
              <w:right w:w="0" w:type="dxa"/>
            </w:tcMar>
            <w:vAlign w:val="bottom"/>
            <w:hideMark/>
          </w:tcPr>
          <w:p w14:paraId="7DA4E277" w14:textId="256B743A" w:rsidR="00727D3D" w:rsidRPr="0085669F" w:rsidRDefault="00727D3D" w:rsidP="00727D3D">
            <w:pPr>
              <w:pStyle w:val="Tablebodytext"/>
              <w:ind w:left="142"/>
              <w:jc w:val="center"/>
              <w:rPr>
                <w:szCs w:val="20"/>
              </w:rPr>
            </w:pPr>
            <w:r>
              <w:rPr>
                <w:rFonts w:ascii="Aptos Narrow" w:hAnsi="Aptos Narrow"/>
                <w:color w:val="000000"/>
                <w:sz w:val="22"/>
                <w:szCs w:val="22"/>
              </w:rPr>
              <w:t>70.0</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vAlign w:val="bottom"/>
            <w:hideMark/>
          </w:tcPr>
          <w:p w14:paraId="3990F9C6" w14:textId="620EA587" w:rsidR="00727D3D" w:rsidRPr="0085669F" w:rsidRDefault="00727D3D" w:rsidP="00727D3D">
            <w:pPr>
              <w:pStyle w:val="Tablebodytext"/>
              <w:ind w:left="142"/>
              <w:jc w:val="center"/>
              <w:rPr>
                <w:szCs w:val="20"/>
              </w:rPr>
            </w:pPr>
            <w:r>
              <w:rPr>
                <w:rFonts w:ascii="Aptos Narrow" w:hAnsi="Aptos Narrow"/>
                <w:color w:val="000000"/>
                <w:sz w:val="22"/>
                <w:szCs w:val="22"/>
              </w:rPr>
              <w:t>11.7 (0.17)</w:t>
            </w:r>
          </w:p>
        </w:tc>
        <w:tc>
          <w:tcPr>
            <w:tcW w:w="623" w:type="pct"/>
            <w:tcBorders>
              <w:top w:val="single" w:sz="4" w:space="0" w:color="002060"/>
              <w:bottom w:val="single" w:sz="4" w:space="0" w:color="002060"/>
            </w:tcBorders>
            <w:tcMar>
              <w:top w:w="0" w:type="dxa"/>
              <w:left w:w="0" w:type="dxa"/>
              <w:bottom w:w="0" w:type="dxa"/>
              <w:right w:w="0" w:type="dxa"/>
            </w:tcMar>
            <w:vAlign w:val="bottom"/>
            <w:hideMark/>
          </w:tcPr>
          <w:p w14:paraId="09CAF53A" w14:textId="4A839DDB" w:rsidR="00727D3D" w:rsidRPr="0085669F" w:rsidRDefault="00727D3D" w:rsidP="00727D3D">
            <w:pPr>
              <w:pStyle w:val="Tablebodytext"/>
              <w:ind w:left="142"/>
              <w:jc w:val="center"/>
              <w:rPr>
                <w:szCs w:val="20"/>
              </w:rPr>
            </w:pPr>
            <w:r>
              <w:rPr>
                <w:rFonts w:ascii="Aptos Narrow" w:hAnsi="Aptos Narrow"/>
                <w:color w:val="000000"/>
                <w:sz w:val="22"/>
                <w:szCs w:val="22"/>
              </w:rPr>
              <w:t>9.3 (0.13)</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vAlign w:val="bottom"/>
            <w:hideMark/>
          </w:tcPr>
          <w:p w14:paraId="4A2E72CF" w14:textId="113D7FC4" w:rsidR="00727D3D" w:rsidRPr="0085669F" w:rsidRDefault="00727D3D" w:rsidP="00727D3D">
            <w:pPr>
              <w:pStyle w:val="Tablebodytext"/>
              <w:ind w:left="142"/>
              <w:jc w:val="center"/>
              <w:rPr>
                <w:szCs w:val="20"/>
              </w:rPr>
            </w:pPr>
            <w:r>
              <w:rPr>
                <w:rFonts w:ascii="Aptos Narrow" w:hAnsi="Aptos Narrow"/>
                <w:color w:val="000000"/>
                <w:sz w:val="22"/>
                <w:szCs w:val="22"/>
              </w:rPr>
              <w:t>12 (0.17)</w:t>
            </w:r>
          </w:p>
        </w:tc>
        <w:tc>
          <w:tcPr>
            <w:tcW w:w="568" w:type="pct"/>
            <w:tcBorders>
              <w:top w:val="single" w:sz="4" w:space="0" w:color="002060"/>
              <w:bottom w:val="single" w:sz="4" w:space="0" w:color="002060"/>
            </w:tcBorders>
            <w:tcMar>
              <w:top w:w="0" w:type="dxa"/>
              <w:left w:w="0" w:type="dxa"/>
              <w:bottom w:w="0" w:type="dxa"/>
              <w:right w:w="0" w:type="dxa"/>
            </w:tcMar>
            <w:vAlign w:val="bottom"/>
            <w:hideMark/>
          </w:tcPr>
          <w:p w14:paraId="72F746A3" w14:textId="6846EFF8" w:rsidR="00727D3D" w:rsidRPr="0085669F" w:rsidRDefault="00727D3D" w:rsidP="00727D3D">
            <w:pPr>
              <w:pStyle w:val="Tablebodytext"/>
              <w:ind w:left="142"/>
              <w:jc w:val="center"/>
              <w:rPr>
                <w:szCs w:val="20"/>
              </w:rPr>
            </w:pPr>
            <w:r>
              <w:rPr>
                <w:rFonts w:ascii="Aptos Narrow" w:hAnsi="Aptos Narrow"/>
                <w:color w:val="000000"/>
                <w:sz w:val="22"/>
                <w:szCs w:val="22"/>
              </w:rPr>
              <w:t>52</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vAlign w:val="bottom"/>
            <w:hideMark/>
          </w:tcPr>
          <w:p w14:paraId="135DDA72" w14:textId="7A0EC82E" w:rsidR="00727D3D" w:rsidRPr="0085669F" w:rsidRDefault="00727D3D" w:rsidP="00727D3D">
            <w:pPr>
              <w:pStyle w:val="Tablebodytext"/>
              <w:ind w:left="142"/>
              <w:jc w:val="center"/>
              <w:rPr>
                <w:szCs w:val="20"/>
              </w:rPr>
            </w:pPr>
            <w:r>
              <w:rPr>
                <w:rFonts w:ascii="Aptos Narrow" w:hAnsi="Aptos Narrow"/>
                <w:color w:val="000000"/>
                <w:sz w:val="22"/>
                <w:szCs w:val="22"/>
              </w:rPr>
              <w:t>3</w:t>
            </w:r>
          </w:p>
        </w:tc>
      </w:tr>
      <w:tr w:rsidR="00727D3D" w:rsidRPr="0085669F" w14:paraId="740CEE97" w14:textId="77777777" w:rsidTr="006D610D">
        <w:tc>
          <w:tcPr>
            <w:tcW w:w="685" w:type="pct"/>
            <w:tcBorders>
              <w:top w:val="single" w:sz="4" w:space="0" w:color="002060"/>
              <w:bottom w:val="single" w:sz="4" w:space="0" w:color="002060"/>
            </w:tcBorders>
            <w:tcMar>
              <w:top w:w="0" w:type="dxa"/>
              <w:left w:w="0" w:type="dxa"/>
              <w:bottom w:w="0" w:type="dxa"/>
              <w:right w:w="0" w:type="dxa"/>
            </w:tcMar>
            <w:vAlign w:val="center"/>
            <w:hideMark/>
          </w:tcPr>
          <w:p w14:paraId="07CB320D" w14:textId="5B540C76" w:rsidR="00727D3D" w:rsidRPr="00746266" w:rsidRDefault="00727D3D" w:rsidP="00727D3D">
            <w:pPr>
              <w:pStyle w:val="Tablebodytext"/>
              <w:ind w:left="142"/>
              <w:rPr>
                <w:szCs w:val="20"/>
                <w:highlight w:val="yellow"/>
              </w:rPr>
            </w:pPr>
            <w:r w:rsidRPr="00FF1875">
              <w:rPr>
                <w:szCs w:val="20"/>
              </w:rPr>
              <w:t>2020–2024</w:t>
            </w:r>
            <w:r>
              <w:rPr>
                <w:szCs w:val="20"/>
              </w:rPr>
              <w:t>*</w:t>
            </w:r>
          </w:p>
        </w:tc>
        <w:tc>
          <w:tcPr>
            <w:tcW w:w="631" w:type="pct"/>
            <w:tcBorders>
              <w:top w:val="single" w:sz="4" w:space="0" w:color="002060"/>
              <w:bottom w:val="single" w:sz="4" w:space="0" w:color="002060"/>
            </w:tcBorders>
            <w:shd w:val="clear" w:color="auto" w:fill="CCDBEA"/>
            <w:tcMar>
              <w:top w:w="0" w:type="dxa"/>
              <w:left w:w="0" w:type="dxa"/>
              <w:bottom w:w="0" w:type="dxa"/>
              <w:right w:w="0" w:type="dxa"/>
            </w:tcMar>
            <w:hideMark/>
          </w:tcPr>
          <w:p w14:paraId="194BDDD7" w14:textId="367C0092" w:rsidR="00727D3D" w:rsidRPr="00746266" w:rsidRDefault="00727D3D" w:rsidP="00727D3D">
            <w:pPr>
              <w:pStyle w:val="Tablebodytext"/>
              <w:ind w:left="-218"/>
              <w:jc w:val="center"/>
              <w:rPr>
                <w:szCs w:val="20"/>
                <w:highlight w:val="yellow"/>
              </w:rPr>
            </w:pPr>
            <w:r w:rsidRPr="00FF1875">
              <w:rPr>
                <w:szCs w:val="20"/>
              </w:rPr>
              <w:t>All</w:t>
            </w:r>
          </w:p>
        </w:tc>
        <w:tc>
          <w:tcPr>
            <w:tcW w:w="563" w:type="pct"/>
            <w:tcBorders>
              <w:top w:val="single" w:sz="4" w:space="0" w:color="002060"/>
              <w:bottom w:val="single" w:sz="4" w:space="0" w:color="002060"/>
            </w:tcBorders>
            <w:tcMar>
              <w:top w:w="0" w:type="dxa"/>
              <w:left w:w="0" w:type="dxa"/>
              <w:bottom w:w="0" w:type="dxa"/>
              <w:right w:w="0" w:type="dxa"/>
            </w:tcMar>
            <w:vAlign w:val="bottom"/>
            <w:hideMark/>
          </w:tcPr>
          <w:p w14:paraId="0E8A2EAA" w14:textId="6E2964EC" w:rsidR="00727D3D" w:rsidRPr="00746266" w:rsidRDefault="00727D3D" w:rsidP="00727D3D">
            <w:pPr>
              <w:pStyle w:val="Tablebodytext"/>
              <w:ind w:left="142"/>
              <w:jc w:val="center"/>
              <w:rPr>
                <w:szCs w:val="20"/>
                <w:highlight w:val="yellow"/>
              </w:rPr>
            </w:pPr>
            <w:r>
              <w:rPr>
                <w:szCs w:val="20"/>
              </w:rPr>
              <w:t>129.8</w:t>
            </w:r>
          </w:p>
        </w:tc>
        <w:tc>
          <w:tcPr>
            <w:tcW w:w="722" w:type="pct"/>
            <w:tcBorders>
              <w:top w:val="single" w:sz="4" w:space="0" w:color="002060"/>
              <w:bottom w:val="single" w:sz="4" w:space="0" w:color="002060"/>
            </w:tcBorders>
            <w:shd w:val="clear" w:color="auto" w:fill="CCDBEA"/>
            <w:tcMar>
              <w:top w:w="0" w:type="dxa"/>
              <w:left w:w="0" w:type="dxa"/>
              <w:bottom w:w="0" w:type="dxa"/>
              <w:right w:w="0" w:type="dxa"/>
            </w:tcMar>
            <w:vAlign w:val="bottom"/>
            <w:hideMark/>
          </w:tcPr>
          <w:p w14:paraId="662CF404" w14:textId="4FD918E8" w:rsidR="00727D3D" w:rsidRPr="00746266" w:rsidRDefault="00727D3D" w:rsidP="00727D3D">
            <w:pPr>
              <w:pStyle w:val="Tablebodytext"/>
              <w:ind w:left="142"/>
              <w:jc w:val="center"/>
              <w:rPr>
                <w:szCs w:val="20"/>
                <w:highlight w:val="yellow"/>
              </w:rPr>
            </w:pPr>
            <w:r>
              <w:rPr>
                <w:rFonts w:ascii="Aptos Narrow" w:hAnsi="Aptos Narrow"/>
                <w:color w:val="000000"/>
                <w:sz w:val="22"/>
                <w:szCs w:val="22"/>
              </w:rPr>
              <w:t>53.8 (0.41)</w:t>
            </w:r>
          </w:p>
        </w:tc>
        <w:tc>
          <w:tcPr>
            <w:tcW w:w="623" w:type="pct"/>
            <w:tcBorders>
              <w:top w:val="single" w:sz="4" w:space="0" w:color="002060"/>
              <w:bottom w:val="single" w:sz="4" w:space="0" w:color="002060"/>
            </w:tcBorders>
            <w:tcMar>
              <w:top w:w="0" w:type="dxa"/>
              <w:left w:w="0" w:type="dxa"/>
              <w:bottom w:w="0" w:type="dxa"/>
              <w:right w:w="0" w:type="dxa"/>
            </w:tcMar>
            <w:vAlign w:val="bottom"/>
            <w:hideMark/>
          </w:tcPr>
          <w:p w14:paraId="659A297F" w14:textId="6D904E56" w:rsidR="00727D3D" w:rsidRPr="00746266" w:rsidRDefault="00727D3D" w:rsidP="00727D3D">
            <w:pPr>
              <w:pStyle w:val="Tablebodytext"/>
              <w:ind w:left="142"/>
              <w:jc w:val="center"/>
              <w:rPr>
                <w:szCs w:val="20"/>
                <w:highlight w:val="yellow"/>
              </w:rPr>
            </w:pPr>
            <w:r>
              <w:rPr>
                <w:rFonts w:ascii="Aptos Narrow" w:hAnsi="Aptos Narrow"/>
                <w:color w:val="000000"/>
                <w:sz w:val="22"/>
                <w:szCs w:val="22"/>
              </w:rPr>
              <w:t>7.0 (0.05)</w:t>
            </w:r>
          </w:p>
        </w:tc>
        <w:tc>
          <w:tcPr>
            <w:tcW w:w="634" w:type="pct"/>
            <w:tcBorders>
              <w:top w:val="single" w:sz="4" w:space="0" w:color="002060"/>
              <w:bottom w:val="single" w:sz="4" w:space="0" w:color="002060"/>
            </w:tcBorders>
            <w:shd w:val="clear" w:color="auto" w:fill="CCDBEA"/>
            <w:tcMar>
              <w:top w:w="0" w:type="dxa"/>
              <w:left w:w="0" w:type="dxa"/>
              <w:bottom w:w="0" w:type="dxa"/>
              <w:right w:w="0" w:type="dxa"/>
            </w:tcMar>
            <w:vAlign w:val="bottom"/>
            <w:hideMark/>
          </w:tcPr>
          <w:p w14:paraId="6636EA7D" w14:textId="0A491C8D" w:rsidR="00727D3D" w:rsidRPr="00746266" w:rsidRDefault="00727D3D" w:rsidP="00727D3D">
            <w:pPr>
              <w:pStyle w:val="Tablebodytext"/>
              <w:ind w:left="142"/>
              <w:jc w:val="center"/>
              <w:rPr>
                <w:szCs w:val="20"/>
                <w:highlight w:val="yellow"/>
              </w:rPr>
            </w:pPr>
            <w:r>
              <w:rPr>
                <w:rFonts w:ascii="Aptos Narrow" w:hAnsi="Aptos Narrow"/>
                <w:color w:val="000000"/>
                <w:sz w:val="22"/>
                <w:szCs w:val="22"/>
              </w:rPr>
              <w:t>27.2 (0.21)</w:t>
            </w:r>
          </w:p>
        </w:tc>
        <w:tc>
          <w:tcPr>
            <w:tcW w:w="568" w:type="pct"/>
            <w:tcBorders>
              <w:top w:val="single" w:sz="4" w:space="0" w:color="002060"/>
              <w:bottom w:val="single" w:sz="4" w:space="0" w:color="002060"/>
            </w:tcBorders>
            <w:tcMar>
              <w:top w:w="0" w:type="dxa"/>
              <w:left w:w="0" w:type="dxa"/>
              <w:bottom w:w="0" w:type="dxa"/>
              <w:right w:w="0" w:type="dxa"/>
            </w:tcMar>
            <w:vAlign w:val="bottom"/>
            <w:hideMark/>
          </w:tcPr>
          <w:p w14:paraId="63CEB931" w14:textId="6CB4C7EE" w:rsidR="00727D3D" w:rsidRPr="00746266" w:rsidRDefault="00727D3D" w:rsidP="00727D3D">
            <w:pPr>
              <w:pStyle w:val="Tablebodytext"/>
              <w:ind w:left="142"/>
              <w:jc w:val="center"/>
              <w:rPr>
                <w:szCs w:val="20"/>
                <w:highlight w:val="yellow"/>
              </w:rPr>
            </w:pPr>
            <w:r>
              <w:rPr>
                <w:rFonts w:ascii="Aptos Narrow" w:hAnsi="Aptos Narrow"/>
                <w:color w:val="000000"/>
                <w:sz w:val="22"/>
                <w:szCs w:val="22"/>
              </w:rPr>
              <w:t>61</w:t>
            </w:r>
          </w:p>
        </w:tc>
        <w:tc>
          <w:tcPr>
            <w:tcW w:w="574" w:type="pct"/>
            <w:tcBorders>
              <w:top w:val="single" w:sz="4" w:space="0" w:color="002060"/>
              <w:bottom w:val="single" w:sz="4" w:space="0" w:color="002060"/>
            </w:tcBorders>
            <w:shd w:val="clear" w:color="auto" w:fill="CCDBEA"/>
            <w:tcMar>
              <w:top w:w="0" w:type="dxa"/>
              <w:left w:w="0" w:type="dxa"/>
              <w:bottom w:w="0" w:type="dxa"/>
              <w:right w:w="0" w:type="dxa"/>
            </w:tcMar>
            <w:vAlign w:val="bottom"/>
            <w:hideMark/>
          </w:tcPr>
          <w:p w14:paraId="0CA36957" w14:textId="7D0B4206" w:rsidR="00727D3D" w:rsidRPr="00746266" w:rsidRDefault="00727D3D" w:rsidP="00727D3D">
            <w:pPr>
              <w:pStyle w:val="Tablebodytext"/>
              <w:ind w:left="142"/>
              <w:jc w:val="center"/>
              <w:rPr>
                <w:szCs w:val="20"/>
                <w:highlight w:val="yellow"/>
              </w:rPr>
            </w:pPr>
            <w:r>
              <w:rPr>
                <w:rFonts w:ascii="Aptos Narrow" w:hAnsi="Aptos Narrow"/>
                <w:color w:val="000000"/>
                <w:sz w:val="22"/>
                <w:szCs w:val="22"/>
              </w:rPr>
              <w:t>8</w:t>
            </w:r>
          </w:p>
        </w:tc>
      </w:tr>
    </w:tbl>
    <w:bookmarkEnd w:id="58"/>
    <w:p w14:paraId="334ECADB" w14:textId="77777777" w:rsidR="00A55D41" w:rsidRPr="00A55D41" w:rsidRDefault="00A55D41" w:rsidP="00A55D41">
      <w:pPr>
        <w:pStyle w:val="Captionfootnote"/>
        <w:rPr>
          <w:sz w:val="18"/>
          <w:szCs w:val="22"/>
        </w:rPr>
      </w:pPr>
      <w:r w:rsidRPr="00A55D41">
        <w:rPr>
          <w:sz w:val="18"/>
          <w:szCs w:val="22"/>
        </w:rPr>
        <w:t>HDM: Habitat Distribution Model. Values for mean HDM and mean time since fire are for sampled sites.</w:t>
      </w:r>
    </w:p>
    <w:p w14:paraId="343B7BAA" w14:textId="569D088F" w:rsidR="002B4D3D" w:rsidRDefault="00A55D41" w:rsidP="00544ADA">
      <w:pPr>
        <w:pStyle w:val="Heading2-Numbered"/>
      </w:pPr>
      <w:bookmarkStart w:id="60" w:name="_Toc192146586"/>
      <w:r>
        <w:t>Statistical analysis</w:t>
      </w:r>
      <w:bookmarkEnd w:id="60"/>
    </w:p>
    <w:p w14:paraId="1340F937" w14:textId="369195BF" w:rsidR="00727D3D" w:rsidRDefault="00727D3D" w:rsidP="00727D3D">
      <w:r>
        <w:t xml:space="preserve">Here we present updated results for the statistical models presented in Robley et al 2023, which estimate temporal trends and occupancy-covariate relationships for five species of interest: Long-footed Potoroo, Long-nosed Bandicoot, Superb Lyrebird, </w:t>
      </w:r>
      <w:r w:rsidR="005C48EF">
        <w:t>foxes</w:t>
      </w:r>
      <w:r>
        <w:t xml:space="preserve"> and </w:t>
      </w:r>
      <w:r w:rsidR="009E0FAB">
        <w:t>f</w:t>
      </w:r>
      <w:r>
        <w:t xml:space="preserve">eral </w:t>
      </w:r>
      <w:r w:rsidR="009E0FAB">
        <w:t>c</w:t>
      </w:r>
      <w:r>
        <w:t>ats. All trend and best-supported covariate models presented in Robley et al 2023 were re-fitted with data up to 2024 (see Robley et al. 2023 for a full description of the modelling methods, including Bayesian model selection</w:t>
      </w:r>
      <w:r w:rsidR="005F4DF7">
        <w:t>,</w:t>
      </w:r>
      <w:r>
        <w:t xml:space="preserve"> to identify ‘best-supported’ covariate models).</w:t>
      </w:r>
    </w:p>
    <w:p w14:paraId="353A2E38" w14:textId="2DA2F63D" w:rsidR="00B958D4" w:rsidRPr="002B4D3D" w:rsidRDefault="00727D3D" w:rsidP="00727D3D">
      <w:r>
        <w:t>For Long-footed Potoroo</w:t>
      </w:r>
      <w:r w:rsidR="005F4DF7">
        <w:t>s,</w:t>
      </w:r>
      <w:r>
        <w:t xml:space="preserve"> we fitted an additional covariate model</w:t>
      </w:r>
      <w:r w:rsidR="005F4DF7">
        <w:t>,</w:t>
      </w:r>
      <w:r>
        <w:t xml:space="preserve"> using a continuous measure of baiting intensity, which allowed us to map predicted occupancy probabilities across the study area through time. Details are provided below in </w:t>
      </w:r>
      <w:r w:rsidR="005F4DF7">
        <w:t xml:space="preserve">the </w:t>
      </w:r>
      <w:r>
        <w:t>Results section.</w:t>
      </w:r>
    </w:p>
    <w:p w14:paraId="192DC92B" w14:textId="11D3B2B1" w:rsidR="005C6DA3" w:rsidRPr="00243764" w:rsidRDefault="00A55D41" w:rsidP="005C6DA3">
      <w:pPr>
        <w:pStyle w:val="Heading3-Numbered"/>
      </w:pPr>
      <w:bookmarkStart w:id="61" w:name="_Toc192146587"/>
      <w:r>
        <w:t>Occupancy modelling</w:t>
      </w:r>
      <w:bookmarkEnd w:id="61"/>
    </w:p>
    <w:p w14:paraId="030C507A" w14:textId="0C4A6E19" w:rsidR="00472A0C" w:rsidRDefault="00FE3F16" w:rsidP="00472A0C">
      <w:r>
        <w:t xml:space="preserve">The study employed the </w:t>
      </w:r>
      <w:r w:rsidR="005F4DF7">
        <w:t>O</w:t>
      </w:r>
      <w:r>
        <w:t xml:space="preserve">ccupancy </w:t>
      </w:r>
      <w:r w:rsidR="005F4DF7">
        <w:t>M</w:t>
      </w:r>
      <w:r>
        <w:t xml:space="preserve">odel </w:t>
      </w:r>
      <w:r w:rsidR="005F4DF7">
        <w:t>F</w:t>
      </w:r>
      <w:r>
        <w:t>ramework of MacKenzie et al. (2017) to analyse the distribution of Long-footed Potoroos and two feral predators, foxes and feral cats, while accounting for imperfect detection. This framework estimates both the probability of species occurrence (presence) and the probability of detecting a species when present (detectability)</w:t>
      </w:r>
      <w:r w:rsidR="005F4DF7">
        <w:t>,</w:t>
      </w:r>
      <w:r>
        <w:t xml:space="preserve"> based on observed detection histories from repeated surveys</w:t>
      </w:r>
      <w:r w:rsidR="00472A0C">
        <w:t>.</w:t>
      </w:r>
    </w:p>
    <w:p w14:paraId="0A7801E9" w14:textId="2ED975EF" w:rsidR="00472A0C" w:rsidRDefault="00472A0C" w:rsidP="00472A0C">
      <w:r>
        <w:t>Occurrence and detectability can be influenced by various factors and modelled as functions of covariates. Detectability estimates assume "closure", meaning species do not move in or out of sites within a survey season (duration of camera deployment). When this assumption is violated, occupancy models estimate the probability of site visitation within a season and the probability of detecting a species at a visited site, termed the "detection rate."</w:t>
      </w:r>
    </w:p>
    <w:p w14:paraId="2332B6E9" w14:textId="398DDC7B" w:rsidR="003C3A49" w:rsidRDefault="00472A0C" w:rsidP="00472A0C">
      <w:r>
        <w:lastRenderedPageBreak/>
        <w:t xml:space="preserve">For Long-footed Potoroos, </w:t>
      </w:r>
      <w:r w:rsidR="000A1992">
        <w:t xml:space="preserve">we assumed population </w:t>
      </w:r>
      <w:r>
        <w:t>closure, interpreting occupancy as the proportion of sites occupied for the duration of the survey period. For foxes and feral cats, closure was not assumed, interpreting occupancy as the proportion of sites visited during the survey period. The term "occurrence" indicates the species was present for some (foxes and feral cats) or all (Long-footed Potoroo) of the annual spring survey.</w:t>
      </w:r>
    </w:p>
    <w:p w14:paraId="07E9D29F" w14:textId="77777777" w:rsidR="00A23DFB" w:rsidRPr="00A23DFB" w:rsidRDefault="00A23DFB" w:rsidP="00A23DFB">
      <w:pPr>
        <w:spacing w:before="240" w:line="276" w:lineRule="auto"/>
        <w:rPr>
          <w:i/>
          <w:iCs/>
          <w:szCs w:val="20"/>
        </w:rPr>
      </w:pPr>
      <w:r w:rsidRPr="00A23DFB">
        <w:rPr>
          <w:i/>
          <w:iCs/>
          <w:szCs w:val="20"/>
        </w:rPr>
        <w:t>Model structure</w:t>
      </w:r>
    </w:p>
    <w:p w14:paraId="1657A593" w14:textId="62EEC1A6" w:rsidR="00A26DED" w:rsidRPr="00CF28BE" w:rsidRDefault="00472A0C" w:rsidP="00CF28BE">
      <w:pPr>
        <w:rPr>
          <w:shd w:val="clear" w:color="auto" w:fill="FFFFFF"/>
        </w:rPr>
      </w:pPr>
      <w:r w:rsidRPr="00CF28BE">
        <w:rPr>
          <w:shd w:val="clear" w:color="auto" w:fill="FFFFFF"/>
        </w:rPr>
        <w:t xml:space="preserve">We used camera traps in two fox baiting </w:t>
      </w:r>
      <w:r w:rsidR="00A26DED" w:rsidRPr="00CF28BE">
        <w:rPr>
          <w:shd w:val="clear" w:color="auto" w:fill="FFFFFF"/>
        </w:rPr>
        <w:t>“</w:t>
      </w:r>
      <w:r w:rsidR="00A3627D">
        <w:rPr>
          <w:shd w:val="clear" w:color="auto" w:fill="FFFFFF"/>
        </w:rPr>
        <w:t>t</w:t>
      </w:r>
      <w:r w:rsidR="00A26DED" w:rsidRPr="00CF28BE">
        <w:rPr>
          <w:shd w:val="clear" w:color="auto" w:fill="FFFFFF"/>
        </w:rPr>
        <w:t xml:space="preserve">reatment” </w:t>
      </w:r>
      <w:r w:rsidRPr="00CF28BE">
        <w:rPr>
          <w:shd w:val="clear" w:color="auto" w:fill="FFFFFF"/>
        </w:rPr>
        <w:t>zones</w:t>
      </w:r>
      <w:r w:rsidR="00A26DED" w:rsidRPr="00CF28BE">
        <w:rPr>
          <w:shd w:val="clear" w:color="auto" w:fill="FFFFFF"/>
        </w:rPr>
        <w:t xml:space="preserve">: the </w:t>
      </w:r>
      <w:r w:rsidR="00A26DED" w:rsidRPr="00CF28BE">
        <w:rPr>
          <w:i/>
          <w:iCs/>
          <w:szCs w:val="20"/>
        </w:rPr>
        <w:t>Core</w:t>
      </w:r>
      <w:r w:rsidR="00A26DED" w:rsidRPr="00CF28BE">
        <w:rPr>
          <w:szCs w:val="20"/>
        </w:rPr>
        <w:t xml:space="preserve"> baiting zone (baited since 2004) or the </w:t>
      </w:r>
      <w:r w:rsidR="00A26DED" w:rsidRPr="00CF28BE">
        <w:rPr>
          <w:i/>
          <w:szCs w:val="20"/>
        </w:rPr>
        <w:t>Expansion</w:t>
      </w:r>
      <w:r w:rsidR="00A26DED" w:rsidRPr="00CF28BE">
        <w:rPr>
          <w:szCs w:val="20"/>
        </w:rPr>
        <w:t xml:space="preserve"> baiting zone (baited since December 2021 only) </w:t>
      </w:r>
      <w:r w:rsidRPr="00CF28BE">
        <w:rPr>
          <w:shd w:val="clear" w:color="auto" w:fill="FFFFFF"/>
        </w:rPr>
        <w:t xml:space="preserve">to monitor the presence of Long-footed Potoroos, foxes and feral cats. </w:t>
      </w:r>
    </w:p>
    <w:p w14:paraId="2C2BA95C" w14:textId="7C87E6A7" w:rsidR="000A1992" w:rsidRDefault="00DC324D" w:rsidP="00CF28BE">
      <w:r w:rsidRPr="06DFE9EB">
        <w:t xml:space="preserve">First, we fitted a </w:t>
      </w:r>
      <w:r w:rsidR="00C47AA1">
        <w:t>basic model</w:t>
      </w:r>
      <w:r w:rsidR="000A1992">
        <w:t xml:space="preserve"> </w:t>
      </w:r>
      <w:r w:rsidR="000A1992" w:rsidRPr="00EB01B4">
        <w:t>to look for trends over time</w:t>
      </w:r>
      <w:r w:rsidRPr="00EB01B4">
        <w:t xml:space="preserve">, comparing species occupancy between </w:t>
      </w:r>
      <w:r w:rsidR="005D48CD" w:rsidRPr="00EB01B4">
        <w:t xml:space="preserve">the </w:t>
      </w:r>
      <w:r w:rsidRPr="00EB01B4">
        <w:rPr>
          <w:i/>
        </w:rPr>
        <w:t>Core</w:t>
      </w:r>
      <w:r w:rsidRPr="00EB01B4">
        <w:t xml:space="preserve"> and </w:t>
      </w:r>
      <w:r w:rsidRPr="00EB01B4">
        <w:rPr>
          <w:i/>
        </w:rPr>
        <w:t>Expansion</w:t>
      </w:r>
      <w:r w:rsidRPr="00EB01B4">
        <w:t xml:space="preserve"> zones </w:t>
      </w:r>
      <w:r w:rsidR="005D48CD" w:rsidRPr="00EB01B4">
        <w:t xml:space="preserve">and </w:t>
      </w:r>
      <w:r w:rsidRPr="00EB01B4">
        <w:t>to estimate the</w:t>
      </w:r>
      <w:r w:rsidRPr="00EB01B4">
        <w:rPr>
          <w:szCs w:val="20"/>
        </w:rPr>
        <w:t xml:space="preserve"> </w:t>
      </w:r>
      <w:r w:rsidR="00A26DED" w:rsidRPr="00EB01B4">
        <w:t>trends in occupancy within zones.</w:t>
      </w:r>
      <w:r w:rsidR="00A26DED" w:rsidRPr="00EB01B4">
        <w:rPr>
          <w:shd w:val="clear" w:color="auto" w:fill="FFFFFF"/>
        </w:rPr>
        <w:t xml:space="preserve"> </w:t>
      </w:r>
      <w:r w:rsidR="00A26DED" w:rsidRPr="00EB01B4">
        <w:t>To test for a change in trend</w:t>
      </w:r>
      <w:r w:rsidR="00371721">
        <w:t>,</w:t>
      </w:r>
      <w:r w:rsidR="00A26DED" w:rsidRPr="00EB01B4">
        <w:t xml:space="preserve"> following the expansion of baiting in 202</w:t>
      </w:r>
      <w:r w:rsidR="00EB01B4" w:rsidRPr="00EB01B4">
        <w:t>1</w:t>
      </w:r>
      <w:r w:rsidR="00A26DED" w:rsidRPr="00EB01B4">
        <w:t xml:space="preserve">, the </w:t>
      </w:r>
      <w:r w:rsidR="00C47AA1" w:rsidRPr="00EB01B4">
        <w:t>basic trend model</w:t>
      </w:r>
      <w:r w:rsidR="00A26DED" w:rsidRPr="00EB01B4">
        <w:t xml:space="preserve"> allowed for a change in any trend after 2021 (i.e. after baiting commenced) within the </w:t>
      </w:r>
      <w:r w:rsidR="00A26DED" w:rsidRPr="00EB01B4">
        <w:rPr>
          <w:i/>
        </w:rPr>
        <w:t>Expansion</w:t>
      </w:r>
      <w:r w:rsidR="00A26DED" w:rsidRPr="00EB01B4">
        <w:t xml:space="preserve"> zone.</w:t>
      </w:r>
      <w:r w:rsidR="00A26DED">
        <w:t xml:space="preserve"> </w:t>
      </w:r>
    </w:p>
    <w:p w14:paraId="36C1945E" w14:textId="17C51C04" w:rsidR="005D48CD" w:rsidRDefault="005D48CD" w:rsidP="00CF28BE">
      <w:r w:rsidRPr="005D48CD">
        <w:t>In the previous analysis (Robley et al. 2023)</w:t>
      </w:r>
      <w:r w:rsidR="00A26DED" w:rsidRPr="005D48CD">
        <w:t xml:space="preserve">, we used Bayesian variable selection (O’Hara and </w:t>
      </w:r>
      <w:r w:rsidR="00A26DED" w:rsidRPr="005D48CD">
        <w:rPr>
          <w:shd w:val="clear" w:color="auto" w:fill="FFFFFF"/>
        </w:rPr>
        <w:t>Sillanpää</w:t>
      </w:r>
      <w:r w:rsidR="00A26DED" w:rsidRPr="005D48CD">
        <w:t xml:space="preserve"> 2009) to identify the best predictors of Long-footed Potoroo </w:t>
      </w:r>
      <w:r w:rsidR="00433C6F" w:rsidRPr="005D48CD">
        <w:t xml:space="preserve">presence/occupancy </w:t>
      </w:r>
      <w:r w:rsidR="00A26DED" w:rsidRPr="005D48CD">
        <w:t xml:space="preserve">from a set of candidate variables related to habitat quality, fire and predators. </w:t>
      </w:r>
      <w:r w:rsidR="35A8A5CD" w:rsidRPr="005D48CD">
        <w:t>V</w:t>
      </w:r>
      <w:r w:rsidR="00A26DED" w:rsidRPr="005D48CD">
        <w:t xml:space="preserve">ariables with strong support as predictors </w:t>
      </w:r>
      <m:oMath>
        <m:r>
          <w:rPr>
            <w:rFonts w:ascii="Cambria Math" w:hAnsi="Cambria Math"/>
          </w:rPr>
          <m:t>(</m:t>
        </m:r>
        <m:func>
          <m:funcPr>
            <m:ctrlPr>
              <w:rPr>
                <w:rFonts w:ascii="Cambria Math" w:hAnsi="Cambria Math"/>
                <w:szCs w:val="20"/>
              </w:rPr>
            </m:ctrlPr>
          </m:funcPr>
          <m:fName>
            <m:r>
              <m:rPr>
                <m:sty m:val="p"/>
              </m:rPr>
              <w:rPr>
                <w:rFonts w:ascii="Cambria Math" w:hAnsi="Cambria Math"/>
                <w:szCs w:val="20"/>
              </w:rPr>
              <m:t>Pr</m:t>
            </m:r>
          </m:fName>
          <m:e>
            <m:d>
              <m:dPr>
                <m:ctrlPr>
                  <w:rPr>
                    <w:rFonts w:ascii="Cambria Math" w:hAnsi="Cambria Math"/>
                    <w:i/>
                    <w:szCs w:val="20"/>
                  </w:rPr>
                </m:ctrlPr>
              </m:dPr>
              <m:e>
                <m:sSub>
                  <m:sSubPr>
                    <m:ctrlPr>
                      <w:rPr>
                        <w:rFonts w:ascii="Cambria Math" w:hAnsi="Cambria Math"/>
                        <w:i/>
                        <w:szCs w:val="20"/>
                      </w:rPr>
                    </m:ctrlPr>
                  </m:sSubPr>
                  <m:e>
                    <m:r>
                      <w:rPr>
                        <w:rFonts w:ascii="Cambria Math" w:hAnsi="Cambria Math"/>
                        <w:szCs w:val="20"/>
                      </w:rPr>
                      <m:t>β</m:t>
                    </m:r>
                  </m:e>
                  <m:sub>
                    <m:r>
                      <w:rPr>
                        <w:rFonts w:ascii="Cambria Math" w:hAnsi="Cambria Math"/>
                        <w:szCs w:val="20"/>
                      </w:rPr>
                      <m:t>n</m:t>
                    </m:r>
                  </m:sub>
                </m:sSub>
                <m:r>
                  <w:rPr>
                    <w:rFonts w:ascii="Cambria Math" w:hAnsi="Cambria Math"/>
                    <w:szCs w:val="20"/>
                  </w:rPr>
                  <m:t>≠0</m:t>
                </m:r>
              </m:e>
            </m:d>
          </m:e>
        </m:func>
        <m:r>
          <w:rPr>
            <w:rFonts w:ascii="Cambria Math" w:hAnsi="Cambria Math"/>
            <w:szCs w:val="20"/>
          </w:rPr>
          <m:t>&gt;0.75)</m:t>
        </m:r>
      </m:oMath>
      <w:r w:rsidR="00A26DED" w:rsidRPr="005D48CD">
        <w:t xml:space="preserve"> </w:t>
      </w:r>
      <w:r w:rsidR="158D99BD" w:rsidRPr="005D48CD">
        <w:t xml:space="preserve">were included in </w:t>
      </w:r>
      <w:r w:rsidR="00A26DED" w:rsidRPr="005D48CD">
        <w:t>a full occupancy model</w:t>
      </w:r>
      <w:r w:rsidR="2BF12AFA" w:rsidRPr="005D48CD">
        <w:t xml:space="preserve"> (Best-supported Model)</w:t>
      </w:r>
      <w:r w:rsidR="00A26DED" w:rsidRPr="005D48CD">
        <w:t xml:space="preserve"> </w:t>
      </w:r>
      <w:r w:rsidR="6CBCA30D" w:rsidRPr="005D48CD">
        <w:t>that included a</w:t>
      </w:r>
      <w:r w:rsidR="00A26DED" w:rsidRPr="005D48CD">
        <w:t xml:space="preserve"> detectability </w:t>
      </w:r>
      <w:r w:rsidRPr="005D48CD">
        <w:t>sub model</w:t>
      </w:r>
      <w:r w:rsidR="00A26DED" w:rsidRPr="005D48CD">
        <w:t xml:space="preserve"> </w:t>
      </w:r>
      <w:r w:rsidR="2A7F2370" w:rsidRPr="005D48CD">
        <w:t>to estimate the effects of those variables</w:t>
      </w:r>
      <w:r w:rsidR="00371721">
        <w:t>,</w:t>
      </w:r>
      <w:r w:rsidR="2A7F2370" w:rsidRPr="005D48CD">
        <w:t xml:space="preserve"> </w:t>
      </w:r>
      <w:r w:rsidR="422AEBA1" w:rsidRPr="005D48CD">
        <w:t>while accounting for imperfection detection</w:t>
      </w:r>
      <w:r w:rsidR="3CAA8D8A" w:rsidRPr="005D48CD">
        <w:t>. Finally,</w:t>
      </w:r>
      <w:r w:rsidR="708C9FA0" w:rsidRPr="005D48CD">
        <w:t xml:space="preserve"> best supported variables were added to the </w:t>
      </w:r>
      <w:r w:rsidRPr="005D48CD">
        <w:t>basic t</w:t>
      </w:r>
      <w:r w:rsidR="708C9FA0" w:rsidRPr="005D48CD">
        <w:t>rend model to estimate</w:t>
      </w:r>
      <w:r w:rsidR="3CAA8D8A" w:rsidRPr="005D48CD">
        <w:t xml:space="preserve"> </w:t>
      </w:r>
      <w:r w:rsidR="1EDDDDC7" w:rsidRPr="005D48CD">
        <w:t>trends</w:t>
      </w:r>
      <w:r w:rsidRPr="005D48CD">
        <w:t xml:space="preserve"> that incorporated any significant covariates</w:t>
      </w:r>
      <w:r w:rsidR="2CB18824" w:rsidRPr="005D48CD">
        <w:t>.</w:t>
      </w:r>
      <w:r w:rsidR="2CB18824">
        <w:t xml:space="preserve"> </w:t>
      </w:r>
    </w:p>
    <w:p w14:paraId="1042B4E9" w14:textId="0FEA46E7" w:rsidR="00472A0C" w:rsidRPr="00A26DED" w:rsidRDefault="005D48CD" w:rsidP="00CF28BE">
      <w:pPr>
        <w:rPr>
          <w:highlight w:val="yellow"/>
          <w:shd w:val="clear" w:color="auto" w:fill="FFFFFF"/>
        </w:rPr>
      </w:pPr>
      <w:r>
        <w:t xml:space="preserve">This report updates the ‘best’ model’ from this previous analysis. </w:t>
      </w:r>
      <w:r w:rsidR="319E0357">
        <w:t>All</w:t>
      </w:r>
      <w:r w:rsidR="7424FC7F">
        <w:t xml:space="preserve"> </w:t>
      </w:r>
      <w:r w:rsidR="319E0357">
        <w:t>occupancy models (</w:t>
      </w:r>
      <w:r>
        <w:t xml:space="preserve">basic </w:t>
      </w:r>
      <w:r w:rsidR="319E0357">
        <w:t xml:space="preserve">trend and </w:t>
      </w:r>
      <w:r>
        <w:t>best</w:t>
      </w:r>
      <w:r w:rsidR="319E0357">
        <w:t xml:space="preserve">) included </w:t>
      </w:r>
      <w:r w:rsidR="319E0357" w:rsidRPr="00C24735">
        <w:rPr>
          <w:i/>
          <w:iCs/>
        </w:rPr>
        <w:t>site</w:t>
      </w:r>
      <w:r w:rsidR="319E0357">
        <w:t xml:space="preserve">, </w:t>
      </w:r>
      <w:r w:rsidR="319E0357" w:rsidRPr="00C24735">
        <w:rPr>
          <w:i/>
          <w:iCs/>
        </w:rPr>
        <w:t>area</w:t>
      </w:r>
      <w:r w:rsidR="319E0357">
        <w:t xml:space="preserve"> and </w:t>
      </w:r>
      <w:r w:rsidR="319E0357" w:rsidRPr="00C24735">
        <w:rPr>
          <w:i/>
          <w:iCs/>
        </w:rPr>
        <w:t>year</w:t>
      </w:r>
      <w:r w:rsidR="319E0357">
        <w:t xml:space="preserve"> random effects</w:t>
      </w:r>
      <w:r w:rsidR="25926D72">
        <w:t xml:space="preserve"> terms</w:t>
      </w:r>
      <w:r w:rsidR="319E0357">
        <w:t xml:space="preserve"> to account for </w:t>
      </w:r>
      <w:r w:rsidR="07D3AA7D">
        <w:t xml:space="preserve">the repeated sampling of sites among years and to capture </w:t>
      </w:r>
      <w:r w:rsidR="319E0357">
        <w:t xml:space="preserve">spatial and </w:t>
      </w:r>
      <w:r w:rsidR="1C4A5BA8">
        <w:t>temporal patterns not captured by covariates</w:t>
      </w:r>
      <w:r w:rsidR="4B4DB75B">
        <w:t xml:space="preserve"> or linear trend terms</w:t>
      </w:r>
      <w:r w:rsidR="2B6D3672">
        <w:t xml:space="preserve">. </w:t>
      </w:r>
    </w:p>
    <w:p w14:paraId="71EF85A3" w14:textId="77777777" w:rsidR="00A23DFB" w:rsidRPr="00A23DFB" w:rsidRDefault="00A23DFB" w:rsidP="00A23DFB">
      <w:pPr>
        <w:spacing w:before="240" w:line="276" w:lineRule="auto"/>
        <w:rPr>
          <w:i/>
          <w:iCs/>
          <w:szCs w:val="20"/>
        </w:rPr>
      </w:pPr>
      <w:r w:rsidRPr="00A23DFB">
        <w:rPr>
          <w:i/>
          <w:iCs/>
          <w:szCs w:val="20"/>
        </w:rPr>
        <w:t>Detectability submodels</w:t>
      </w:r>
    </w:p>
    <w:p w14:paraId="193C3B2E" w14:textId="62D66B0B" w:rsidR="001A6C98" w:rsidRDefault="001A6C98" w:rsidP="001A6C98">
      <w:pPr>
        <w:rPr>
          <w:shd w:val="clear" w:color="auto" w:fill="FFFFFF"/>
        </w:rPr>
      </w:pPr>
      <w:r>
        <w:rPr>
          <w:shd w:val="clear" w:color="auto" w:fill="FFFFFF"/>
        </w:rPr>
        <w:t>We assumed that the likelihood of detecting Long-footed Potoroos, foxes and feral cats remained consistent within each survey period but could change over longer timeframes and across different locations</w:t>
      </w:r>
      <w:r w:rsidR="00543CCC">
        <w:rPr>
          <w:shd w:val="clear" w:color="auto" w:fill="FFFFFF"/>
        </w:rPr>
        <w:t>,</w:t>
      </w:r>
      <w:r>
        <w:rPr>
          <w:shd w:val="clear" w:color="auto" w:fill="FFFFFF"/>
        </w:rPr>
        <w:t xml:space="preserve"> due to various environmental and methodological factors. For Long-footed Potoroos, we considered that factors affecting their presence could also affect how easily they were detected. We included time, treatment zone, </w:t>
      </w:r>
      <w:r w:rsidR="69DF2623">
        <w:t>and any habitat (e.g. HDM value) or predator</w:t>
      </w:r>
      <w:r w:rsidR="0EFF7E11">
        <w:t>-</w:t>
      </w:r>
      <w:r w:rsidR="69DF2623">
        <w:t xml:space="preserve">related </w:t>
      </w:r>
      <w:r w:rsidR="744E5D26">
        <w:t xml:space="preserve">(e.g. </w:t>
      </w:r>
      <w:r w:rsidR="005C48EF">
        <w:t>fox</w:t>
      </w:r>
      <w:r w:rsidR="744E5D26">
        <w:t xml:space="preserve"> presence) </w:t>
      </w:r>
      <w:r w:rsidR="69DF2623">
        <w:t>variable identified</w:t>
      </w:r>
      <w:r w:rsidR="00433C6F">
        <w:t xml:space="preserve"> as</w:t>
      </w:r>
      <w:r>
        <w:t xml:space="preserve"> </w:t>
      </w:r>
      <w:r w:rsidR="69DF2623">
        <w:t>a predictor of occupancy</w:t>
      </w:r>
      <w:r w:rsidR="00433C6F">
        <w:rPr>
          <w:shd w:val="clear" w:color="auto" w:fill="FFFFFF"/>
        </w:rPr>
        <w:t xml:space="preserve"> as</w:t>
      </w:r>
      <w:r>
        <w:rPr>
          <w:shd w:val="clear" w:color="auto" w:fill="FFFFFF"/>
        </w:rPr>
        <w:t xml:space="preserve"> potential influences on detectability. Additionally, we incorporated a binary indicator for the survey periods (2007-2009)</w:t>
      </w:r>
      <w:r w:rsidR="00543CCC">
        <w:rPr>
          <w:shd w:val="clear" w:color="auto" w:fill="FFFFFF"/>
        </w:rPr>
        <w:t>,</w:t>
      </w:r>
      <w:r>
        <w:rPr>
          <w:shd w:val="clear" w:color="auto" w:fill="FFFFFF"/>
        </w:rPr>
        <w:t xml:space="preserve"> to allow for differences in methods between survey periods and the number of cameras used, as these factors could affect detection rates. However, for foxes and feral cats, we only included variables related to survey periods and the number of cameras, as their detections were too sporadic to draw meaningful conclusions about other influences on detection rates.</w:t>
      </w:r>
    </w:p>
    <w:p w14:paraId="18A044E7" w14:textId="77777777" w:rsidR="001E3D6E" w:rsidRPr="00B90A19" w:rsidRDefault="001E3D6E" w:rsidP="001E3D6E">
      <w:pPr>
        <w:pStyle w:val="HeadingLevel4"/>
      </w:pPr>
      <w:r w:rsidRPr="00B90A19">
        <w:t>Model fitting</w:t>
      </w:r>
    </w:p>
    <w:p w14:paraId="57800252" w14:textId="77777777" w:rsidR="001E3D6E" w:rsidRPr="00AF1CD2" w:rsidRDefault="001E3D6E" w:rsidP="001E3D6E">
      <w:r w:rsidRPr="00AF1CD2">
        <w:t xml:space="preserve">All models were fitted by Markov chain Monte Carlo (MCMC) methods using WinBUGS software (Spiegelhalter </w:t>
      </w:r>
      <w:r w:rsidRPr="00AF1CD2">
        <w:rPr>
          <w:iCs/>
        </w:rPr>
        <w:t>et al</w:t>
      </w:r>
      <w:r w:rsidRPr="00AF1CD2">
        <w:rPr>
          <w:i/>
          <w:iCs/>
        </w:rPr>
        <w:t>.</w:t>
      </w:r>
      <w:r w:rsidRPr="00AF1CD2">
        <w:t xml:space="preserve"> 2003), with Lunn et al.’s (2008) reversible jump Markov Chain Monte Carlo (RJMCMC) add-on (used for variable selection). Note that the RJMCMC add-on requires use of the probit link function for binary response variables (Lunn et al. 2008). To improve modelling fitting, all continuous variables were standardised to have a zero mean (except </w:t>
      </w:r>
      <w:r w:rsidRPr="00AF1CD2">
        <w:rPr>
          <w:i/>
          <w:iCs/>
        </w:rPr>
        <w:t>time</w:t>
      </w:r>
      <w:r w:rsidRPr="00AF1CD2">
        <w:t xml:space="preserve">, which was centred on 2020) and unit standard deviation. Posterior distributions were estimated from 20,000 MCMC iterations after 5000 iteration burn-in periods. Adequate MCMC convergence and mixing were confirmed by inspection of MCMC chain histories and R-hat statistics (Spiegelhalter </w:t>
      </w:r>
      <w:r w:rsidRPr="00AF1CD2">
        <w:rPr>
          <w:iCs/>
        </w:rPr>
        <w:t>et al</w:t>
      </w:r>
      <w:r w:rsidRPr="00AF1CD2">
        <w:rPr>
          <w:i/>
          <w:iCs/>
        </w:rPr>
        <w:t>.</w:t>
      </w:r>
      <w:r w:rsidRPr="00AF1CD2">
        <w:t xml:space="preserve"> 2003). Posterior predictive checks (Gelman et al. 2000) were used to confirm that fitted models could plausibly generate data with the same structure as the observed data.</w:t>
      </w:r>
    </w:p>
    <w:p w14:paraId="421510E2" w14:textId="77777777" w:rsidR="00A23DFB" w:rsidRPr="00A23DFB" w:rsidRDefault="00A23DFB" w:rsidP="00A23DFB">
      <w:pPr>
        <w:spacing w:before="240" w:line="276" w:lineRule="auto"/>
        <w:rPr>
          <w:i/>
          <w:iCs/>
          <w:szCs w:val="20"/>
        </w:rPr>
      </w:pPr>
      <w:r w:rsidRPr="00AF1CD2">
        <w:rPr>
          <w:i/>
          <w:iCs/>
          <w:szCs w:val="20"/>
        </w:rPr>
        <w:t>Odds ratios</w:t>
      </w:r>
    </w:p>
    <w:p w14:paraId="30E19123" w14:textId="5E507DAD" w:rsidR="001A6C98" w:rsidRDefault="001A6C98" w:rsidP="00C52E7F">
      <w:r w:rsidRPr="001A6C98">
        <w:t xml:space="preserve">Conditional odds ratios (ORs) provide a way to compare the likelihood of an outcome, such as the presence of Long-footed Potoroos, across different groups or levels of covariates. We aimed to understand how the likelihood of Long-footed Potoroos occurring varied over time periods, spatial areas (Core vs Expansion zones), management actions (fox baiting) and environmental gradients (HDM values, FAPAR, time-since fire). ORs are useful for quantifying the effect of a variable on probabilities. For instance, if 'p1' represents the probability of occurrence in the Core zone </w:t>
      </w:r>
      <w:r w:rsidR="2A9D3330">
        <w:t>(e.g. 0.</w:t>
      </w:r>
      <w:r w:rsidR="2A3E5824">
        <w:t>4</w:t>
      </w:r>
      <w:r w:rsidR="2A9D3330">
        <w:t xml:space="preserve">) </w:t>
      </w:r>
      <w:r w:rsidRPr="001A6C98">
        <w:t>and 'p0' in the Expansion zone</w:t>
      </w:r>
      <w:r w:rsidR="1E24A397">
        <w:t xml:space="preserve"> (0.1)</w:t>
      </w:r>
      <w:r>
        <w:t>,</w:t>
      </w:r>
      <w:r w:rsidRPr="001A6C98">
        <w:t xml:space="preserve"> the odds ratio (OR) is calculated as </w:t>
      </w:r>
      <w:r w:rsidR="00825E2F" w:rsidRPr="001A6C98">
        <w:t>[p1 / (1 – p1)] / [p0 / (1 – p0</w:t>
      </w:r>
      <w:r w:rsidR="00825E2F">
        <w:t>)]</w:t>
      </w:r>
      <w:r w:rsidR="6CB5CD2F">
        <w:t xml:space="preserve"> (e.g. (0.4/0.6)/(0.1/0.9)=</w:t>
      </w:r>
      <w:r w:rsidR="30F8ADDA">
        <w:t>0.67/</w:t>
      </w:r>
      <w:r w:rsidR="00825E2F">
        <w:t>.</w:t>
      </w:r>
      <w:r w:rsidR="4487E8B5">
        <w:t>0.11)=</w:t>
      </w:r>
      <w:r w:rsidR="00AA6821">
        <w:t xml:space="preserve"> 6.09.</w:t>
      </w:r>
      <w:r w:rsidR="00825E2F" w:rsidRPr="001A6C98">
        <w:t xml:space="preserve"> </w:t>
      </w:r>
      <w:r w:rsidR="693715CF">
        <w:t>C</w:t>
      </w:r>
      <w:r>
        <w:t>onditional</w:t>
      </w:r>
      <w:r w:rsidRPr="001A6C98">
        <w:t xml:space="preserve"> ORs control for other factors in the model, allowing us to </w:t>
      </w:r>
      <w:r w:rsidR="380F8EA3">
        <w:t>estimate</w:t>
      </w:r>
      <w:r>
        <w:t xml:space="preserve"> the </w:t>
      </w:r>
      <w:r w:rsidR="4FEAFF20">
        <w:t xml:space="preserve">relative </w:t>
      </w:r>
      <w:r w:rsidRPr="001A6C98">
        <w:t xml:space="preserve">impact of specific variables. They help us understand how </w:t>
      </w:r>
      <w:r w:rsidR="47045DDF">
        <w:t>occupancy</w:t>
      </w:r>
      <w:r>
        <w:t xml:space="preserve"> change</w:t>
      </w:r>
      <w:r w:rsidR="11C49B3D">
        <w:t>s</w:t>
      </w:r>
      <w:r w:rsidRPr="001A6C98">
        <w:t xml:space="preserve"> over time or across different values of a continuous predictor.</w:t>
      </w:r>
    </w:p>
    <w:p w14:paraId="0B6F94C0" w14:textId="3695CB47" w:rsidR="006959DB" w:rsidRDefault="006959DB" w:rsidP="006959DB">
      <w:pPr>
        <w:pStyle w:val="Heading3-Numbered"/>
      </w:pPr>
      <w:bookmarkStart w:id="62" w:name="_Toc192146588"/>
      <w:r>
        <w:lastRenderedPageBreak/>
        <w:t>Spatial and temporal trend in occupancy</w:t>
      </w:r>
      <w:bookmarkEnd w:id="62"/>
    </w:p>
    <w:p w14:paraId="4F0BC073" w14:textId="17FDD68F" w:rsidR="006959DB" w:rsidRDefault="006959DB" w:rsidP="006959DB">
      <w:r>
        <w:t>To visualise the spatial-temporal trends in Long-footed Potoroo occupancy, we refitted the best-supported covariate model</w:t>
      </w:r>
      <w:r w:rsidR="00F6374A">
        <w:t xml:space="preserve"> in a landscape model</w:t>
      </w:r>
      <w:r>
        <w:t xml:space="preserve"> substituting the binary ‘baited within 1 km’ predictor, with a continuous measure of baiting intensity derived from FoxNet predictions of fox density under the baseline and expansion fox baiting scenarios (Francis et al, 2020). The FoxNet density predictions assume 20 years of baiting but are used here as a measure of the intensity of baiting within the landscape, rather than as predictions of fox density per se. FoxNet predictions were averaged over 3.6 km</w:t>
      </w:r>
      <w:r w:rsidRPr="00E105E1">
        <w:rPr>
          <w:vertAlign w:val="superscript"/>
        </w:rPr>
        <w:t>2</w:t>
      </w:r>
      <w:r>
        <w:t xml:space="preserve"> focal windows at 100m resolution. When FoxNet density predictions were used in the model instead of the binary baited/unbaited variable, the interaction term with FAPAR values was close to zero and highly uncertain. Removing the interaction improved MCMC mixing and model fit, so we present results of the additive occupancy model with fixed effects for HDM value, log</w:t>
      </w:r>
      <w:r w:rsidR="005758D5">
        <w:t xml:space="preserve"> </w:t>
      </w:r>
      <w:r>
        <w:t>(Time-Since-Fire), mean annual FAPAR, and FoxNet density, and random effects for site, baiting zone, and year (see Robley et al. 2023 for hierarchical model structure). We used the posterior mean estimates of all model parameters, excluding ‘site’ random effects, to map predicted occupancy probabilities in each year at 75m resolution. Annual time-since fire rasters were derived from fire-history polygons, rasterized to the same extent and resolution as the HDM. Annual FAPAR (300 m resolution), bait intensity (100 m resolution) and baiting zone layers (polygons) were projected (and rasterized if necessary) and resampled to match the HDM extent and resolution.</w:t>
      </w:r>
    </w:p>
    <w:p w14:paraId="255F7495" w14:textId="5D029ACF" w:rsidR="00A23DFB" w:rsidRPr="00A55D41" w:rsidRDefault="00122423" w:rsidP="00A23DFB">
      <w:pPr>
        <w:pStyle w:val="Heading3-Numbered"/>
      </w:pPr>
      <w:bookmarkStart w:id="63" w:name="_Toc192146589"/>
      <w:r>
        <w:t>N</w:t>
      </w:r>
      <w:r w:rsidR="00A23DFB" w:rsidRPr="00A23DFB">
        <w:t>aïve occupancy</w:t>
      </w:r>
      <w:r>
        <w:t xml:space="preserve"> of native species</w:t>
      </w:r>
      <w:bookmarkEnd w:id="63"/>
    </w:p>
    <w:p w14:paraId="29C46493" w14:textId="10D09735" w:rsidR="000A1992" w:rsidRDefault="000A1992" w:rsidP="001A6C98">
      <w:pPr>
        <w:rPr>
          <w:shd w:val="clear" w:color="auto" w:fill="FFFFFF"/>
        </w:rPr>
      </w:pPr>
      <w:r>
        <w:t>N</w:t>
      </w:r>
      <w:r w:rsidRPr="00A23DFB">
        <w:t>aïve</w:t>
      </w:r>
      <w:r>
        <w:t xml:space="preserve"> occupancy</w:t>
      </w:r>
      <w:r>
        <w:rPr>
          <w:shd w:val="clear" w:color="auto" w:fill="FFFFFF"/>
        </w:rPr>
        <w:t xml:space="preserve"> provides a quick, simple summary of the proportions of sites where various species were detected but will underestimate true occupancy rates as actual detection rates will always be less than perfect.</w:t>
      </w:r>
    </w:p>
    <w:p w14:paraId="26A0BBDE" w14:textId="72850B9F" w:rsidR="001A6C98" w:rsidRDefault="001A6C98" w:rsidP="001A6C98">
      <w:r>
        <w:rPr>
          <w:shd w:val="clear" w:color="auto" w:fill="FFFFFF"/>
        </w:rPr>
        <w:t>Naïve occupancy is calculated as the proportion of sites where a species is detected without adjusting for undetected presence. We calculated naïve occupancies for various native species detected on camera between 2020 and 202</w:t>
      </w:r>
      <w:r w:rsidR="000A1992">
        <w:rPr>
          <w:shd w:val="clear" w:color="auto" w:fill="FFFFFF"/>
        </w:rPr>
        <w:t>4</w:t>
      </w:r>
      <w:r>
        <w:rPr>
          <w:shd w:val="clear" w:color="auto" w:fill="FFFFFF"/>
        </w:rPr>
        <w:t>.</w:t>
      </w:r>
      <w:r w:rsidR="000A1992">
        <w:rPr>
          <w:shd w:val="clear" w:color="auto" w:fill="FFFFFF"/>
        </w:rPr>
        <w:t xml:space="preserve"> </w:t>
      </w:r>
      <w:r w:rsidR="006E786D">
        <w:rPr>
          <w:shd w:val="clear" w:color="auto" w:fill="FFFFFF"/>
        </w:rPr>
        <w:t xml:space="preserve">A more thorough examination of this data, allowing for imperfect detection could be used in the future to </w:t>
      </w:r>
      <w:r>
        <w:rPr>
          <w:shd w:val="clear" w:color="auto" w:fill="FFFFFF"/>
        </w:rPr>
        <w:t xml:space="preserve">explore changes in </w:t>
      </w:r>
      <w:r w:rsidR="006E786D">
        <w:rPr>
          <w:shd w:val="clear" w:color="auto" w:fill="FFFFFF"/>
        </w:rPr>
        <w:t xml:space="preserve">occupancy rates of </w:t>
      </w:r>
      <w:r>
        <w:rPr>
          <w:shd w:val="clear" w:color="auto" w:fill="FFFFFF"/>
        </w:rPr>
        <w:t>other native species</w:t>
      </w:r>
      <w:r w:rsidR="006E786D">
        <w:rPr>
          <w:shd w:val="clear" w:color="auto" w:fill="FFFFFF"/>
        </w:rPr>
        <w:t xml:space="preserve"> in the study area, including the</w:t>
      </w:r>
      <w:r>
        <w:rPr>
          <w:shd w:val="clear" w:color="auto" w:fill="FFFFFF"/>
        </w:rPr>
        <w:t xml:space="preserve"> </w:t>
      </w:r>
      <w:r w:rsidR="006E786D">
        <w:rPr>
          <w:shd w:val="clear" w:color="auto" w:fill="FFFFFF"/>
        </w:rPr>
        <w:t>influences of</w:t>
      </w:r>
      <w:r>
        <w:rPr>
          <w:shd w:val="clear" w:color="auto" w:fill="FFFFFF"/>
        </w:rPr>
        <w:t xml:space="preserve"> foxes and feral cats</w:t>
      </w:r>
      <w:r w:rsidR="006E786D">
        <w:rPr>
          <w:shd w:val="clear" w:color="auto" w:fill="FFFFFF"/>
        </w:rPr>
        <w:t xml:space="preserve"> and other habitat and management variables such as</w:t>
      </w:r>
      <w:r>
        <w:rPr>
          <w:shd w:val="clear" w:color="auto" w:fill="FFFFFF"/>
        </w:rPr>
        <w:t xml:space="preserve"> time since fire or other predictor variables.</w:t>
      </w:r>
      <w:r w:rsidR="006E786D">
        <w:rPr>
          <w:shd w:val="clear" w:color="auto" w:fill="FFFFFF"/>
        </w:rPr>
        <w:t xml:space="preserve"> Such as analysis is beyond the scope of the current report. </w:t>
      </w:r>
    </w:p>
    <w:p w14:paraId="796822CC" w14:textId="0A43FA7C" w:rsidR="004A4A5B" w:rsidRPr="001749B2" w:rsidRDefault="004A4A5B" w:rsidP="004A4A5B">
      <w:pPr>
        <w:pStyle w:val="Heading1-Numbered"/>
      </w:pPr>
      <w:r>
        <w:br w:type="page"/>
      </w:r>
      <w:bookmarkStart w:id="64" w:name="_Toc192146590"/>
      <w:r>
        <w:lastRenderedPageBreak/>
        <w:t>Results</w:t>
      </w:r>
      <w:bookmarkEnd w:id="64"/>
    </w:p>
    <w:p w14:paraId="6B06C2D6" w14:textId="118B2C54" w:rsidR="004A4A5B" w:rsidRPr="007D16B0" w:rsidRDefault="00A23DFB" w:rsidP="00544ADA">
      <w:pPr>
        <w:pStyle w:val="Heading2-Numbered"/>
      </w:pPr>
      <w:bookmarkStart w:id="65" w:name="_Toc192146591"/>
      <w:r>
        <w:t xml:space="preserve">Long-footed </w:t>
      </w:r>
      <w:commentRangeStart w:id="66"/>
      <w:r>
        <w:t xml:space="preserve">Potoroo </w:t>
      </w:r>
      <w:commentRangeEnd w:id="66"/>
      <w:r w:rsidR="00FB40BF">
        <w:rPr>
          <w:rStyle w:val="CommentReference"/>
          <w:sz w:val="24"/>
          <w:szCs w:val="28"/>
        </w:rPr>
        <w:commentReference w:id="66"/>
      </w:r>
      <w:r>
        <w:t>occupancy</w:t>
      </w:r>
      <w:bookmarkEnd w:id="65"/>
    </w:p>
    <w:p w14:paraId="66E89503" w14:textId="06A6EAED" w:rsidR="00727D3D" w:rsidRPr="00D57C2A" w:rsidRDefault="00727D3D" w:rsidP="00727D3D">
      <w:bookmarkStart w:id="67" w:name="_Hlk164320271"/>
      <w:r w:rsidRPr="00D57C2A">
        <w:t xml:space="preserve">The basic trend model indicates that Long-footed Potoroo occupancy was higher in the Core baiting zone </w:t>
      </w:r>
      <w:r w:rsidR="006B20BA" w:rsidRPr="00D57C2A">
        <w:t>(</w:t>
      </w:r>
      <w:r w:rsidR="006F7C62" w:rsidRPr="00D57C2A">
        <w:t xml:space="preserve">a 9-fold increase in the odds of occurring) </w:t>
      </w:r>
      <w:r w:rsidR="00610038" w:rsidRPr="00D57C2A">
        <w:t>compared to</w:t>
      </w:r>
      <w:r w:rsidRPr="00D57C2A">
        <w:t xml:space="preserve"> the Expansion baiting zone throughout both survey periods and increased with time in both areas</w:t>
      </w:r>
      <w:r w:rsidR="00610038" w:rsidRPr="00D57C2A">
        <w:t xml:space="preserve"> (</w:t>
      </w:r>
      <w:r w:rsidR="00E4470D" w:rsidRPr="00D57C2A">
        <w:fldChar w:fldCharType="begin"/>
      </w:r>
      <w:r w:rsidR="00E4470D" w:rsidRPr="00D57C2A">
        <w:instrText xml:space="preserve"> REF _Ref192140222 \h </w:instrText>
      </w:r>
      <w:r w:rsidR="00D57C2A">
        <w:instrText xml:space="preserve"> \* MERGEFORMAT </w:instrText>
      </w:r>
      <w:r w:rsidR="00E4470D" w:rsidRPr="00D57C2A">
        <w:fldChar w:fldCharType="separate"/>
      </w:r>
      <w:r w:rsidR="00E4470D" w:rsidRPr="00D57C2A">
        <w:t xml:space="preserve">Figure </w:t>
      </w:r>
      <w:r w:rsidR="00E4470D" w:rsidRPr="00D57C2A">
        <w:rPr>
          <w:noProof/>
        </w:rPr>
        <w:t>4</w:t>
      </w:r>
      <w:r w:rsidR="00E4470D" w:rsidRPr="00D57C2A">
        <w:fldChar w:fldCharType="end"/>
      </w:r>
      <w:r w:rsidR="00E4470D" w:rsidRPr="00D57C2A">
        <w:t xml:space="preserve">, </w:t>
      </w:r>
      <w:r w:rsidR="00610038" w:rsidRPr="00D57C2A">
        <w:t>Table A1</w:t>
      </w:r>
      <w:r w:rsidR="0035104C" w:rsidRPr="00D57C2A">
        <w:t>-A</w:t>
      </w:r>
      <w:r w:rsidR="00610038" w:rsidRPr="00D57C2A">
        <w:t>)</w:t>
      </w:r>
      <w:r w:rsidRPr="00D57C2A">
        <w:t xml:space="preserve">. The estimated annual trends in occupancy were slightly higher in the Core zone </w:t>
      </w:r>
      <w:r w:rsidR="00B31825" w:rsidRPr="00D57C2A">
        <w:t>(23% increase p.a.)</w:t>
      </w:r>
      <w:r w:rsidRPr="00D57C2A">
        <w:t xml:space="preserve"> compared with the Expansion zone </w:t>
      </w:r>
      <w:r w:rsidR="00B31825" w:rsidRPr="00D57C2A">
        <w:t>(</w:t>
      </w:r>
      <w:r w:rsidR="003B2F39" w:rsidRPr="00D57C2A">
        <w:t xml:space="preserve">18% increase p.a.) </w:t>
      </w:r>
      <w:r w:rsidRPr="00D57C2A">
        <w:t>(</w:t>
      </w:r>
      <w:r w:rsidR="00D223D6" w:rsidRPr="00D57C2A">
        <w:fldChar w:fldCharType="begin"/>
      </w:r>
      <w:r w:rsidR="00D223D6" w:rsidRPr="00D57C2A">
        <w:instrText xml:space="preserve"> REF _Ref192140222 \h </w:instrText>
      </w:r>
      <w:r w:rsidR="00D57C2A">
        <w:instrText xml:space="preserve"> \* MERGEFORMAT </w:instrText>
      </w:r>
      <w:r w:rsidR="00D223D6" w:rsidRPr="00D57C2A">
        <w:fldChar w:fldCharType="separate"/>
      </w:r>
      <w:r w:rsidR="00D223D6" w:rsidRPr="00D57C2A">
        <w:t xml:space="preserve">Figure </w:t>
      </w:r>
      <w:r w:rsidR="00D223D6" w:rsidRPr="00D57C2A">
        <w:rPr>
          <w:noProof/>
        </w:rPr>
        <w:t>4</w:t>
      </w:r>
      <w:r w:rsidR="00D223D6" w:rsidRPr="00D57C2A">
        <w:fldChar w:fldCharType="end"/>
      </w:r>
      <w:r w:rsidRPr="00D57C2A">
        <w:t>,</w:t>
      </w:r>
      <w:r w:rsidR="00BB3873" w:rsidRPr="00D57C2A">
        <w:t>Table A1</w:t>
      </w:r>
      <w:r w:rsidR="0035104C" w:rsidRPr="00D57C2A">
        <w:t>-A</w:t>
      </w:r>
      <w:r w:rsidRPr="00D57C2A">
        <w:t>), however trend estimates are relatively uncertain, with no substantive evidence that trends differ between zones. There was no substantive evidence of a change in trend in the Expansion zone after baiting commenced in December 2021 (</w:t>
      </w:r>
      <w:r w:rsidR="006468DE" w:rsidRPr="00D57C2A">
        <w:t>Table A1</w:t>
      </w:r>
      <w:r w:rsidR="0035104C" w:rsidRPr="00D57C2A">
        <w:t>-A</w:t>
      </w:r>
      <w:r w:rsidRPr="00D57C2A">
        <w:t>).</w:t>
      </w:r>
    </w:p>
    <w:p w14:paraId="03A96F22" w14:textId="3C147B6D" w:rsidR="00727D3D" w:rsidRPr="00D57C2A" w:rsidRDefault="00727D3D" w:rsidP="00727D3D">
      <w:r w:rsidRPr="00D57C2A">
        <w:t>Long-footed Potoroo occupancy increased with increasing HDM value (</w:t>
      </w:r>
      <w:r w:rsidRPr="00D57C2A">
        <w:fldChar w:fldCharType="begin"/>
      </w:r>
      <w:r w:rsidRPr="00D57C2A">
        <w:instrText xml:space="preserve"> REF _Ref191898762 \h </w:instrText>
      </w:r>
      <w:r w:rsidR="00D57C2A">
        <w:instrText xml:space="preserve"> \* MERGEFORMAT </w:instrText>
      </w:r>
      <w:r w:rsidRPr="00D57C2A">
        <w:fldChar w:fldCharType="separate"/>
      </w:r>
      <w:r w:rsidRPr="00D57C2A">
        <w:t xml:space="preserve">Figure </w:t>
      </w:r>
      <w:r w:rsidRPr="00D57C2A">
        <w:rPr>
          <w:noProof/>
        </w:rPr>
        <w:t>5</w:t>
      </w:r>
      <w:r w:rsidRPr="00D57C2A">
        <w:fldChar w:fldCharType="end"/>
      </w:r>
      <w:r w:rsidRPr="00D57C2A">
        <w:t xml:space="preserve">, </w:t>
      </w:r>
      <w:r w:rsidR="006468DE" w:rsidRPr="00D57C2A">
        <w:t>Table A</w:t>
      </w:r>
      <w:r w:rsidR="00E06C15" w:rsidRPr="00D57C2A">
        <w:t>1</w:t>
      </w:r>
      <w:r w:rsidR="00E36E9B" w:rsidRPr="00D57C2A">
        <w:t>-B</w:t>
      </w:r>
      <w:r w:rsidR="00E06C15" w:rsidRPr="00D57C2A">
        <w:t>1</w:t>
      </w:r>
      <w:r w:rsidRPr="00D57C2A">
        <w:t>) and increasing time since fire (</w:t>
      </w:r>
      <w:r w:rsidR="00D223D6" w:rsidRPr="00D57C2A">
        <w:fldChar w:fldCharType="begin"/>
      </w:r>
      <w:r w:rsidR="00D223D6" w:rsidRPr="00D57C2A">
        <w:instrText xml:space="preserve"> REF _Ref191898772 \h </w:instrText>
      </w:r>
      <w:r w:rsidR="00D57C2A">
        <w:instrText xml:space="preserve"> \* MERGEFORMAT </w:instrText>
      </w:r>
      <w:r w:rsidR="00D223D6" w:rsidRPr="00D57C2A">
        <w:fldChar w:fldCharType="separate"/>
      </w:r>
      <w:r w:rsidR="00D223D6" w:rsidRPr="00D57C2A">
        <w:t xml:space="preserve">Figure </w:t>
      </w:r>
      <w:r w:rsidR="00D223D6" w:rsidRPr="00D57C2A">
        <w:rPr>
          <w:noProof/>
        </w:rPr>
        <w:t>6</w:t>
      </w:r>
      <w:r w:rsidR="00D223D6" w:rsidRPr="00D57C2A">
        <w:fldChar w:fldCharType="end"/>
      </w:r>
      <w:r w:rsidRPr="00D57C2A">
        <w:t xml:space="preserve">, </w:t>
      </w:r>
      <w:r w:rsidR="006468DE" w:rsidRPr="00D57C2A">
        <w:t xml:space="preserve">Table </w:t>
      </w:r>
      <w:r w:rsidR="00E36E9B" w:rsidRPr="00D57C2A">
        <w:t>A</w:t>
      </w:r>
      <w:r w:rsidR="00E06C15" w:rsidRPr="00D57C2A">
        <w:t>1-</w:t>
      </w:r>
      <w:r w:rsidR="00E36E9B" w:rsidRPr="00D57C2A">
        <w:t>B1</w:t>
      </w:r>
      <w:r w:rsidRPr="00D57C2A">
        <w:t xml:space="preserve">). Potoroo occupancy also increased with increasing FAPAR values, but only among baited sites (Figure 7, </w:t>
      </w:r>
      <w:r w:rsidR="006468DE" w:rsidRPr="00D57C2A">
        <w:t xml:space="preserve">Table </w:t>
      </w:r>
      <w:r w:rsidR="00E36E9B" w:rsidRPr="00D57C2A">
        <w:t>A</w:t>
      </w:r>
      <w:r w:rsidR="00E06C15" w:rsidRPr="00D57C2A">
        <w:t>1-</w:t>
      </w:r>
      <w:r w:rsidR="00E36E9B" w:rsidRPr="00D57C2A">
        <w:t>B1</w:t>
      </w:r>
      <w:r w:rsidRPr="00D57C2A">
        <w:t>). There was no relation between Long-footed Potoroo occupancy and FAPAR values among un-baited sites (</w:t>
      </w:r>
      <w:r w:rsidR="00D223D6" w:rsidRPr="00D57C2A">
        <w:fldChar w:fldCharType="begin"/>
      </w:r>
      <w:r w:rsidR="00D223D6" w:rsidRPr="00D57C2A">
        <w:instrText xml:space="preserve"> REF _Ref191898782 \h </w:instrText>
      </w:r>
      <w:r w:rsidR="00D57C2A">
        <w:instrText xml:space="preserve"> \* MERGEFORMAT </w:instrText>
      </w:r>
      <w:r w:rsidR="00D223D6" w:rsidRPr="00D57C2A">
        <w:fldChar w:fldCharType="separate"/>
      </w:r>
      <w:r w:rsidR="00D223D6" w:rsidRPr="00D57C2A">
        <w:t xml:space="preserve">Figure </w:t>
      </w:r>
      <w:r w:rsidR="00D223D6" w:rsidRPr="00D57C2A">
        <w:rPr>
          <w:noProof/>
        </w:rPr>
        <w:t>7</w:t>
      </w:r>
      <w:r w:rsidR="00D223D6" w:rsidRPr="00D57C2A">
        <w:fldChar w:fldCharType="end"/>
      </w:r>
      <w:r w:rsidRPr="00D57C2A">
        <w:t xml:space="preserve">, </w:t>
      </w:r>
      <w:r w:rsidR="00E36E9B" w:rsidRPr="00D57C2A">
        <w:t>Table A</w:t>
      </w:r>
      <w:r w:rsidR="00E06C15" w:rsidRPr="00D57C2A">
        <w:t>1</w:t>
      </w:r>
      <w:r w:rsidR="00E36E9B" w:rsidRPr="00D57C2A">
        <w:t>-B1</w:t>
      </w:r>
      <w:r w:rsidRPr="00D57C2A">
        <w:t>).</w:t>
      </w:r>
    </w:p>
    <w:p w14:paraId="16191311" w14:textId="001CE6D9" w:rsidR="00727D3D" w:rsidRPr="00D57C2A" w:rsidRDefault="00727D3D" w:rsidP="00727D3D">
      <w:r w:rsidRPr="00D57C2A">
        <w:t>The model implies that HDM values explain some of the difference in mean occupancy between Core and Expansion zones and some of the long-term increases in occupancy among surveyed sites in both zones</w:t>
      </w:r>
      <w:r w:rsidR="00E82C3D" w:rsidRPr="00D57C2A">
        <w:t xml:space="preserve"> (~3-fold increase in Core Zone</w:t>
      </w:r>
      <w:r w:rsidR="00FE7A96" w:rsidRPr="00D57C2A">
        <w:t>; ~11-fold increase in Expansions zone</w:t>
      </w:r>
      <w:r w:rsidR="00E82C3D" w:rsidRPr="00D57C2A">
        <w:t>)</w:t>
      </w:r>
      <w:r w:rsidR="005C1A8B" w:rsidRPr="00D57C2A">
        <w:t xml:space="preserve"> (</w:t>
      </w:r>
      <w:r w:rsidR="00FE7A96" w:rsidRPr="00D57C2A">
        <w:t>Table A2</w:t>
      </w:r>
      <w:r w:rsidRPr="00D57C2A">
        <w:t>; surveys since 2020 have targeted higher HDM value sites</w:t>
      </w:r>
      <w:r w:rsidR="000C630A" w:rsidRPr="00D57C2A">
        <w:t>, Figure A1</w:t>
      </w:r>
      <w:r w:rsidRPr="00D57C2A">
        <w:t xml:space="preserve">) but cannot explain all the observed spatial and temporal variation in occupancy. </w:t>
      </w:r>
    </w:p>
    <w:p w14:paraId="5AFD30FE" w14:textId="48E8362C" w:rsidR="00727D3D" w:rsidRPr="00D57C2A" w:rsidRDefault="00727D3D" w:rsidP="00727D3D">
      <w:r w:rsidRPr="00D57C2A">
        <w:t>The time-since-fire effect predicts increasing trends in both zones but predicts greater long-term increases in the Core zone</w:t>
      </w:r>
      <w:r w:rsidR="0031433D" w:rsidRPr="00D57C2A">
        <w:t xml:space="preserve"> (</w:t>
      </w:r>
      <w:r w:rsidR="00EC5C91" w:rsidRPr="00D57C2A">
        <w:t>11-fold increase)</w:t>
      </w:r>
      <w:r w:rsidRPr="00D57C2A">
        <w:t xml:space="preserve"> and greater short-term increases in the Expansion zone</w:t>
      </w:r>
      <w:r w:rsidR="00EC5C91" w:rsidRPr="00D57C2A">
        <w:t xml:space="preserve"> (6-fold increase)</w:t>
      </w:r>
      <w:r w:rsidRPr="00D57C2A">
        <w:t xml:space="preserve"> (</w:t>
      </w:r>
      <w:r w:rsidR="00EC5C91" w:rsidRPr="00D57C2A">
        <w:t>Table A2</w:t>
      </w:r>
      <w:r w:rsidRPr="00D57C2A">
        <w:t>). This difference reflects the fact that much of the Expansion zone was burnt in the 2019/20 fires</w:t>
      </w:r>
      <w:r w:rsidR="000C630A" w:rsidRPr="00D57C2A">
        <w:t xml:space="preserve"> (Figure A2)</w:t>
      </w:r>
      <w:r w:rsidRPr="00D57C2A">
        <w:t xml:space="preserve">. </w:t>
      </w:r>
    </w:p>
    <w:p w14:paraId="3E4D547E" w14:textId="08E3C56B" w:rsidR="00727D3D" w:rsidRDefault="00727D3D" w:rsidP="00727D3D">
      <w:r w:rsidRPr="00D57C2A">
        <w:t>The FAPAR x Baiting interaction predicts long term increases in potoroo occurrence in both Core</w:t>
      </w:r>
      <w:r w:rsidR="00EC5C91" w:rsidRPr="00D57C2A">
        <w:t xml:space="preserve"> (</w:t>
      </w:r>
      <w:r w:rsidR="00542FDC" w:rsidRPr="00D57C2A">
        <w:t>6-fold increase)</w:t>
      </w:r>
      <w:r w:rsidRPr="00D57C2A">
        <w:t xml:space="preserve"> and Expansion zones </w:t>
      </w:r>
      <w:r w:rsidR="00542FDC" w:rsidRPr="00D57C2A">
        <w:t xml:space="preserve">(7-fold increase) </w:t>
      </w:r>
      <w:r w:rsidRPr="00D57C2A">
        <w:t>(</w:t>
      </w:r>
      <w:r w:rsidR="00542FDC" w:rsidRPr="00D57C2A">
        <w:t>Table A2</w:t>
      </w:r>
      <w:r w:rsidRPr="00D57C2A">
        <w:t>), associated with long term increases in mean FAPAR values and, especially for the Expansion Zone, an increase in the proportion of sites baited. The substantial increase in the proportion of sites baited in the Expansion Zone post 2021, combined with a small increase in FAPAR values, is predicted to nearly double the odds of potoroo occupancy from 2020 to 2024 (</w:t>
      </w:r>
      <w:r w:rsidR="00CC05AC" w:rsidRPr="00D57C2A">
        <w:t>Table A2</w:t>
      </w:r>
      <w:r w:rsidRPr="00D57C2A">
        <w:t>). In the Core Zone, shorter term (2024 vs 20</w:t>
      </w:r>
      <w:r w:rsidR="00391D34" w:rsidRPr="00D57C2A">
        <w:t>2</w:t>
      </w:r>
      <w:r w:rsidRPr="00D57C2A">
        <w:t>0) effects of FAPAR x Baiting interaction are predicted to be negative because 2024 FAPAR values are lower than 20</w:t>
      </w:r>
      <w:r w:rsidR="00391D34" w:rsidRPr="00D57C2A">
        <w:t>2</w:t>
      </w:r>
      <w:r w:rsidRPr="00D57C2A">
        <w:t>0 values, and the proportion of sites baited is only marginally higher (</w:t>
      </w:r>
      <w:r w:rsidR="000C630A" w:rsidRPr="00D57C2A">
        <w:t>Figure A3 and A4</w:t>
      </w:r>
      <w:r w:rsidR="00A61270">
        <w:t xml:space="preserve">, </w:t>
      </w:r>
      <w:r w:rsidR="00A61270" w:rsidRPr="00D57C2A">
        <w:t>Table A2</w:t>
      </w:r>
      <w:r w:rsidRPr="00D57C2A">
        <w:t>).</w:t>
      </w:r>
    </w:p>
    <w:bookmarkEnd w:id="67"/>
    <w:p w14:paraId="51B05F38" w14:textId="75580171" w:rsidR="00A23DFB" w:rsidRDefault="00FF1875" w:rsidP="00A23DFB">
      <w:pPr>
        <w:pStyle w:val="BodyText"/>
        <w:rPr>
          <w:lang w:eastAsia="en-AU"/>
        </w:rPr>
      </w:pPr>
      <w:r>
        <w:rPr>
          <w:noProof/>
        </w:rPr>
        <w:drawing>
          <wp:inline distT="0" distB="0" distL="0" distR="0" wp14:anchorId="4C3C377F" wp14:editId="3FC5A61A">
            <wp:extent cx="6050942" cy="2672367"/>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6" cstate="email">
                      <a:extLst>
                        <a:ext uri="{28A0092B-C50C-407E-A947-70E740481C1C}">
                          <a14:useLocalDpi xmlns:a14="http://schemas.microsoft.com/office/drawing/2010/main"/>
                        </a:ext>
                      </a:extLst>
                    </a:blip>
                    <a:srcRect t="7258"/>
                    <a:stretch/>
                  </pic:blipFill>
                  <pic:spPr bwMode="auto">
                    <a:xfrm>
                      <a:off x="0" y="0"/>
                      <a:ext cx="6054416" cy="2673901"/>
                    </a:xfrm>
                    <a:prstGeom prst="rect">
                      <a:avLst/>
                    </a:prstGeom>
                    <a:ln>
                      <a:noFill/>
                    </a:ln>
                    <a:extLst>
                      <a:ext uri="{53640926-AAD7-44D8-BBD7-CCE9431645EC}">
                        <a14:shadowObscured xmlns:a14="http://schemas.microsoft.com/office/drawing/2010/main"/>
                      </a:ext>
                    </a:extLst>
                  </pic:spPr>
                </pic:pic>
              </a:graphicData>
            </a:graphic>
          </wp:inline>
        </w:drawing>
      </w:r>
    </w:p>
    <w:p w14:paraId="7B0437BA" w14:textId="01F3E53D" w:rsidR="00FF1875" w:rsidRDefault="00E105E1" w:rsidP="00E105E1">
      <w:pPr>
        <w:pStyle w:val="Caption-Figure"/>
      </w:pPr>
      <w:bookmarkStart w:id="68" w:name="_Ref192140222"/>
      <w:bookmarkStart w:id="69" w:name="_Toc164411240"/>
      <w:bookmarkStart w:id="70" w:name="_Ref192140201"/>
      <w:bookmarkStart w:id="71" w:name="_Toc193445952"/>
      <w:r>
        <w:t xml:space="preserve">Figure </w:t>
      </w:r>
      <w:fldSimple w:instr=" SEQ Figure \* ARABIC ">
        <w:r>
          <w:rPr>
            <w:noProof/>
          </w:rPr>
          <w:t>4</w:t>
        </w:r>
      </w:fldSimple>
      <w:bookmarkEnd w:id="68"/>
      <w:r w:rsidR="00FF1875">
        <w:t>. Estimated occupancy of Long-footed Potoroo in the Core and Expansion baiting zones in all surveyed years since 2007.</w:t>
      </w:r>
      <w:bookmarkEnd w:id="69"/>
      <w:bookmarkEnd w:id="70"/>
      <w:bookmarkEnd w:id="71"/>
    </w:p>
    <w:p w14:paraId="6BDAC15F" w14:textId="77777777" w:rsidR="00FF1875" w:rsidRDefault="00FF1875" w:rsidP="00FF1875">
      <w:pPr>
        <w:pStyle w:val="NoSpacing"/>
        <w:rPr>
          <w:sz w:val="18"/>
          <w:szCs w:val="18"/>
        </w:rPr>
      </w:pPr>
      <w:r w:rsidRPr="00A23DFB">
        <w:rPr>
          <w:sz w:val="18"/>
          <w:szCs w:val="18"/>
        </w:rPr>
        <w:t>Boxplots show posterior distributions of the estimated occupancy within each year, derived from the Basic Trend Model with random spatial and temporal effects. Points show raw proportions of surveyed sites with at least one Long-footed Potoroo detection (naïve occupancy). Naïve occupancy (raw counts) may differ from model estimates of actual occupancy [because of imperfect detection and because model estimates tend towards long-term means (or trends) within spatial zones]. nsites = number of sites.</w:t>
      </w:r>
    </w:p>
    <w:p w14:paraId="64C6DA46" w14:textId="0ED80CE7" w:rsidR="00612657" w:rsidRDefault="00FF1875" w:rsidP="00A23DFB">
      <w:pPr>
        <w:pStyle w:val="BodyText"/>
        <w:rPr>
          <w:lang w:eastAsia="en-AU"/>
        </w:rPr>
      </w:pPr>
      <w:r>
        <w:rPr>
          <w:noProof/>
          <w:lang w:eastAsia="en-AU"/>
        </w:rPr>
        <w:lastRenderedPageBreak/>
        <w:drawing>
          <wp:inline distT="0" distB="0" distL="0" distR="0" wp14:anchorId="1173B62A" wp14:editId="038D8B98">
            <wp:extent cx="6120518" cy="2914650"/>
            <wp:effectExtent l="0" t="0" r="0" b="0"/>
            <wp:docPr id="11" name="Picture 1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with a line&#10;&#10;AI-generated content may be incorrect."/>
                    <pic:cNvPicPr/>
                  </pic:nvPicPr>
                  <pic:blipFill>
                    <a:blip r:embed="rId47" cstate="email">
                      <a:extLst>
                        <a:ext uri="{28A0092B-C50C-407E-A947-70E740481C1C}">
                          <a14:useLocalDpi xmlns:a14="http://schemas.microsoft.com/office/drawing/2010/main"/>
                        </a:ext>
                      </a:extLst>
                    </a:blip>
                    <a:stretch>
                      <a:fillRect/>
                    </a:stretch>
                  </pic:blipFill>
                  <pic:spPr>
                    <a:xfrm>
                      <a:off x="0" y="0"/>
                      <a:ext cx="6120518" cy="2914650"/>
                    </a:xfrm>
                    <a:prstGeom prst="rect">
                      <a:avLst/>
                    </a:prstGeom>
                  </pic:spPr>
                </pic:pic>
              </a:graphicData>
            </a:graphic>
          </wp:inline>
        </w:drawing>
      </w:r>
    </w:p>
    <w:p w14:paraId="77BA7AAD" w14:textId="2ED08100" w:rsidR="00A23DFB" w:rsidRDefault="00E87FCA" w:rsidP="00E87FCA">
      <w:pPr>
        <w:pStyle w:val="Caption-Figure"/>
      </w:pPr>
      <w:bookmarkStart w:id="72" w:name="_Ref191898762"/>
      <w:bookmarkStart w:id="73" w:name="_Ref192055062"/>
      <w:bookmarkStart w:id="74" w:name="_Toc193445953"/>
      <w:r>
        <w:t xml:space="preserve">Figure </w:t>
      </w:r>
      <w:fldSimple w:instr=" SEQ Figure \* ARABIC ">
        <w:r w:rsidR="00E105E1">
          <w:rPr>
            <w:noProof/>
          </w:rPr>
          <w:t>5</w:t>
        </w:r>
      </w:fldSimple>
      <w:bookmarkEnd w:id="72"/>
      <w:r w:rsidR="00A23DFB">
        <w:t xml:space="preserve">. Estimated </w:t>
      </w:r>
      <w:r w:rsidR="00537235">
        <w:t xml:space="preserve">partial </w:t>
      </w:r>
      <w:r w:rsidR="00A23DFB">
        <w:t>relationship between the probability of Long-footed Potoroo occurrence and modelled habitat suitability.</w:t>
      </w:r>
      <w:bookmarkEnd w:id="73"/>
      <w:bookmarkEnd w:id="74"/>
    </w:p>
    <w:p w14:paraId="48012520" w14:textId="4444F1CC" w:rsidR="00A23DFB" w:rsidRPr="00DF30F0" w:rsidRDefault="00A23DFB" w:rsidP="00A23DFB">
      <w:pPr>
        <w:pStyle w:val="NoSpacing"/>
        <w:rPr>
          <w:rFonts w:ascii="Times New Roman" w:hAnsi="Times New Roman"/>
        </w:rPr>
      </w:pPr>
      <w:r w:rsidRPr="00DF30F0">
        <w:rPr>
          <w:rFonts w:ascii="Times New Roman" w:hAnsi="Times New Roman"/>
        </w:rPr>
        <w:t xml:space="preserve">Black line shows posterior mean occurrence probability; orange band extends to the 95% credible interval. The fitted relationship </w:t>
      </w:r>
      <w:r w:rsidR="3894F48A" w:rsidRPr="00DF30F0">
        <w:rPr>
          <w:rFonts w:ascii="Times New Roman" w:hAnsi="Times New Roman"/>
        </w:rPr>
        <w:t>is</w:t>
      </w:r>
      <w:r w:rsidR="1769DFC3" w:rsidRPr="00DF30F0">
        <w:rPr>
          <w:rFonts w:ascii="Times New Roman" w:hAnsi="Times New Roman"/>
        </w:rPr>
        <w:t xml:space="preserve"> derived from the best supported model (Table 2B) and</w:t>
      </w:r>
      <w:r w:rsidRPr="00DF30F0">
        <w:rPr>
          <w:rFonts w:ascii="Times New Roman" w:hAnsi="Times New Roman"/>
        </w:rPr>
        <w:t xml:space="preserve"> assumes time since fire (</w:t>
      </w:r>
      <w:r w:rsidR="00E60485" w:rsidRPr="00DF30F0">
        <w:rPr>
          <w:rFonts w:ascii="Times New Roman" w:hAnsi="Times New Roman"/>
        </w:rPr>
        <w:t>6.3</w:t>
      </w:r>
      <w:r w:rsidRPr="00DF30F0">
        <w:rPr>
          <w:rFonts w:ascii="Times New Roman" w:hAnsi="Times New Roman"/>
        </w:rPr>
        <w:t xml:space="preserve"> years)</w:t>
      </w:r>
      <w:r w:rsidR="00F177AB" w:rsidRPr="00DF30F0">
        <w:rPr>
          <w:rFonts w:ascii="Times New Roman" w:hAnsi="Times New Roman"/>
        </w:rPr>
        <w:t>,</w:t>
      </w:r>
      <w:r w:rsidRPr="00DF30F0">
        <w:rPr>
          <w:rFonts w:ascii="Times New Roman" w:hAnsi="Times New Roman"/>
        </w:rPr>
        <w:t xml:space="preserve"> number of years of baiting (</w:t>
      </w:r>
      <w:r w:rsidR="00E60485" w:rsidRPr="00DF30F0">
        <w:rPr>
          <w:rFonts w:ascii="Times New Roman" w:hAnsi="Times New Roman"/>
        </w:rPr>
        <w:t>4</w:t>
      </w:r>
      <w:r w:rsidRPr="00DF30F0">
        <w:rPr>
          <w:rFonts w:ascii="Times New Roman" w:hAnsi="Times New Roman"/>
        </w:rPr>
        <w:t>.2 years)</w:t>
      </w:r>
      <w:r w:rsidR="00F177AB" w:rsidRPr="00DF30F0">
        <w:rPr>
          <w:rFonts w:ascii="Times New Roman" w:hAnsi="Times New Roman"/>
        </w:rPr>
        <w:t xml:space="preserve"> and FAPAR (68)</w:t>
      </w:r>
      <w:r w:rsidRPr="00DF30F0">
        <w:rPr>
          <w:rFonts w:ascii="Times New Roman" w:hAnsi="Times New Roman"/>
        </w:rPr>
        <w:t xml:space="preserve"> are held constant at their means. HDM: Habitat Distribution Model.</w:t>
      </w:r>
    </w:p>
    <w:p w14:paraId="6EFA1437" w14:textId="4DA37F24" w:rsidR="00A23DFB" w:rsidRDefault="00A23DFB" w:rsidP="00A23DFB">
      <w:pPr>
        <w:rPr>
          <w:lang w:eastAsia="en-AU"/>
        </w:rPr>
      </w:pPr>
    </w:p>
    <w:p w14:paraId="4D0BB3CB" w14:textId="37968BD9" w:rsidR="00612657" w:rsidRDefault="00FF1875" w:rsidP="00A23DFB">
      <w:pPr>
        <w:rPr>
          <w:lang w:eastAsia="en-AU"/>
        </w:rPr>
      </w:pPr>
      <w:r>
        <w:rPr>
          <w:noProof/>
          <w:lang w:eastAsia="en-AU"/>
        </w:rPr>
        <w:drawing>
          <wp:inline distT="0" distB="0" distL="0" distR="0" wp14:anchorId="257FD97A" wp14:editId="256221EE">
            <wp:extent cx="6120518" cy="2914650"/>
            <wp:effectExtent l="0" t="0" r="0" b="0"/>
            <wp:docPr id="26" name="Picture 26" descr="A grap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aph of a number of years&#10;&#10;AI-generated content may be incorrect."/>
                    <pic:cNvPicPr/>
                  </pic:nvPicPr>
                  <pic:blipFill>
                    <a:blip r:embed="rId48" cstate="email">
                      <a:extLst>
                        <a:ext uri="{28A0092B-C50C-407E-A947-70E740481C1C}">
                          <a14:useLocalDpi xmlns:a14="http://schemas.microsoft.com/office/drawing/2010/main"/>
                        </a:ext>
                      </a:extLst>
                    </a:blip>
                    <a:stretch>
                      <a:fillRect/>
                    </a:stretch>
                  </pic:blipFill>
                  <pic:spPr>
                    <a:xfrm>
                      <a:off x="0" y="0"/>
                      <a:ext cx="6120518" cy="2914650"/>
                    </a:xfrm>
                    <a:prstGeom prst="rect">
                      <a:avLst/>
                    </a:prstGeom>
                  </pic:spPr>
                </pic:pic>
              </a:graphicData>
            </a:graphic>
          </wp:inline>
        </w:drawing>
      </w:r>
    </w:p>
    <w:p w14:paraId="68A5E0F5" w14:textId="727599F6" w:rsidR="00DF30F0" w:rsidRPr="00DF30F0" w:rsidRDefault="00E87FCA" w:rsidP="00E87FCA">
      <w:pPr>
        <w:pStyle w:val="Caption-Figure"/>
      </w:pPr>
      <w:bookmarkStart w:id="75" w:name="_Ref191898772"/>
      <w:bookmarkStart w:id="76" w:name="_Toc193445954"/>
      <w:r>
        <w:t xml:space="preserve">Figure </w:t>
      </w:r>
      <w:fldSimple w:instr=" SEQ Figure \* ARABIC ">
        <w:r w:rsidR="00E105E1">
          <w:rPr>
            <w:noProof/>
          </w:rPr>
          <w:t>6</w:t>
        </w:r>
      </w:fldSimple>
      <w:bookmarkEnd w:id="75"/>
      <w:r w:rsidR="00A23DFB" w:rsidRPr="00DF30F0">
        <w:t xml:space="preserve">. Estimated </w:t>
      </w:r>
      <w:r w:rsidR="00537235" w:rsidRPr="00DF30F0">
        <w:t xml:space="preserve">partial </w:t>
      </w:r>
      <w:r w:rsidR="00A23DFB" w:rsidRPr="00DF30F0">
        <w:t xml:space="preserve">relationship between the probability of Long-footed Potoroo occupancy and time since fire, assuming average habitat quality (HDM value = </w:t>
      </w:r>
      <w:r w:rsidR="00E60485" w:rsidRPr="00DF30F0">
        <w:t>60</w:t>
      </w:r>
      <w:r w:rsidR="00A23DFB" w:rsidRPr="00DF30F0">
        <w:t>)</w:t>
      </w:r>
      <w:r w:rsidR="00F177AB" w:rsidRPr="00DF30F0">
        <w:t xml:space="preserve"> and FAPAR value (68)</w:t>
      </w:r>
      <w:r w:rsidR="00A23DFB" w:rsidRPr="00DF30F0">
        <w:t>.</w:t>
      </w:r>
      <w:bookmarkEnd w:id="76"/>
      <w:r w:rsidR="0FFCFE90" w:rsidRPr="00DF30F0">
        <w:t xml:space="preserve"> </w:t>
      </w:r>
    </w:p>
    <w:p w14:paraId="444EA296" w14:textId="74D7BC96" w:rsidR="00A23DFB" w:rsidRPr="00DF30F0" w:rsidRDefault="0FFCFE90" w:rsidP="00DF30F0">
      <w:pPr>
        <w:rPr>
          <w:rFonts w:ascii="Times New Roman" w:hAnsi="Times New Roman" w:cs="Times New Roman"/>
        </w:rPr>
      </w:pPr>
      <w:r w:rsidRPr="00DF30F0">
        <w:rPr>
          <w:rFonts w:ascii="Times New Roman" w:hAnsi="Times New Roman" w:cs="Times New Roman"/>
        </w:rPr>
        <w:t>The fitted relationship is derived from the best supported model (Table 2B).</w:t>
      </w:r>
      <w:r w:rsidR="00DF30F0" w:rsidRPr="00DF30F0">
        <w:rPr>
          <w:rFonts w:ascii="Times New Roman" w:hAnsi="Times New Roman" w:cs="Times New Roman"/>
        </w:rPr>
        <w:t xml:space="preserve"> </w:t>
      </w:r>
      <w:r w:rsidR="00A23DFB" w:rsidRPr="00DF30F0">
        <w:rPr>
          <w:rFonts w:ascii="Times New Roman" w:hAnsi="Times New Roman" w:cs="Times New Roman"/>
        </w:rPr>
        <w:t>HDM: Habitat Distribution Model.</w:t>
      </w:r>
    </w:p>
    <w:p w14:paraId="43484DFB" w14:textId="27FC05F5" w:rsidR="00A23DFB" w:rsidRDefault="006209CB" w:rsidP="00A23DFB">
      <w:pPr>
        <w:rPr>
          <w:lang w:eastAsia="en-AU"/>
        </w:rPr>
      </w:pPr>
      <w:r>
        <w:rPr>
          <w:noProof/>
          <w:lang w:eastAsia="en-AU"/>
        </w:rPr>
        <w:lastRenderedPageBreak/>
        <w:drawing>
          <wp:inline distT="0" distB="0" distL="0" distR="0" wp14:anchorId="0A7D5243" wp14:editId="04C9880B">
            <wp:extent cx="6120516" cy="2914649"/>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9" cstate="email">
                      <a:extLst>
                        <a:ext uri="{28A0092B-C50C-407E-A947-70E740481C1C}">
                          <a14:useLocalDpi xmlns:a14="http://schemas.microsoft.com/office/drawing/2010/main"/>
                        </a:ext>
                      </a:extLst>
                    </a:blip>
                    <a:stretch>
                      <a:fillRect/>
                    </a:stretch>
                  </pic:blipFill>
                  <pic:spPr>
                    <a:xfrm>
                      <a:off x="0" y="0"/>
                      <a:ext cx="6120516" cy="2914649"/>
                    </a:xfrm>
                    <a:prstGeom prst="rect">
                      <a:avLst/>
                    </a:prstGeom>
                  </pic:spPr>
                </pic:pic>
              </a:graphicData>
            </a:graphic>
          </wp:inline>
        </w:drawing>
      </w:r>
    </w:p>
    <w:p w14:paraId="299AFE0C" w14:textId="60104EB1" w:rsidR="00FF1875" w:rsidRDefault="00E87FCA" w:rsidP="00E87FCA">
      <w:pPr>
        <w:pStyle w:val="Caption-Figure"/>
      </w:pPr>
      <w:bookmarkStart w:id="77" w:name="_Ref191898782"/>
      <w:bookmarkStart w:id="78" w:name="_Toc193445955"/>
      <w:bookmarkStart w:id="79" w:name="_Toc164411243"/>
      <w:r>
        <w:t xml:space="preserve">Figure </w:t>
      </w:r>
      <w:fldSimple w:instr=" SEQ Figure \* ARABIC ">
        <w:r w:rsidR="00E105E1">
          <w:rPr>
            <w:noProof/>
          </w:rPr>
          <w:t>7</w:t>
        </w:r>
      </w:fldSimple>
      <w:bookmarkEnd w:id="77"/>
      <w:r w:rsidR="00FF1875">
        <w:t>. Estimated relationships between the probability of Long-footed Potoroo occupancy and the mean fraction of absorbed photosynthetically available radiation (FAPAR) at baited (orange) and unbaited (grey) sites, assuming average habitat quality (HDM value = 60) and time since fire (6.3 years).</w:t>
      </w:r>
      <w:bookmarkEnd w:id="78"/>
      <w:r w:rsidR="00FF1875">
        <w:t xml:space="preserve"> </w:t>
      </w:r>
    </w:p>
    <w:p w14:paraId="7DE30F0F" w14:textId="32FC00A5" w:rsidR="00FF1875" w:rsidRDefault="00FF1875" w:rsidP="00FF1875">
      <w:pPr>
        <w:rPr>
          <w:sz w:val="16"/>
          <w:szCs w:val="16"/>
        </w:rPr>
      </w:pPr>
      <w:r w:rsidRPr="00E105E1">
        <w:rPr>
          <w:sz w:val="18"/>
          <w:szCs w:val="22"/>
        </w:rPr>
        <w:t>FAPAR was averaged over the 12 months prior to camera retrieval and measured at 300 m resolution (values taken from the pixel containing trap coordinates).</w:t>
      </w:r>
      <w:bookmarkEnd w:id="79"/>
      <w:r w:rsidRPr="00E105E1">
        <w:rPr>
          <w:sz w:val="18"/>
          <w:szCs w:val="22"/>
        </w:rPr>
        <w:t xml:space="preserve"> </w:t>
      </w:r>
      <w:r w:rsidRPr="00E105E1">
        <w:rPr>
          <w:sz w:val="16"/>
          <w:szCs w:val="16"/>
        </w:rPr>
        <w:t>HDM: Habitat Distribution Model.</w:t>
      </w:r>
    </w:p>
    <w:p w14:paraId="329411B0" w14:textId="77777777" w:rsidR="00A0194D" w:rsidRDefault="00A0194D" w:rsidP="006959DB"/>
    <w:p w14:paraId="699AB14E" w14:textId="4CFF5E5D" w:rsidR="006959DB" w:rsidRPr="00E105E1" w:rsidRDefault="00A07D7D" w:rsidP="006959DB">
      <w:r>
        <w:t xml:space="preserve">The landscape model showed a </w:t>
      </w:r>
      <w:r w:rsidR="009111E0">
        <w:t>negative relationship between long-footed Potoroos occurrence and predicted fox density and positive relationships with HDM, time-since fire and FAPAR (Table A</w:t>
      </w:r>
      <w:r w:rsidR="00AE06F2">
        <w:t xml:space="preserve">1-B2). </w:t>
      </w:r>
      <w:r w:rsidR="006959DB">
        <w:fldChar w:fldCharType="begin"/>
      </w:r>
      <w:r w:rsidR="006959DB">
        <w:instrText xml:space="preserve"> REF _Ref192141417 \h </w:instrText>
      </w:r>
      <w:r w:rsidR="006959DB">
        <w:fldChar w:fldCharType="separate"/>
      </w:r>
      <w:r w:rsidR="006959DB">
        <w:t xml:space="preserve">Figure </w:t>
      </w:r>
      <w:r w:rsidR="006959DB">
        <w:rPr>
          <w:noProof/>
        </w:rPr>
        <w:t>8</w:t>
      </w:r>
      <w:r w:rsidR="006959DB">
        <w:fldChar w:fldCharType="end"/>
      </w:r>
      <w:r w:rsidR="006959DB">
        <w:t xml:space="preserve"> </w:t>
      </w:r>
      <w:r w:rsidR="00AE06F2">
        <w:t>presents a</w:t>
      </w:r>
      <w:r w:rsidR="006959DB">
        <w:t xml:space="preserve"> visual representation of the spatial and temporal trends in Long-footed Potoroo occupancy from 2007 to 2024</w:t>
      </w:r>
      <w:r w:rsidR="00816547">
        <w:t>,</w:t>
      </w:r>
      <w:r w:rsidR="00B137A1">
        <w:t xml:space="preserve"> using the </w:t>
      </w:r>
      <w:r w:rsidR="00F6374A">
        <w:t>landscape model</w:t>
      </w:r>
      <w:r w:rsidR="006959DB">
        <w:t>. The modelled area is divided into pixels with a 75m resolution</w:t>
      </w:r>
      <w:r w:rsidR="00B137A1">
        <w:t xml:space="preserve"> and covers an area of 481,694 ha</w:t>
      </w:r>
      <w:r w:rsidR="006959DB">
        <w:t xml:space="preserve">. Summing the probabilities of occurrence across pixels in each year allows us to estimate the </w:t>
      </w:r>
      <w:r w:rsidR="00B137A1">
        <w:t xml:space="preserve">predicted </w:t>
      </w:r>
      <w:r w:rsidR="006959DB">
        <w:t xml:space="preserve">area occupied and to determine the percentage change from year to year. </w:t>
      </w:r>
      <w:r w:rsidR="00B137A1">
        <w:t xml:space="preserve">To allow for the fact that </w:t>
      </w:r>
      <w:r w:rsidR="006959DB">
        <w:t>2007 had relatively few camera sites (47)</w:t>
      </w:r>
      <w:r w:rsidR="00B137A1">
        <w:t xml:space="preserve"> we have compared the change in predicted area occupied between 2008 (99 camera sites, 15,484 ha) to 2024 (130 camera sites, 96,679 ha)</w:t>
      </w:r>
      <w:r w:rsidR="00816547">
        <w:t>,</w:t>
      </w:r>
      <w:r w:rsidR="00B137A1">
        <w:t xml:space="preserve"> which </w:t>
      </w:r>
      <w:r w:rsidR="00CD7174">
        <w:t>is</w:t>
      </w:r>
      <w:r w:rsidR="00B137A1">
        <w:t xml:space="preserve"> </w:t>
      </w:r>
      <w:r w:rsidR="005C06BE" w:rsidRPr="005C06BE">
        <w:t>a 6-fold increase in the estimated area of L</w:t>
      </w:r>
      <w:r w:rsidR="005C06BE">
        <w:t xml:space="preserve">ong-footed </w:t>
      </w:r>
      <w:r w:rsidR="005C06BE" w:rsidRPr="005C06BE">
        <w:t>P</w:t>
      </w:r>
      <w:r w:rsidR="00CD7174">
        <w:t>otoroo</w:t>
      </w:r>
      <w:r w:rsidR="005C06BE" w:rsidRPr="005C06BE">
        <w:t xml:space="preserve"> occupancy since 2008</w:t>
      </w:r>
      <w:r w:rsidR="00B137A1">
        <w:t>.</w:t>
      </w:r>
    </w:p>
    <w:p w14:paraId="6CC2D871" w14:textId="7E41FB14" w:rsidR="00E105E1" w:rsidRDefault="000C630A" w:rsidP="00E105E1">
      <w:r>
        <w:rPr>
          <w:noProof/>
        </w:rPr>
        <w:drawing>
          <wp:inline distT="0" distB="0" distL="0" distR="0" wp14:anchorId="444A2EB1" wp14:editId="02583FB6">
            <wp:extent cx="6120765" cy="2914650"/>
            <wp:effectExtent l="0" t="0" r="0" b="0"/>
            <wp:docPr id="1683314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14140" name="Picture 1683314140"/>
                    <pic:cNvPicPr/>
                  </pic:nvPicPr>
                  <pic:blipFill>
                    <a:blip r:embed="rId50" cstate="email">
                      <a:extLst>
                        <a:ext uri="{28A0092B-C50C-407E-A947-70E740481C1C}">
                          <a14:useLocalDpi xmlns:a14="http://schemas.microsoft.com/office/drawing/2010/main"/>
                        </a:ext>
                      </a:extLst>
                    </a:blip>
                    <a:stretch>
                      <a:fillRect/>
                    </a:stretch>
                  </pic:blipFill>
                  <pic:spPr>
                    <a:xfrm>
                      <a:off x="0" y="0"/>
                      <a:ext cx="6120765" cy="2914650"/>
                    </a:xfrm>
                    <a:prstGeom prst="rect">
                      <a:avLst/>
                    </a:prstGeom>
                  </pic:spPr>
                </pic:pic>
              </a:graphicData>
            </a:graphic>
          </wp:inline>
        </w:drawing>
      </w:r>
    </w:p>
    <w:p w14:paraId="2397101F" w14:textId="77777777" w:rsidR="009920EF" w:rsidRDefault="00E105E1" w:rsidP="009920EF">
      <w:pPr>
        <w:pStyle w:val="Caption-Figure"/>
      </w:pPr>
      <w:bookmarkStart w:id="80" w:name="_Ref192141417"/>
      <w:bookmarkStart w:id="81" w:name="_Toc193445956"/>
      <w:r>
        <w:t xml:space="preserve">Figure </w:t>
      </w:r>
      <w:fldSimple w:instr=" SEQ Figure \* ARABIC ">
        <w:r>
          <w:rPr>
            <w:noProof/>
          </w:rPr>
          <w:t>8</w:t>
        </w:r>
      </w:fldSimple>
      <w:bookmarkEnd w:id="80"/>
      <w:r>
        <w:t>. Predicted Long-footed Potoroo occupancy (probability of occurrence) across the study region based on HDM value, time-since-fire, mean annual FAPAR value, and baiting intensity. Predictions are derived from Model 2B in Table 2 (which included spatial and temporal random effects)</w:t>
      </w:r>
      <w:r w:rsidR="009920EF">
        <w:t>.</w:t>
      </w:r>
      <w:bookmarkEnd w:id="81"/>
    </w:p>
    <w:p w14:paraId="102412CD" w14:textId="784D3C79" w:rsidR="00FE065F" w:rsidRDefault="00A23DFB" w:rsidP="002270EF">
      <w:pPr>
        <w:pStyle w:val="Heading2-Numbered"/>
      </w:pPr>
      <w:r>
        <w:br w:type="column"/>
      </w:r>
      <w:bookmarkStart w:id="82" w:name="_Toc192146592"/>
      <w:r w:rsidR="00FE065F">
        <w:lastRenderedPageBreak/>
        <w:t xml:space="preserve">Long-nosed Bandicoot </w:t>
      </w:r>
      <w:r w:rsidR="00093018">
        <w:t>o</w:t>
      </w:r>
      <w:r w:rsidR="00FE065F">
        <w:t>ccupancy</w:t>
      </w:r>
      <w:bookmarkEnd w:id="82"/>
    </w:p>
    <w:p w14:paraId="52F1F2BA" w14:textId="7ABD73E8" w:rsidR="00FE065F" w:rsidRDefault="00FE065F" w:rsidP="00FE065F">
      <w:r w:rsidRPr="007325FF">
        <w:t>Long</w:t>
      </w:r>
      <w:r w:rsidR="005C402F">
        <w:t>-</w:t>
      </w:r>
      <w:r w:rsidRPr="007325FF">
        <w:t xml:space="preserve">nosed </w:t>
      </w:r>
      <w:r>
        <w:t>B</w:t>
      </w:r>
      <w:r w:rsidRPr="007325FF">
        <w:t>andicoot occupancy has increased in both Core and Expansion zones since 2020 (data not available prior to 2020), with a substantial increase in 2023</w:t>
      </w:r>
      <w:r>
        <w:t xml:space="preserve"> (</w:t>
      </w:r>
      <w:r w:rsidR="00E87FCA">
        <w:fldChar w:fldCharType="begin"/>
      </w:r>
      <w:r w:rsidR="00E87FCA">
        <w:instrText xml:space="preserve"> REF _Ref191898829 \h </w:instrText>
      </w:r>
      <w:r w:rsidR="00E87FCA">
        <w:fldChar w:fldCharType="separate"/>
      </w:r>
      <w:r w:rsidR="00C47AEE">
        <w:t xml:space="preserve">Figure </w:t>
      </w:r>
      <w:r w:rsidR="00C47AEE">
        <w:rPr>
          <w:noProof/>
        </w:rPr>
        <w:t>9</w:t>
      </w:r>
      <w:r w:rsidR="00E87FCA">
        <w:fldChar w:fldCharType="end"/>
      </w:r>
      <w:r>
        <w:t xml:space="preserve">, </w:t>
      </w:r>
      <w:r w:rsidR="00D75024">
        <w:t>Table A3</w:t>
      </w:r>
      <w:r>
        <w:t>). The covariates that had support as predictors of Long nosed Bandicoot occurrence previously had weaker, and more uncertain, effects in the updated model and explain little, if any</w:t>
      </w:r>
      <w:r w:rsidR="00A91D3E">
        <w:t>,</w:t>
      </w:r>
      <w:r>
        <w:t xml:space="preserve"> of the temporal trends.</w:t>
      </w:r>
    </w:p>
    <w:p w14:paraId="26F9A283" w14:textId="77777777" w:rsidR="00FE065F" w:rsidRDefault="00FE065F" w:rsidP="00FE065F">
      <w:r>
        <w:rPr>
          <w:noProof/>
        </w:rPr>
        <w:drawing>
          <wp:inline distT="0" distB="0" distL="0" distR="0" wp14:anchorId="04E2056A" wp14:editId="6DF6567F">
            <wp:extent cx="6120130" cy="268927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51" cstate="email">
                      <a:extLst>
                        <a:ext uri="{28A0092B-C50C-407E-A947-70E740481C1C}">
                          <a14:useLocalDpi xmlns:a14="http://schemas.microsoft.com/office/drawing/2010/main"/>
                        </a:ext>
                      </a:extLst>
                    </a:blip>
                    <a:srcRect t="7727"/>
                    <a:stretch/>
                  </pic:blipFill>
                  <pic:spPr bwMode="auto">
                    <a:xfrm>
                      <a:off x="0" y="0"/>
                      <a:ext cx="6120518" cy="2689447"/>
                    </a:xfrm>
                    <a:prstGeom prst="rect">
                      <a:avLst/>
                    </a:prstGeom>
                    <a:ln>
                      <a:noFill/>
                    </a:ln>
                    <a:extLst>
                      <a:ext uri="{53640926-AAD7-44D8-BBD7-CCE9431645EC}">
                        <a14:shadowObscured xmlns:a14="http://schemas.microsoft.com/office/drawing/2010/main"/>
                      </a:ext>
                    </a:extLst>
                  </pic:spPr>
                </pic:pic>
              </a:graphicData>
            </a:graphic>
          </wp:inline>
        </w:drawing>
      </w:r>
    </w:p>
    <w:p w14:paraId="51DC465E" w14:textId="702D5405" w:rsidR="00FE065F" w:rsidRDefault="00E87FCA" w:rsidP="00E87FCA">
      <w:pPr>
        <w:pStyle w:val="Caption-Figure"/>
      </w:pPr>
      <w:bookmarkStart w:id="83" w:name="_Ref191898829"/>
      <w:bookmarkStart w:id="84" w:name="_Toc193445957"/>
      <w:r>
        <w:t xml:space="preserve">Figure </w:t>
      </w:r>
      <w:fldSimple w:instr=" SEQ Figure \* ARABIC ">
        <w:r w:rsidR="00E105E1">
          <w:rPr>
            <w:noProof/>
          </w:rPr>
          <w:t>9</w:t>
        </w:r>
      </w:fldSimple>
      <w:bookmarkEnd w:id="83"/>
      <w:r w:rsidR="00FE065F" w:rsidRPr="00E87451">
        <w:t xml:space="preserve">. Estimated occupancy (mean probability of occurrence) of </w:t>
      </w:r>
      <w:r w:rsidR="00FE065F">
        <w:t>Long-nosed Bandicoot</w:t>
      </w:r>
      <w:r w:rsidR="00FE065F" w:rsidRPr="00E87451">
        <w:t xml:space="preserve"> in the Core and Expansion baiting zones in all surveyed years since 20</w:t>
      </w:r>
      <w:r w:rsidR="00FE065F">
        <w:t>20</w:t>
      </w:r>
      <w:r w:rsidR="00FE065F" w:rsidRPr="00E87451">
        <w:t>.</w:t>
      </w:r>
      <w:bookmarkEnd w:id="84"/>
    </w:p>
    <w:p w14:paraId="0DEDAB39" w14:textId="77777777" w:rsidR="00FE065F" w:rsidRDefault="00FE065F" w:rsidP="00FE065F">
      <w:pPr>
        <w:pStyle w:val="Heading2-Numbered"/>
      </w:pPr>
      <w:bookmarkStart w:id="85" w:name="_Toc192146593"/>
      <w:r>
        <w:t>Superb Lyrebird</w:t>
      </w:r>
      <w:bookmarkEnd w:id="85"/>
    </w:p>
    <w:p w14:paraId="71CE6DF7" w14:textId="664EBEB9" w:rsidR="00FE065F" w:rsidRDefault="00FE065F" w:rsidP="00FE065F">
      <w:r>
        <w:t>Superb Lyrebird</w:t>
      </w:r>
      <w:r w:rsidRPr="007325FF">
        <w:t xml:space="preserve"> occupancy</w:t>
      </w:r>
      <w:r>
        <w:t xml:space="preserve"> was higher in the Core zone than the </w:t>
      </w:r>
      <w:r w:rsidRPr="007325FF">
        <w:t xml:space="preserve">Expansion </w:t>
      </w:r>
      <w:r>
        <w:t>throughout the 2020-2024 period, with no consistent temporal trend (</w:t>
      </w:r>
      <w:r w:rsidR="00E87FCA">
        <w:fldChar w:fldCharType="begin"/>
      </w:r>
      <w:r w:rsidR="00E87FCA">
        <w:instrText xml:space="preserve"> REF _Ref191898918 \h </w:instrText>
      </w:r>
      <w:r w:rsidR="00E87FCA">
        <w:fldChar w:fldCharType="separate"/>
      </w:r>
      <w:r w:rsidR="00C47AEE">
        <w:t xml:space="preserve">Figure </w:t>
      </w:r>
      <w:r w:rsidR="00C47AEE">
        <w:rPr>
          <w:noProof/>
        </w:rPr>
        <w:t>10</w:t>
      </w:r>
      <w:r w:rsidR="00E87FCA">
        <w:fldChar w:fldCharType="end"/>
      </w:r>
      <w:r w:rsidR="00ED7C1F">
        <w:t xml:space="preserve">, </w:t>
      </w:r>
      <w:r w:rsidR="006B2C9D">
        <w:t>Table A4</w:t>
      </w:r>
      <w:r>
        <w:t xml:space="preserve">). There was evidence that Superb Lyrebird occurrence increased with increasing time-since-fire and increasing LFP-HDM but the relationship with FAPAR values was highly uncertain (Figures </w:t>
      </w:r>
      <w:r w:rsidR="00E87FCA">
        <w:t>1</w:t>
      </w:r>
      <w:r w:rsidR="00C47AEE">
        <w:t>1</w:t>
      </w:r>
      <w:r w:rsidR="00E87FCA">
        <w:t xml:space="preserve"> – 1</w:t>
      </w:r>
      <w:r w:rsidR="00C47AEE">
        <w:t>3</w:t>
      </w:r>
      <w:r w:rsidR="00ED7C1F">
        <w:t xml:space="preserve">, </w:t>
      </w:r>
      <w:r w:rsidR="007B0A45">
        <w:t>Table A4</w:t>
      </w:r>
      <w:r>
        <w:t xml:space="preserve">). </w:t>
      </w:r>
    </w:p>
    <w:p w14:paraId="175D88C8" w14:textId="77777777" w:rsidR="00FE065F" w:rsidRDefault="00FE065F" w:rsidP="00FE065F">
      <w:r>
        <w:rPr>
          <w:noProof/>
        </w:rPr>
        <w:drawing>
          <wp:inline distT="0" distB="0" distL="0" distR="0" wp14:anchorId="1E613FAC" wp14:editId="13D474F1">
            <wp:extent cx="6120130" cy="268927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52" cstate="email">
                      <a:extLst>
                        <a:ext uri="{28A0092B-C50C-407E-A947-70E740481C1C}">
                          <a14:useLocalDpi xmlns:a14="http://schemas.microsoft.com/office/drawing/2010/main"/>
                        </a:ext>
                      </a:extLst>
                    </a:blip>
                    <a:srcRect t="7727"/>
                    <a:stretch/>
                  </pic:blipFill>
                  <pic:spPr bwMode="auto">
                    <a:xfrm>
                      <a:off x="0" y="0"/>
                      <a:ext cx="6120518" cy="2689447"/>
                    </a:xfrm>
                    <a:prstGeom prst="rect">
                      <a:avLst/>
                    </a:prstGeom>
                    <a:ln>
                      <a:noFill/>
                    </a:ln>
                    <a:extLst>
                      <a:ext uri="{53640926-AAD7-44D8-BBD7-CCE9431645EC}">
                        <a14:shadowObscured xmlns:a14="http://schemas.microsoft.com/office/drawing/2010/main"/>
                      </a:ext>
                    </a:extLst>
                  </pic:spPr>
                </pic:pic>
              </a:graphicData>
            </a:graphic>
          </wp:inline>
        </w:drawing>
      </w:r>
    </w:p>
    <w:p w14:paraId="7A55116E" w14:textId="6D68179D" w:rsidR="00FE065F" w:rsidRDefault="00E87FCA" w:rsidP="00E87FCA">
      <w:pPr>
        <w:pStyle w:val="Caption-Figure"/>
      </w:pPr>
      <w:bookmarkStart w:id="86" w:name="_Ref191898918"/>
      <w:bookmarkStart w:id="87" w:name="_Toc164411249"/>
      <w:bookmarkStart w:id="88" w:name="_Toc193445958"/>
      <w:r>
        <w:t xml:space="preserve">Figure </w:t>
      </w:r>
      <w:fldSimple w:instr=" SEQ Figure \* ARABIC ">
        <w:r w:rsidR="00E105E1">
          <w:rPr>
            <w:noProof/>
          </w:rPr>
          <w:t>10</w:t>
        </w:r>
      </w:fldSimple>
      <w:bookmarkEnd w:id="86"/>
      <w:r w:rsidR="00FE065F">
        <w:t>. Estimated occupancy (mean probability of occurrence) of Superb Lyrebird in the Core and Expansion baiting zones in all surveyed years since 2020.</w:t>
      </w:r>
      <w:bookmarkEnd w:id="87"/>
      <w:bookmarkEnd w:id="88"/>
    </w:p>
    <w:p w14:paraId="6E91E167" w14:textId="77777777" w:rsidR="009920EF" w:rsidRDefault="00FE065F" w:rsidP="009920EF">
      <w:r>
        <w:rPr>
          <w:noProof/>
        </w:rPr>
        <w:lastRenderedPageBreak/>
        <w:drawing>
          <wp:inline distT="0" distB="0" distL="0" distR="0" wp14:anchorId="5896F1A7" wp14:editId="31C18509">
            <wp:extent cx="6120518" cy="29146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53" cstate="email">
                      <a:extLst>
                        <a:ext uri="{28A0092B-C50C-407E-A947-70E740481C1C}">
                          <a14:useLocalDpi xmlns:a14="http://schemas.microsoft.com/office/drawing/2010/main"/>
                        </a:ext>
                      </a:extLst>
                    </a:blip>
                    <a:stretch>
                      <a:fillRect/>
                    </a:stretch>
                  </pic:blipFill>
                  <pic:spPr>
                    <a:xfrm>
                      <a:off x="0" y="0"/>
                      <a:ext cx="6120518" cy="2914650"/>
                    </a:xfrm>
                    <a:prstGeom prst="rect">
                      <a:avLst/>
                    </a:prstGeom>
                  </pic:spPr>
                </pic:pic>
              </a:graphicData>
            </a:graphic>
          </wp:inline>
        </w:drawing>
      </w:r>
      <w:bookmarkStart w:id="89" w:name="_Toc164411250"/>
    </w:p>
    <w:p w14:paraId="2C8AB2AE" w14:textId="7ED5E3D2" w:rsidR="00FE065F" w:rsidRDefault="00E87FCA" w:rsidP="009920EF">
      <w:pPr>
        <w:pStyle w:val="Caption-Figure"/>
      </w:pPr>
      <w:bookmarkStart w:id="90" w:name="_Toc193445959"/>
      <w:r>
        <w:t xml:space="preserve">Figure </w:t>
      </w:r>
      <w:fldSimple w:instr=" SEQ Figure \* ARABIC ">
        <w:r w:rsidR="00E105E1">
          <w:rPr>
            <w:noProof/>
          </w:rPr>
          <w:t>11</w:t>
        </w:r>
      </w:fldSimple>
      <w:r w:rsidR="00FE065F">
        <w:t>. Estimated relationship between the probability of Superb Lyrebird occurrence and modelled habitat suitability.</w:t>
      </w:r>
      <w:bookmarkEnd w:id="89"/>
      <w:bookmarkEnd w:id="90"/>
    </w:p>
    <w:p w14:paraId="41847B28" w14:textId="77777777" w:rsidR="009920EF" w:rsidRDefault="00FE065F" w:rsidP="009920EF">
      <w:r>
        <w:rPr>
          <w:noProof/>
        </w:rPr>
        <w:drawing>
          <wp:inline distT="0" distB="0" distL="0" distR="0" wp14:anchorId="68197D4A" wp14:editId="34E8639D">
            <wp:extent cx="6120518" cy="29146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4" cstate="email">
                      <a:extLst>
                        <a:ext uri="{28A0092B-C50C-407E-A947-70E740481C1C}">
                          <a14:useLocalDpi xmlns:a14="http://schemas.microsoft.com/office/drawing/2010/main"/>
                        </a:ext>
                      </a:extLst>
                    </a:blip>
                    <a:stretch>
                      <a:fillRect/>
                    </a:stretch>
                  </pic:blipFill>
                  <pic:spPr>
                    <a:xfrm>
                      <a:off x="0" y="0"/>
                      <a:ext cx="6120518" cy="2914650"/>
                    </a:xfrm>
                    <a:prstGeom prst="rect">
                      <a:avLst/>
                    </a:prstGeom>
                  </pic:spPr>
                </pic:pic>
              </a:graphicData>
            </a:graphic>
          </wp:inline>
        </w:drawing>
      </w:r>
      <w:bookmarkStart w:id="91" w:name="_Toc164411251"/>
    </w:p>
    <w:p w14:paraId="5FF591A7" w14:textId="0194B8DC" w:rsidR="00FE065F" w:rsidRDefault="00E87FCA" w:rsidP="009920EF">
      <w:pPr>
        <w:pStyle w:val="Caption-Figure"/>
      </w:pPr>
      <w:bookmarkStart w:id="92" w:name="_Toc193445960"/>
      <w:r>
        <w:t xml:space="preserve">Figure </w:t>
      </w:r>
      <w:fldSimple w:instr=" SEQ Figure \* ARABIC ">
        <w:r w:rsidR="00E105E1">
          <w:rPr>
            <w:noProof/>
          </w:rPr>
          <w:t>12</w:t>
        </w:r>
      </w:fldSimple>
      <w:r w:rsidR="00FE065F">
        <w:t>. Estimated relationship between the probability of Superb Lyrebird occurrence and time since fire.</w:t>
      </w:r>
      <w:bookmarkEnd w:id="91"/>
      <w:bookmarkEnd w:id="92"/>
    </w:p>
    <w:p w14:paraId="315B30C7" w14:textId="77777777" w:rsidR="009920EF" w:rsidRDefault="00FE065F" w:rsidP="009920EF">
      <w:r>
        <w:rPr>
          <w:noProof/>
        </w:rPr>
        <w:lastRenderedPageBreak/>
        <w:drawing>
          <wp:inline distT="0" distB="0" distL="0" distR="0" wp14:anchorId="52424ECF" wp14:editId="54D62DB2">
            <wp:extent cx="6120518" cy="29146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5" cstate="email">
                      <a:extLst>
                        <a:ext uri="{28A0092B-C50C-407E-A947-70E740481C1C}">
                          <a14:useLocalDpi xmlns:a14="http://schemas.microsoft.com/office/drawing/2010/main"/>
                        </a:ext>
                      </a:extLst>
                    </a:blip>
                    <a:stretch>
                      <a:fillRect/>
                    </a:stretch>
                  </pic:blipFill>
                  <pic:spPr>
                    <a:xfrm>
                      <a:off x="0" y="0"/>
                      <a:ext cx="6120518" cy="2914650"/>
                    </a:xfrm>
                    <a:prstGeom prst="rect">
                      <a:avLst/>
                    </a:prstGeom>
                  </pic:spPr>
                </pic:pic>
              </a:graphicData>
            </a:graphic>
          </wp:inline>
        </w:drawing>
      </w:r>
      <w:bookmarkStart w:id="93" w:name="_Toc164411252"/>
    </w:p>
    <w:p w14:paraId="6E11F6F3" w14:textId="3879BD2D" w:rsidR="00FE065F" w:rsidRDefault="00E87FCA" w:rsidP="00E87FCA">
      <w:pPr>
        <w:pStyle w:val="Caption-Figure"/>
      </w:pPr>
      <w:bookmarkStart w:id="94" w:name="_Toc193445961"/>
      <w:r>
        <w:t xml:space="preserve">Figure </w:t>
      </w:r>
      <w:fldSimple w:instr=" SEQ Figure \* ARABIC ">
        <w:r w:rsidR="00E105E1">
          <w:rPr>
            <w:noProof/>
          </w:rPr>
          <w:t>13</w:t>
        </w:r>
      </w:fldSimple>
      <w:r w:rsidR="00FE065F">
        <w:t>. Estimated relationship between the probability of Superb Lyrebird occurrence and one-year mean FAPAR value.</w:t>
      </w:r>
      <w:bookmarkEnd w:id="93"/>
      <w:bookmarkEnd w:id="94"/>
    </w:p>
    <w:p w14:paraId="5CFE1686" w14:textId="659889B8" w:rsidR="004A4A5B" w:rsidRPr="007D16B0" w:rsidRDefault="00E87451" w:rsidP="00544ADA">
      <w:pPr>
        <w:pStyle w:val="Heading2-Numbered"/>
      </w:pPr>
      <w:bookmarkStart w:id="95" w:name="_Toc192146594"/>
      <w:r>
        <w:t>Fox occupancy</w:t>
      </w:r>
      <w:bookmarkEnd w:id="95"/>
    </w:p>
    <w:p w14:paraId="18A50EA7" w14:textId="7D1BD7D3" w:rsidR="00FF1875" w:rsidRDefault="00F362DC" w:rsidP="00FF1875">
      <w:bookmarkStart w:id="96" w:name="_Hlk135821843"/>
      <w:r>
        <w:t>F</w:t>
      </w:r>
      <w:r w:rsidRPr="002433F8">
        <w:t xml:space="preserve">ox </w:t>
      </w:r>
      <w:r>
        <w:t>occurrence was lower</w:t>
      </w:r>
      <w:r w:rsidRPr="002433F8">
        <w:t xml:space="preserve"> (had </w:t>
      </w:r>
      <w:r>
        <w:t xml:space="preserve">lower </w:t>
      </w:r>
      <w:r w:rsidRPr="002433F8">
        <w:t>visitation rates</w:t>
      </w:r>
      <w:r w:rsidRPr="002433F8">
        <w:rPr>
          <w:rStyle w:val="FootnoteReference"/>
        </w:rPr>
        <w:footnoteReference w:id="2"/>
      </w:r>
      <w:r w:rsidRPr="002433F8">
        <w:t>)</w:t>
      </w:r>
      <w:r>
        <w:t xml:space="preserve"> </w:t>
      </w:r>
      <w:bookmarkEnd w:id="96"/>
      <w:r w:rsidR="00FF1875">
        <w:t xml:space="preserve">in the </w:t>
      </w:r>
      <w:r w:rsidR="00FF1875">
        <w:rPr>
          <w:i/>
        </w:rPr>
        <w:t xml:space="preserve">Core </w:t>
      </w:r>
      <w:r w:rsidR="00FF1875">
        <w:t xml:space="preserve">baiting zone than </w:t>
      </w:r>
      <w:r w:rsidR="00FF1875" w:rsidRPr="00972148">
        <w:t xml:space="preserve">in the </w:t>
      </w:r>
      <w:r w:rsidR="00FF1875">
        <w:rPr>
          <w:i/>
        </w:rPr>
        <w:t>Expansion</w:t>
      </w:r>
      <w:r w:rsidR="00FF1875">
        <w:t xml:space="preserve"> z</w:t>
      </w:r>
      <w:r w:rsidR="00FF1875" w:rsidRPr="00972148">
        <w:t>one (</w:t>
      </w:r>
      <w:r w:rsidR="00F44B95">
        <w:t>Table A5</w:t>
      </w:r>
      <w:r w:rsidR="00FF1875" w:rsidRPr="00972148">
        <w:t xml:space="preserve">). There was </w:t>
      </w:r>
      <w:r w:rsidR="00FF1875">
        <w:t>e</w:t>
      </w:r>
      <w:r w:rsidR="00FF1875" w:rsidRPr="00972148">
        <w:t xml:space="preserve">vidence of declines in fox </w:t>
      </w:r>
      <w:r w:rsidR="00FF1875">
        <w:t>occurrence</w:t>
      </w:r>
      <w:r w:rsidR="00FF1875" w:rsidRPr="00972148">
        <w:t xml:space="preserve"> in both areas </w:t>
      </w:r>
      <w:r w:rsidR="00FF1875">
        <w:t>[</w:t>
      </w:r>
      <w:r w:rsidR="00FF1875" w:rsidRPr="00D6432A">
        <w:rPr>
          <w:i/>
        </w:rPr>
        <w:t>Core</w:t>
      </w:r>
      <w:r w:rsidR="00FF1875" w:rsidRPr="00972148">
        <w:t xml:space="preserve"> </w:t>
      </w:r>
      <w:r w:rsidR="00FF1875">
        <w:t>baiting z</w:t>
      </w:r>
      <w:r w:rsidR="00FF1875" w:rsidRPr="00972148">
        <w:t>one trend</w:t>
      </w:r>
      <w:r w:rsidR="00FF1875">
        <w:t> </w:t>
      </w:r>
      <w:r w:rsidR="00FF1875" w:rsidRPr="00972148">
        <w:t>=</w:t>
      </w:r>
      <w:r w:rsidR="00FF1875">
        <w:t> –20</w:t>
      </w:r>
      <w:r w:rsidR="00FF1875" w:rsidRPr="00972148">
        <w:t>% (</w:t>
      </w:r>
      <w:r w:rsidR="00FF1875">
        <w:t>–33%</w:t>
      </w:r>
      <w:r w:rsidR="00FF1875" w:rsidRPr="00972148">
        <w:t>,</w:t>
      </w:r>
      <w:r w:rsidR="00FF1875">
        <w:t xml:space="preserve"> -5%</w:t>
      </w:r>
      <w:r w:rsidR="00FF1875" w:rsidRPr="00972148">
        <w:t>) p.a.</w:t>
      </w:r>
      <w:r w:rsidR="00FF1875">
        <w:t>;</w:t>
      </w:r>
      <w:r w:rsidR="00FF1875" w:rsidRPr="00972148">
        <w:t xml:space="preserve"> </w:t>
      </w:r>
      <w:r w:rsidR="00FF1875" w:rsidRPr="00D6432A">
        <w:rPr>
          <w:i/>
        </w:rPr>
        <w:t>Expansion</w:t>
      </w:r>
      <w:r w:rsidR="00FF1875" w:rsidRPr="00972148">
        <w:t xml:space="preserve"> </w:t>
      </w:r>
      <w:r w:rsidR="00FF1875">
        <w:t>baiting z</w:t>
      </w:r>
      <w:r w:rsidR="00FF1875" w:rsidRPr="00972148">
        <w:t>one trend</w:t>
      </w:r>
      <w:r w:rsidR="00FF1875">
        <w:t> </w:t>
      </w:r>
      <w:r w:rsidR="00FF1875" w:rsidRPr="00972148">
        <w:t>=</w:t>
      </w:r>
      <w:r w:rsidR="00FF1875">
        <w:t> –12</w:t>
      </w:r>
      <w:r w:rsidR="00FF1875" w:rsidRPr="00972148">
        <w:t>% (</w:t>
      </w:r>
      <w:r w:rsidR="00FF1875">
        <w:t>–</w:t>
      </w:r>
      <w:r w:rsidR="00FF1875" w:rsidRPr="00972148">
        <w:t>2</w:t>
      </w:r>
      <w:r w:rsidR="00FF1875">
        <w:t>1%</w:t>
      </w:r>
      <w:r w:rsidR="00FF1875" w:rsidRPr="00972148">
        <w:t>,</w:t>
      </w:r>
      <w:r w:rsidR="00FF1875">
        <w:t xml:space="preserve"> -3%</w:t>
      </w:r>
      <w:r w:rsidR="00FF1875" w:rsidRPr="00972148">
        <w:t>) p.a.)</w:t>
      </w:r>
      <w:r w:rsidR="00FF1875">
        <w:t>]</w:t>
      </w:r>
      <w:r w:rsidR="00FF1875" w:rsidRPr="00972148">
        <w:t xml:space="preserve"> (</w:t>
      </w:r>
      <w:r w:rsidR="00E87FCA">
        <w:fldChar w:fldCharType="begin"/>
      </w:r>
      <w:r w:rsidR="00E87FCA">
        <w:instrText xml:space="preserve"> REF _Ref191898978 \h </w:instrText>
      </w:r>
      <w:r w:rsidR="00E87FCA">
        <w:fldChar w:fldCharType="separate"/>
      </w:r>
      <w:r w:rsidR="00C47AEE">
        <w:t xml:space="preserve">Figure </w:t>
      </w:r>
      <w:r w:rsidR="00C47AEE">
        <w:rPr>
          <w:noProof/>
        </w:rPr>
        <w:t>14</w:t>
      </w:r>
      <w:r w:rsidR="00E87FCA">
        <w:fldChar w:fldCharType="end"/>
      </w:r>
      <w:r w:rsidR="00FE065F">
        <w:t xml:space="preserve">, </w:t>
      </w:r>
      <w:r w:rsidR="00F44B95">
        <w:t>Table A5</w:t>
      </w:r>
      <w:r w:rsidR="00FF1875">
        <w:t xml:space="preserve">). </w:t>
      </w:r>
    </w:p>
    <w:p w14:paraId="0F2FCD26" w14:textId="67B7CAEC" w:rsidR="00FF1875" w:rsidRDefault="00FF1875" w:rsidP="00FF1875">
      <w:r>
        <w:t>Fox occurrence declined with increasing FAPAR values, with a stronger FAPAR effect among baited sites than among unbaited sites (</w:t>
      </w:r>
      <w:r w:rsidR="00E87FCA">
        <w:fldChar w:fldCharType="begin"/>
      </w:r>
      <w:r w:rsidR="00E87FCA">
        <w:instrText xml:space="preserve"> REF _Ref191899020 \h </w:instrText>
      </w:r>
      <w:r w:rsidR="00E87FCA">
        <w:fldChar w:fldCharType="separate"/>
      </w:r>
      <w:r w:rsidR="00C47AEE">
        <w:t xml:space="preserve">Figure </w:t>
      </w:r>
      <w:r w:rsidR="00C47AEE">
        <w:rPr>
          <w:noProof/>
        </w:rPr>
        <w:t>15</w:t>
      </w:r>
      <w:r w:rsidR="00E87FCA">
        <w:fldChar w:fldCharType="end"/>
      </w:r>
      <w:r w:rsidR="00FE065F">
        <w:t xml:space="preserve">, </w:t>
      </w:r>
      <w:r w:rsidR="00F44B95">
        <w:t>Table A5</w:t>
      </w:r>
      <w:r>
        <w:t>).</w:t>
      </w:r>
    </w:p>
    <w:p w14:paraId="4B68D38B" w14:textId="37DDF249" w:rsidR="00FF1875" w:rsidRPr="002E1B82" w:rsidRDefault="00FF1875" w:rsidP="00FF1875"/>
    <w:p w14:paraId="065AFDF5" w14:textId="665AA73A" w:rsidR="00E87451" w:rsidRPr="002E1B82" w:rsidRDefault="00FF1875" w:rsidP="2131E22E">
      <w:pPr>
        <w:spacing w:line="259" w:lineRule="auto"/>
      </w:pPr>
      <w:r>
        <w:rPr>
          <w:noProof/>
        </w:rPr>
        <w:drawing>
          <wp:inline distT="0" distB="0" distL="0" distR="0" wp14:anchorId="3ECE5082" wp14:editId="3AB124FB">
            <wp:extent cx="6120130" cy="2696100"/>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56" cstate="email">
                      <a:extLst>
                        <a:ext uri="{28A0092B-C50C-407E-A947-70E740481C1C}">
                          <a14:useLocalDpi xmlns:a14="http://schemas.microsoft.com/office/drawing/2010/main"/>
                        </a:ext>
                      </a:extLst>
                    </a:blip>
                    <a:srcRect t="7493"/>
                    <a:stretch/>
                  </pic:blipFill>
                  <pic:spPr bwMode="auto">
                    <a:xfrm>
                      <a:off x="0" y="0"/>
                      <a:ext cx="6120518" cy="2696271"/>
                    </a:xfrm>
                    <a:prstGeom prst="rect">
                      <a:avLst/>
                    </a:prstGeom>
                    <a:ln>
                      <a:noFill/>
                    </a:ln>
                    <a:extLst>
                      <a:ext uri="{53640926-AAD7-44D8-BBD7-CCE9431645EC}">
                        <a14:shadowObscured xmlns:a14="http://schemas.microsoft.com/office/drawing/2010/main"/>
                      </a:ext>
                    </a:extLst>
                  </pic:spPr>
                </pic:pic>
              </a:graphicData>
            </a:graphic>
          </wp:inline>
        </w:drawing>
      </w:r>
    </w:p>
    <w:p w14:paraId="06721BEB" w14:textId="3F8B4601" w:rsidR="00E87451" w:rsidRPr="00E87451" w:rsidRDefault="00E87FCA" w:rsidP="00E87FCA">
      <w:pPr>
        <w:pStyle w:val="Caption-Figure"/>
      </w:pPr>
      <w:bookmarkStart w:id="97" w:name="_Ref191898978"/>
      <w:bookmarkStart w:id="98" w:name="_Toc144196527"/>
      <w:bookmarkStart w:id="99" w:name="_Toc193445962"/>
      <w:r>
        <w:t xml:space="preserve">Figure </w:t>
      </w:r>
      <w:fldSimple w:instr=" SEQ Figure \* ARABIC ">
        <w:r w:rsidR="00E105E1">
          <w:rPr>
            <w:noProof/>
          </w:rPr>
          <w:t>14</w:t>
        </w:r>
      </w:fldSimple>
      <w:bookmarkEnd w:id="97"/>
      <w:r w:rsidR="00E87451" w:rsidRPr="00E87451">
        <w:t>. Estimated occupancy (mean probability of occurrence) of foxes in the Core and Expansion baiting zones in all surveyed years since 2007.</w:t>
      </w:r>
      <w:bookmarkEnd w:id="98"/>
      <w:bookmarkEnd w:id="99"/>
    </w:p>
    <w:p w14:paraId="6726C727" w14:textId="1E65DBE9" w:rsidR="00E87451" w:rsidRPr="00F05168" w:rsidRDefault="00E87451" w:rsidP="00E87451">
      <w:pPr>
        <w:rPr>
          <w:rFonts w:ascii="Times New Roman" w:hAnsi="Times New Roman" w:cs="Times New Roman"/>
          <w:sz w:val="22"/>
          <w:szCs w:val="28"/>
        </w:rPr>
      </w:pPr>
      <w:r w:rsidRPr="00F05168">
        <w:rPr>
          <w:rFonts w:ascii="Times New Roman" w:hAnsi="Times New Roman" w:cs="Times New Roman"/>
        </w:rPr>
        <w:t xml:space="preserve">Boxplots show the posterior distributions of the estimated occupancies within each year, derived from the </w:t>
      </w:r>
      <w:r w:rsidR="00C47AA1" w:rsidRPr="00F05168">
        <w:rPr>
          <w:rFonts w:ascii="Times New Roman" w:hAnsi="Times New Roman" w:cs="Times New Roman"/>
        </w:rPr>
        <w:t>Basic trend model</w:t>
      </w:r>
      <w:r w:rsidRPr="00F05168">
        <w:rPr>
          <w:rFonts w:ascii="Times New Roman" w:hAnsi="Times New Roman" w:cs="Times New Roman"/>
        </w:rPr>
        <w:t xml:space="preserve"> with random spatial and temporal effects. Note that for foxes, we interpreted occupancy as being indicated by the </w:t>
      </w:r>
      <w:r w:rsidRPr="00F05168">
        <w:rPr>
          <w:rFonts w:ascii="Times New Roman" w:hAnsi="Times New Roman" w:cs="Times New Roman"/>
        </w:rPr>
        <w:lastRenderedPageBreak/>
        <w:t>proportion of sites visited. The data points/circles show the raw proportions of surveyed sites with at least one fox detection (naïve occupancy). Naïve occupancy may differ from the model estimates because of low and highly uncertain detection probabilities (which for foxes, are affected by visitation rates) and because model estimates tend towards long-term means (or trends) within spatial zones. nsites</w:t>
      </w:r>
      <w:r w:rsidRPr="00F05168">
        <w:rPr>
          <w:rFonts w:ascii="Times New Roman" w:hAnsi="Times New Roman" w:cs="Times New Roman"/>
          <w:sz w:val="22"/>
          <w:szCs w:val="28"/>
        </w:rPr>
        <w:t> </w:t>
      </w:r>
      <w:r w:rsidRPr="00F05168">
        <w:rPr>
          <w:rFonts w:ascii="Times New Roman" w:hAnsi="Times New Roman" w:cs="Times New Roman"/>
        </w:rPr>
        <w:t>= number of sites.</w:t>
      </w:r>
    </w:p>
    <w:p w14:paraId="3F796AA2" w14:textId="55D98E8E" w:rsidR="005863D2" w:rsidRDefault="00FF1875" w:rsidP="005863D2">
      <w:pPr>
        <w:rPr>
          <w:lang w:eastAsia="en-AU"/>
        </w:rPr>
      </w:pPr>
      <w:r>
        <w:rPr>
          <w:noProof/>
          <w:sz w:val="18"/>
          <w:szCs w:val="22"/>
        </w:rPr>
        <w:drawing>
          <wp:inline distT="0" distB="0" distL="0" distR="0" wp14:anchorId="163EC836" wp14:editId="0193854E">
            <wp:extent cx="6120518" cy="29146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7" cstate="email">
                      <a:extLst>
                        <a:ext uri="{28A0092B-C50C-407E-A947-70E740481C1C}">
                          <a14:useLocalDpi xmlns:a14="http://schemas.microsoft.com/office/drawing/2010/main"/>
                        </a:ext>
                      </a:extLst>
                    </a:blip>
                    <a:stretch>
                      <a:fillRect/>
                    </a:stretch>
                  </pic:blipFill>
                  <pic:spPr>
                    <a:xfrm>
                      <a:off x="0" y="0"/>
                      <a:ext cx="6120518" cy="2914649"/>
                    </a:xfrm>
                    <a:prstGeom prst="rect">
                      <a:avLst/>
                    </a:prstGeom>
                  </pic:spPr>
                </pic:pic>
              </a:graphicData>
            </a:graphic>
          </wp:inline>
        </w:drawing>
      </w:r>
    </w:p>
    <w:p w14:paraId="48F2BF55" w14:textId="0D12B73F" w:rsidR="00F05168" w:rsidRDefault="00E87FCA" w:rsidP="00E87FCA">
      <w:pPr>
        <w:pStyle w:val="Caption-Figure"/>
      </w:pPr>
      <w:bookmarkStart w:id="100" w:name="_Ref191899020"/>
      <w:bookmarkStart w:id="101" w:name="_Toc193445963"/>
      <w:r>
        <w:t xml:space="preserve">Figure </w:t>
      </w:r>
      <w:fldSimple w:instr=" SEQ Figure \* ARABIC ">
        <w:r w:rsidR="00E105E1">
          <w:rPr>
            <w:noProof/>
          </w:rPr>
          <w:t>15</w:t>
        </w:r>
      </w:fldSimple>
      <w:bookmarkEnd w:id="100"/>
      <w:r w:rsidR="00F177AB" w:rsidRPr="00F07851">
        <w:t xml:space="preserve">. Estimated </w:t>
      </w:r>
      <w:r w:rsidR="005810F6">
        <w:t xml:space="preserve">partial </w:t>
      </w:r>
      <w:r w:rsidR="00F177AB" w:rsidRPr="00F07851">
        <w:t xml:space="preserve">relationship between the probability of fox </w:t>
      </w:r>
      <w:r w:rsidR="00F177AB">
        <w:t>occurrence</w:t>
      </w:r>
      <w:r w:rsidR="00F177AB" w:rsidRPr="00F07851">
        <w:t xml:space="preserve"> and </w:t>
      </w:r>
      <w:r w:rsidR="00F177AB">
        <w:t>the mean fraction of absorbed photosynthetically available radiation (FAPAR) at baited (orange) and unbaited (grey).</w:t>
      </w:r>
      <w:bookmarkEnd w:id="101"/>
      <w:r w:rsidR="00F177AB">
        <w:t xml:space="preserve"> </w:t>
      </w:r>
    </w:p>
    <w:p w14:paraId="07A9EFDF" w14:textId="29D419E9" w:rsidR="00F177AB" w:rsidRPr="00F05168" w:rsidRDefault="00F177AB" w:rsidP="00F05168">
      <w:pPr>
        <w:rPr>
          <w:rFonts w:ascii="Times New Roman" w:hAnsi="Times New Roman" w:cs="Times New Roman"/>
          <w:lang w:eastAsia="en-AU"/>
        </w:rPr>
      </w:pPr>
      <w:r w:rsidRPr="00F05168">
        <w:rPr>
          <w:rFonts w:ascii="Times New Roman" w:hAnsi="Times New Roman" w:cs="Times New Roman"/>
          <w:lang w:eastAsia="en-AU"/>
        </w:rPr>
        <w:t>FAPAR was averaged over the 12 months prior to camera retrieval and measured at 300 m resolution (values taken from the pixel containing trap coordinates).</w:t>
      </w:r>
      <w:r w:rsidR="4B40CC8C" w:rsidRPr="00F05168">
        <w:rPr>
          <w:rFonts w:ascii="Times New Roman" w:hAnsi="Times New Roman" w:cs="Times New Roman"/>
          <w:lang w:eastAsia="en-AU"/>
        </w:rPr>
        <w:t xml:space="preserve"> Note the lar</w:t>
      </w:r>
      <w:r w:rsidR="5DB1F5A8" w:rsidRPr="00F05168">
        <w:rPr>
          <w:rFonts w:ascii="Times New Roman" w:hAnsi="Times New Roman" w:cs="Times New Roman"/>
          <w:lang w:eastAsia="en-AU"/>
        </w:rPr>
        <w:t xml:space="preserve">ge uncertainties, and overlapping credible intervals, at FAPAR values below </w:t>
      </w:r>
      <w:r w:rsidR="1756B97F" w:rsidRPr="00F05168">
        <w:rPr>
          <w:rFonts w:ascii="Times New Roman" w:hAnsi="Times New Roman" w:cs="Times New Roman"/>
          <w:lang w:eastAsia="en-AU"/>
        </w:rPr>
        <w:t>65</w:t>
      </w:r>
      <w:r w:rsidR="384F4149" w:rsidRPr="00F05168">
        <w:rPr>
          <w:rFonts w:ascii="Times New Roman" w:hAnsi="Times New Roman" w:cs="Times New Roman"/>
          <w:lang w:eastAsia="en-AU"/>
        </w:rPr>
        <w:t>: t</w:t>
      </w:r>
      <w:r w:rsidR="526EE399" w:rsidRPr="00F05168">
        <w:rPr>
          <w:rFonts w:ascii="Times New Roman" w:hAnsi="Times New Roman" w:cs="Times New Roman"/>
          <w:lang w:eastAsia="en-AU"/>
        </w:rPr>
        <w:t xml:space="preserve">he negative effect of baiting on fox occurrence is </w:t>
      </w:r>
      <w:r w:rsidR="53745592" w:rsidRPr="00F05168">
        <w:rPr>
          <w:rFonts w:ascii="Times New Roman" w:hAnsi="Times New Roman" w:cs="Times New Roman"/>
          <w:lang w:eastAsia="en-AU"/>
        </w:rPr>
        <w:t>only evident at high FAPAR values (&gt;70).</w:t>
      </w:r>
      <w:r w:rsidR="2E546F65" w:rsidRPr="00F05168">
        <w:rPr>
          <w:rFonts w:ascii="Times New Roman" w:hAnsi="Times New Roman" w:cs="Times New Roman"/>
          <w:lang w:eastAsia="en-AU"/>
        </w:rPr>
        <w:t xml:space="preserve"> There is insufficient data at low FAPAR values to make meaningful comparisons between baited and unbaited sites.</w:t>
      </w:r>
      <w:r w:rsidR="53745592" w:rsidRPr="00F05168">
        <w:rPr>
          <w:rFonts w:ascii="Times New Roman" w:hAnsi="Times New Roman" w:cs="Times New Roman"/>
          <w:lang w:eastAsia="en-AU"/>
        </w:rPr>
        <w:t xml:space="preserve"> </w:t>
      </w:r>
    </w:p>
    <w:p w14:paraId="212198B6" w14:textId="55D85262" w:rsidR="00E87451" w:rsidRPr="00CE7E5D" w:rsidRDefault="00544ADA" w:rsidP="00F44B95">
      <w:pPr>
        <w:pStyle w:val="Heading2-Numbered"/>
      </w:pPr>
      <w:r>
        <w:br w:type="page"/>
      </w:r>
      <w:bookmarkStart w:id="102" w:name="_Toc192146595"/>
      <w:r w:rsidR="00E87451">
        <w:lastRenderedPageBreak/>
        <w:t>Feral cat occupancy</w:t>
      </w:r>
      <w:bookmarkEnd w:id="102"/>
    </w:p>
    <w:p w14:paraId="627AF3FB" w14:textId="538A0553" w:rsidR="00FF1875" w:rsidRPr="002E1B82" w:rsidRDefault="00FF1875" w:rsidP="00FF1875">
      <w:r w:rsidRPr="002E1B82">
        <w:t>There was no substantive difference in feral cat occurrence between baiting zones, and no consistent trends in cat occurrence in either zone (</w:t>
      </w:r>
      <w:r w:rsidR="00E87FCA">
        <w:fldChar w:fldCharType="begin"/>
      </w:r>
      <w:r w:rsidR="00E87FCA">
        <w:instrText xml:space="preserve"> REF _Ref191899063 \h </w:instrText>
      </w:r>
      <w:r w:rsidR="00E87FCA">
        <w:fldChar w:fldCharType="separate"/>
      </w:r>
      <w:r w:rsidR="00C47AEE">
        <w:t xml:space="preserve">Figure </w:t>
      </w:r>
      <w:r w:rsidR="00C47AEE">
        <w:rPr>
          <w:noProof/>
        </w:rPr>
        <w:t>16</w:t>
      </w:r>
      <w:r w:rsidR="00E87FCA">
        <w:fldChar w:fldCharType="end"/>
      </w:r>
      <w:r w:rsidRPr="002E1B82">
        <w:t>,</w:t>
      </w:r>
      <w:r w:rsidR="00FE065F">
        <w:t xml:space="preserve"> </w:t>
      </w:r>
      <w:r w:rsidR="00F44B95">
        <w:t>Table A6</w:t>
      </w:r>
      <w:r w:rsidRPr="002E1B82">
        <w:t xml:space="preserve">). No variables had support as predictors of feral cat occurrence in the variable selection model. </w:t>
      </w:r>
    </w:p>
    <w:p w14:paraId="58B94C40" w14:textId="359F8690" w:rsidR="00E87451" w:rsidRDefault="00A60165" w:rsidP="00E87451">
      <w:r>
        <w:rPr>
          <w:noProof/>
        </w:rPr>
        <w:drawing>
          <wp:inline distT="0" distB="0" distL="0" distR="0" wp14:anchorId="43FA0287" wp14:editId="79D1ECE3">
            <wp:extent cx="6120765" cy="270993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58" cstate="email">
                      <a:extLst>
                        <a:ext uri="{28A0092B-C50C-407E-A947-70E740481C1C}">
                          <a14:useLocalDpi xmlns:a14="http://schemas.microsoft.com/office/drawing/2010/main"/>
                        </a:ext>
                      </a:extLst>
                    </a:blip>
                    <a:srcRect t="7023"/>
                    <a:stretch/>
                  </pic:blipFill>
                  <pic:spPr bwMode="auto">
                    <a:xfrm>
                      <a:off x="0" y="0"/>
                      <a:ext cx="6120765" cy="2709934"/>
                    </a:xfrm>
                    <a:prstGeom prst="rect">
                      <a:avLst/>
                    </a:prstGeom>
                    <a:ln>
                      <a:noFill/>
                    </a:ln>
                    <a:extLst>
                      <a:ext uri="{53640926-AAD7-44D8-BBD7-CCE9431645EC}">
                        <a14:shadowObscured xmlns:a14="http://schemas.microsoft.com/office/drawing/2010/main"/>
                      </a:ext>
                    </a:extLst>
                  </pic:spPr>
                </pic:pic>
              </a:graphicData>
            </a:graphic>
          </wp:inline>
        </w:drawing>
      </w:r>
    </w:p>
    <w:p w14:paraId="337DDB3D" w14:textId="40C06341" w:rsidR="00E87451" w:rsidRDefault="00E87FCA" w:rsidP="00E87FCA">
      <w:pPr>
        <w:pStyle w:val="Caption-Figure"/>
      </w:pPr>
      <w:bookmarkStart w:id="103" w:name="_Ref191899063"/>
      <w:bookmarkStart w:id="104" w:name="_Toc193445964"/>
      <w:r>
        <w:t xml:space="preserve">Figure </w:t>
      </w:r>
      <w:fldSimple w:instr=" SEQ Figure \* ARABIC ">
        <w:r w:rsidR="00E105E1">
          <w:rPr>
            <w:noProof/>
          </w:rPr>
          <w:t>16</w:t>
        </w:r>
      </w:fldSimple>
      <w:bookmarkEnd w:id="103"/>
      <w:r w:rsidR="00E87451" w:rsidRPr="00E87451">
        <w:t>. Estimated occupancy (mean probability of occurrence) of feral cats in the Core and Expansion baiting zones in all surveyed years since 2007.</w:t>
      </w:r>
      <w:bookmarkEnd w:id="104"/>
    </w:p>
    <w:p w14:paraId="73311E63" w14:textId="258C57A2" w:rsidR="00E87451" w:rsidRPr="00F05168" w:rsidRDefault="00E87451" w:rsidP="00E87451">
      <w:pPr>
        <w:rPr>
          <w:rFonts w:ascii="Times New Roman" w:hAnsi="Times New Roman" w:cs="Times New Roman"/>
        </w:rPr>
      </w:pPr>
      <w:r w:rsidRPr="00F05168">
        <w:rPr>
          <w:rFonts w:ascii="Times New Roman" w:hAnsi="Times New Roman" w:cs="Times New Roman"/>
        </w:rPr>
        <w:t xml:space="preserve">Boxplots show posterior distributions of the estimated feral cat occupancy within each year, derived from the </w:t>
      </w:r>
      <w:r w:rsidR="00C47AA1" w:rsidRPr="00F05168">
        <w:rPr>
          <w:rFonts w:ascii="Times New Roman" w:hAnsi="Times New Roman" w:cs="Times New Roman"/>
        </w:rPr>
        <w:t>Basic trend model</w:t>
      </w:r>
      <w:r w:rsidRPr="00F05168">
        <w:rPr>
          <w:rFonts w:ascii="Times New Roman" w:hAnsi="Times New Roman" w:cs="Times New Roman"/>
        </w:rPr>
        <w:t xml:space="preserve"> with random spatial and temporal effects. Note that</w:t>
      </w:r>
      <w:r w:rsidR="00461F60">
        <w:rPr>
          <w:rFonts w:ascii="Times New Roman" w:hAnsi="Times New Roman" w:cs="Times New Roman"/>
        </w:rPr>
        <w:t xml:space="preserve"> </w:t>
      </w:r>
      <w:r w:rsidRPr="00F05168">
        <w:rPr>
          <w:rFonts w:ascii="Times New Roman" w:hAnsi="Times New Roman" w:cs="Times New Roman"/>
        </w:rPr>
        <w:t>for cats, we define occupancy as the proportion of sites visited. Data points/circles show the raw proportions of the surveyed sites with at least one cat detection (naïve occupancy). Naïve occupancy may differ from model estimates because of low and highly uncertain detection probabilities (which, for cats, are affected by visitation rates) and because model estimates tend towards long-term means (or trends) within spatial zones. nsites = number of sites.</w:t>
      </w:r>
    </w:p>
    <w:p w14:paraId="3B2A1A8D" w14:textId="1A949939" w:rsidR="004A4A5B" w:rsidRPr="00243764" w:rsidRDefault="004A4A5B" w:rsidP="00C87A5A"/>
    <w:p w14:paraId="2CA30D48" w14:textId="145A2ADF" w:rsidR="00980E26" w:rsidRDefault="005B531E" w:rsidP="004A4A5B">
      <w:pPr>
        <w:pStyle w:val="Heading1-Numbered"/>
      </w:pPr>
      <w:bookmarkStart w:id="105" w:name="_Ref369778966"/>
      <w:bookmarkStart w:id="106" w:name="_Toc409798415"/>
      <w:bookmarkStart w:id="107" w:name="_Toc286018768"/>
      <w:r>
        <w:rPr>
          <w:color w:val="FF0000"/>
        </w:rPr>
        <w:br w:type="page"/>
      </w:r>
      <w:bookmarkStart w:id="108" w:name="_Toc192146596"/>
      <w:bookmarkEnd w:id="105"/>
      <w:bookmarkEnd w:id="106"/>
      <w:bookmarkEnd w:id="107"/>
      <w:r w:rsidR="00B75607">
        <w:lastRenderedPageBreak/>
        <w:t>Summary</w:t>
      </w:r>
      <w:bookmarkEnd w:id="108"/>
    </w:p>
    <w:p w14:paraId="73E5FBC1" w14:textId="7F117580" w:rsidR="009C127D" w:rsidRDefault="004F26CC" w:rsidP="009C127D">
      <w:r>
        <w:t>Seventeen years since fox control began in the Core zone and four years after it commenced in the Expansion zone</w:t>
      </w:r>
      <w:r w:rsidR="000C1936">
        <w:t>,</w:t>
      </w:r>
      <w:r>
        <w:t xml:space="preserve"> there </w:t>
      </w:r>
      <w:r w:rsidR="00C87A5A">
        <w:t xml:space="preserve">is good evidence that Long-footed Potoroos have </w:t>
      </w:r>
      <w:r>
        <w:t xml:space="preserve">significantly </w:t>
      </w:r>
      <w:r w:rsidR="00C87A5A">
        <w:t xml:space="preserve">increased </w:t>
      </w:r>
      <w:r>
        <w:t xml:space="preserve">the number of sites at which they are found and expanded the area over which they occur. </w:t>
      </w:r>
      <w:r w:rsidR="00C87A5A">
        <w:t xml:space="preserve">The increases </w:t>
      </w:r>
      <w:r w:rsidR="00025D8A">
        <w:t xml:space="preserve">in occupancy </w:t>
      </w:r>
      <w:r w:rsidR="00C87A5A">
        <w:t xml:space="preserve">can largely be explained by </w:t>
      </w:r>
      <w:r>
        <w:t xml:space="preserve">the length of </w:t>
      </w:r>
      <w:r w:rsidR="00CB7B66">
        <w:t>time</w:t>
      </w:r>
      <w:r>
        <w:t xml:space="preserve"> </w:t>
      </w:r>
      <w:r w:rsidR="00CB7B66">
        <w:t>since</w:t>
      </w:r>
      <w:r>
        <w:t xml:space="preserve"> the last </w:t>
      </w:r>
      <w:r w:rsidR="002757DB">
        <w:t>fire</w:t>
      </w:r>
      <w:r>
        <w:t xml:space="preserve"> (the longer the period the higher the chance of </w:t>
      </w:r>
      <w:r w:rsidR="00916272">
        <w:t>Long-footed Potoroos</w:t>
      </w:r>
      <w:r>
        <w:t xml:space="preserve"> occurring there)</w:t>
      </w:r>
      <w:r w:rsidR="00CB7B66">
        <w:t xml:space="preserve"> and the interaction between </w:t>
      </w:r>
      <w:r>
        <w:t xml:space="preserve">habitat productivity (the surrogate variable </w:t>
      </w:r>
      <w:r w:rsidR="009C127D">
        <w:t>–</w:t>
      </w:r>
      <w:r>
        <w:t xml:space="preserve"> </w:t>
      </w:r>
      <w:r w:rsidR="00CB7B66">
        <w:t>FAPAR</w:t>
      </w:r>
      <w:r w:rsidR="009C127D">
        <w:t xml:space="preserve"> representing plant productivity and/or density</w:t>
      </w:r>
      <w:r>
        <w:t>)</w:t>
      </w:r>
      <w:r w:rsidR="00CB7B66">
        <w:t xml:space="preserve"> and </w:t>
      </w:r>
      <w:r>
        <w:t xml:space="preserve">the ongoing </w:t>
      </w:r>
      <w:r w:rsidR="00CB7B66">
        <w:t>fox baiting</w:t>
      </w:r>
      <w:r>
        <w:t xml:space="preserve"> (good habitat + fox control = more sites occupied)</w:t>
      </w:r>
      <w:r w:rsidR="009C127D">
        <w:t>.</w:t>
      </w:r>
      <w:r>
        <w:t xml:space="preserve"> </w:t>
      </w:r>
      <w:r w:rsidR="009C127D">
        <w:t xml:space="preserve">There are at least two plausible explanations for the observed interaction, 1) </w:t>
      </w:r>
      <w:r w:rsidR="004E5EDC">
        <w:t>t</w:t>
      </w:r>
      <w:r w:rsidR="009C127D">
        <w:t xml:space="preserve">he response of Long-footed Potoroos to increases in underlying plant productivity or cover is dependent on fox density, with Potoroo preferences for high FAPAR sites only expressed when fox densities are low, or 2) FAPAR is relatively unimportant to </w:t>
      </w:r>
      <w:r w:rsidR="00DF4809">
        <w:t>Long-footed Potoroos</w:t>
      </w:r>
      <w:r w:rsidR="009C127D">
        <w:t xml:space="preserve">, but </w:t>
      </w:r>
      <w:r w:rsidR="00DF4809">
        <w:t>they</w:t>
      </w:r>
      <w:r w:rsidR="009C127D">
        <w:t xml:space="preserve"> are more likely to occur where fox densities are low, and fox densities are lowest in high FAPAR value, baited sites. The negative relationship between fox occurrence and FAPAR and negative FAPAR x Baited interaction in the </w:t>
      </w:r>
      <w:r w:rsidR="004E5EDC">
        <w:t>f</w:t>
      </w:r>
      <w:r w:rsidR="009C127D">
        <w:t>ox occupancy model supports the second explanation (fox densities are lower in high FAPAR sites, and especially low in baited-high-FAPAR sites) but does not preclude the former. Regardless of the interaction between fox bating and FAPAR, results indicate that the expansion of fox baiting in 2021 has contributed to a substantial increase in the prevalence of Long-footed Potoroo within the Expansion Zone.</w:t>
      </w:r>
    </w:p>
    <w:p w14:paraId="36035362" w14:textId="71A41179" w:rsidR="009C127D" w:rsidRDefault="009C127D" w:rsidP="009C127D">
      <w:pPr>
        <w:rPr>
          <w:rFonts w:ascii="Calibri" w:hAnsi="Calibri" w:cs="Calibri"/>
          <w:szCs w:val="22"/>
        </w:rPr>
      </w:pPr>
      <w:r>
        <w:t xml:space="preserve">We have taken FAPAR to be a representation of underlying plant productivity, it may however be confounded with vegetation structure. To disentangle this plausible relationship, site specific habitat and vegetation structural variables could be used to separate out the role of habitat from productivity. Alternatively, more detailed structural remotely sensed data might be available from light detecting and ranging (LiDAR) data, e.g. Hawbaker et al. (2009) used this to assess forest vegetation structure and biomass. We recommend collecting </w:t>
      </w:r>
      <w:r w:rsidR="00267382">
        <w:t xml:space="preserve">more detailed vegetation </w:t>
      </w:r>
      <w:r>
        <w:t>structural data as part of the next monitoring round.</w:t>
      </w:r>
      <w:r w:rsidR="00CC61DE">
        <w:t xml:space="preserve"> In addition, during exploratory analysis of the most recent data</w:t>
      </w:r>
      <w:r w:rsidR="008A390B">
        <w:t>,</w:t>
      </w:r>
      <w:r w:rsidR="00CC61DE">
        <w:t xml:space="preserve"> there was some indication that </w:t>
      </w:r>
      <w:r w:rsidR="00CC61DE" w:rsidRPr="00CC61DE">
        <w:t>the relationship</w:t>
      </w:r>
      <w:r w:rsidR="00CC61DE">
        <w:t>s</w:t>
      </w:r>
      <w:r w:rsidR="00CC61DE" w:rsidRPr="00CC61DE">
        <w:t xml:space="preserve"> with </w:t>
      </w:r>
      <w:r w:rsidR="00CC61DE">
        <w:t xml:space="preserve">Long-footed Potoroo occurrence and </w:t>
      </w:r>
      <w:r w:rsidR="00CC61DE" w:rsidRPr="00CC61DE">
        <w:t xml:space="preserve">HDM values and other predictors is </w:t>
      </w:r>
      <w:r w:rsidR="00267382">
        <w:t>becoming less certain</w:t>
      </w:r>
      <w:r w:rsidR="00CC61DE" w:rsidRPr="00CC61DE">
        <w:t>, but it needs more data and / or a more complex analyses to make any reliable inferences</w:t>
      </w:r>
      <w:r w:rsidR="00CC61DE">
        <w:t>.</w:t>
      </w:r>
    </w:p>
    <w:p w14:paraId="2BB97443" w14:textId="4CE2929A" w:rsidR="00D93B15" w:rsidRDefault="00D93B15" w:rsidP="00D93B15">
      <w:pPr>
        <w:rPr>
          <w:rFonts w:ascii="Calibri" w:hAnsi="Calibri" w:cs="Calibri"/>
          <w:szCs w:val="22"/>
        </w:rPr>
      </w:pPr>
      <w:r>
        <w:t>Ecological systems are complex and understanding the importance of a range of variables on the response of species to management interventions is challenging. Interactions</w:t>
      </w:r>
      <w:r w:rsidR="0076676A">
        <w:t xml:space="preserve"> between variable</w:t>
      </w:r>
      <w:r w:rsidR="00B92857">
        <w:t>s</w:t>
      </w:r>
      <w:r>
        <w:t xml:space="preserve"> introduce</w:t>
      </w:r>
      <w:r w:rsidR="0076676A">
        <w:t xml:space="preserve"> further</w:t>
      </w:r>
      <w:r>
        <w:t xml:space="preserve"> complexity as the relationship between variables is not straightforward or additive. Instead, the effect of one variable on the outcome depends on the level of another variable, e.g., the importance of FAPAR and baiting.</w:t>
      </w:r>
    </w:p>
    <w:p w14:paraId="2B32D508" w14:textId="2561F447" w:rsidR="00B75607" w:rsidRPr="0053780B" w:rsidRDefault="00B75607" w:rsidP="00B75607">
      <w:r w:rsidRPr="0053780B">
        <w:t xml:space="preserve">Previous analysis of the camera trap data provided naïve occupancy estimates for the Long-nosed Bandicoot and Superb Lyrebird which showed potential positive responses to reduced fox abundance. While </w:t>
      </w:r>
      <w:r w:rsidR="00CC61DE" w:rsidRPr="0053780B">
        <w:t xml:space="preserve">Long-nosed </w:t>
      </w:r>
      <w:r w:rsidR="00EC0FE1">
        <w:t>B</w:t>
      </w:r>
      <w:r w:rsidR="00CC61DE" w:rsidRPr="0053780B">
        <w:t>andicoots have increased markedly in both the Core and expansion zones in both 2023 and 2024</w:t>
      </w:r>
      <w:r w:rsidR="006751E5">
        <w:t xml:space="preserve">, </w:t>
      </w:r>
      <w:r w:rsidR="00CC61DE" w:rsidRPr="0053780B">
        <w:t xml:space="preserve">compared to previous years, none of the predictor variables shed light on the drivers of </w:t>
      </w:r>
      <w:r w:rsidR="0053780B" w:rsidRPr="0053780B">
        <w:t>this</w:t>
      </w:r>
      <w:r w:rsidR="00CC61DE" w:rsidRPr="0053780B">
        <w:t xml:space="preserve"> response. Similar increases have been observed in the Southern Ark landscape over the same period (</w:t>
      </w:r>
      <w:r w:rsidR="0053780B" w:rsidRPr="0053780B">
        <w:t>Cally 2024, unpublished</w:t>
      </w:r>
      <w:r w:rsidR="00CC61DE" w:rsidRPr="0053780B">
        <w:t>)</w:t>
      </w:r>
      <w:r w:rsidRPr="0053780B">
        <w:t>. Superb Lyrebird occurrenc</w:t>
      </w:r>
      <w:r w:rsidR="0053780B" w:rsidRPr="0053780B">
        <w:t>e remains significantly higher in the Core Zone, with no detectable trend in either zone</w:t>
      </w:r>
      <w:r w:rsidRPr="0053780B">
        <w:t xml:space="preserve">. </w:t>
      </w:r>
      <w:r w:rsidR="0053780B" w:rsidRPr="0053780B">
        <w:t>Although</w:t>
      </w:r>
      <w:r w:rsidRPr="0053780B">
        <w:t xml:space="preserve"> no detectable response to baiting was observed, </w:t>
      </w:r>
      <w:r w:rsidR="0053780B" w:rsidRPr="0053780B">
        <w:t>l</w:t>
      </w:r>
      <w:r w:rsidRPr="0053780B">
        <w:t>ong-term fox control has been shown to positively influence Lyrebird activity (Claridge et al. 2010). The camera trap survey methods collect data on a wide range of native species that could potentially respond to reductions in fox density. A multi-species</w:t>
      </w:r>
      <w:r w:rsidR="006751E5">
        <w:t>,</w:t>
      </w:r>
      <w:r w:rsidRPr="0053780B">
        <w:t xml:space="preserve"> hierarchical occupancy modelling framework could be applied to these data</w:t>
      </w:r>
      <w:r w:rsidR="006751E5">
        <w:t>,</w:t>
      </w:r>
      <w:r w:rsidRPr="0053780B">
        <w:t xml:space="preserve"> to provide insights into the response of a wide range of species to fox baiting operations.</w:t>
      </w:r>
      <w:r w:rsidRPr="0053780B">
        <w:rPr>
          <w:shd w:val="clear" w:color="auto" w:fill="ECF1C1" w:themeFill="background2" w:themeFillShade="E6"/>
        </w:rPr>
        <w:t xml:space="preserve"> </w:t>
      </w:r>
    </w:p>
    <w:p w14:paraId="52A32DE3" w14:textId="7DAD4F8F" w:rsidR="0076676A" w:rsidRPr="00026ABA" w:rsidRDefault="0076676A" w:rsidP="0076676A">
      <w:r w:rsidRPr="0053780B">
        <w:t>There is good evidence that fox baiting is associated with declines in fox occurrence (activity). Fox occurrence was lower on average in baited sites and declined with increasing FA</w:t>
      </w:r>
      <w:r w:rsidRPr="00026ABA">
        <w:t xml:space="preserve">PAR value in both baited and unbaited sites but declined more rapidly with FAPAR in baited sites. That is, foxes were least likely to occur </w:t>
      </w:r>
      <w:r w:rsidR="008C2942">
        <w:t xml:space="preserve">at </w:t>
      </w:r>
      <w:r w:rsidRPr="00026ABA">
        <w:t>(visit) baited sites with high FAPAR si</w:t>
      </w:r>
      <w:r w:rsidR="008C2942">
        <w:t>t</w:t>
      </w:r>
      <w:r w:rsidRPr="00026ABA">
        <w:t xml:space="preserve">es. </w:t>
      </w:r>
    </w:p>
    <w:p w14:paraId="63008BAC" w14:textId="1BD4CE73" w:rsidR="00037316" w:rsidRDefault="00037316" w:rsidP="00037316">
      <w:r>
        <w:t>The negative relationship between fox occurrence and FAPAR could arise spuriously if foxes were less detectable, when present, in high value FAPAR sites. Unfortunately, with the data available,</w:t>
      </w:r>
      <w:r w:rsidR="004441CB">
        <w:t xml:space="preserve"> there is no way to separate detectability per se from the probability of a site being visited</w:t>
      </w:r>
      <w:r>
        <w:t xml:space="preserve">. Movement data from tracking individuals would be required. However, it is doubtful that foxes would be less likely to be captured by a camera trap when they visited a site with high FAPAR values than when they visited a site with lower values. </w:t>
      </w:r>
    </w:p>
    <w:p w14:paraId="6994E7FC" w14:textId="1D8E4319" w:rsidR="00C87A5A" w:rsidRDefault="00C87A5A" w:rsidP="00C87A5A">
      <w:r>
        <w:t xml:space="preserve">With ongoing baiting, we expect fox densities to continue to decline in the Core and Expansion zones. </w:t>
      </w:r>
      <w:bookmarkStart w:id="109" w:name="_Hlk161747679"/>
      <w:r>
        <w:t xml:space="preserve">If fox densities decline further in the Barry Mountains area, we can </w:t>
      </w:r>
      <w:r w:rsidR="00535D5B">
        <w:t xml:space="preserve">clarify the influence of foxes on the apparent habitat preferences of Long-footed Potoroo by </w:t>
      </w:r>
      <w:r>
        <w:t>assess</w:t>
      </w:r>
      <w:r w:rsidR="00535D5B">
        <w:t>ing</w:t>
      </w:r>
      <w:r>
        <w:t xml:space="preserve"> whether </w:t>
      </w:r>
      <w:r w:rsidR="00535D5B">
        <w:t xml:space="preserve">the relationships between </w:t>
      </w:r>
      <w:r>
        <w:t>Long-footed Potoroo</w:t>
      </w:r>
      <w:r w:rsidR="00535D5B">
        <w:t xml:space="preserve"> occupancy and habitat variables (HDM, FAPAR, time-since-fire) change as fox densities decline. </w:t>
      </w:r>
    </w:p>
    <w:p w14:paraId="437F3DFF" w14:textId="7126FB0E" w:rsidR="00494ABE" w:rsidRDefault="00494ABE" w:rsidP="00494ABE">
      <w:r>
        <w:lastRenderedPageBreak/>
        <w:t xml:space="preserve">We demonstrated a </w:t>
      </w:r>
      <w:r w:rsidR="00BF0EBB">
        <w:t xml:space="preserve">decreasing temporal </w:t>
      </w:r>
      <w:r>
        <w:t xml:space="preserve">trend </w:t>
      </w:r>
      <w:r w:rsidR="00BF0EBB">
        <w:t xml:space="preserve">in the </w:t>
      </w:r>
      <w:r>
        <w:t xml:space="preserve">occurrence </w:t>
      </w:r>
      <w:r w:rsidR="00BF0EBB">
        <w:t>of</w:t>
      </w:r>
      <w:r>
        <w:t xml:space="preserve"> foxes across both zones, with a slightly stronger rate of decline in the Core </w:t>
      </w:r>
      <w:r w:rsidR="00685941">
        <w:t>z</w:t>
      </w:r>
      <w:r>
        <w:t xml:space="preserve">one, as might be expected given the longer duration of fox control in that area. Although baiting in the Core zone has been irregular, with continuous baiting from 2004 to 2009, followed by reduced baiting until 2021, and then continuous baiting again. Despite these fluctuations, fox occurrence was approximately 80% lower at Core baited sites compared to Expansion unbaited sites. In contrast, the Expansion zone's baiting program covers a larger area but is not continuous throughout the year, particularly in State Forests. </w:t>
      </w:r>
      <w:r w:rsidR="003A713F">
        <w:t>While the</w:t>
      </w:r>
      <w:r>
        <w:t xml:space="preserve"> spatial model predicted a substantial reduction in fox density with a continuous baiting program</w:t>
      </w:r>
      <w:r w:rsidR="00267B2A">
        <w:t xml:space="preserve"> </w:t>
      </w:r>
      <w:r w:rsidR="00AD1520">
        <w:t>(</w:t>
      </w:r>
      <w:r w:rsidR="00267B2A">
        <w:t>Robley et al. 2023)</w:t>
      </w:r>
      <w:r>
        <w:t xml:space="preserve">, the actual pulsed baiting strategy may not be as effective, potentially allowing for immigration and compensatory </w:t>
      </w:r>
      <w:r w:rsidR="00CD379E">
        <w:t>recruitment</w:t>
      </w:r>
      <w:r>
        <w:t xml:space="preserve"> among fox populations.</w:t>
      </w:r>
    </w:p>
    <w:p w14:paraId="04E47903" w14:textId="77777777" w:rsidR="00494ABE" w:rsidRDefault="00494ABE" w:rsidP="00494ABE">
      <w:r>
        <w:t>No significant difference in feral cat occupancy was found between the Core and Expansion zones, possibly due to the low feral cat detection rate, which could be attributed to various factors such as lure preference or active exclusion from fox-occupied sites.</w:t>
      </w:r>
    </w:p>
    <w:p w14:paraId="06414F10" w14:textId="3D7C86B3" w:rsidR="00CC50A9" w:rsidRPr="007D16B0" w:rsidRDefault="00C87A5A" w:rsidP="00544ADA">
      <w:pPr>
        <w:pStyle w:val="Heading2-Numbered"/>
      </w:pPr>
      <w:bookmarkStart w:id="110" w:name="_Toc192146597"/>
      <w:bookmarkEnd w:id="109"/>
      <w:r>
        <w:t>Conclusion</w:t>
      </w:r>
      <w:bookmarkEnd w:id="110"/>
    </w:p>
    <w:p w14:paraId="3C80B22F" w14:textId="58B94979" w:rsidR="007D3D47" w:rsidRDefault="007D3D47" w:rsidP="00C87A5A">
      <w:r w:rsidRPr="007D3D47">
        <w:t xml:space="preserve">This study highlights </w:t>
      </w:r>
      <w:r w:rsidR="009C40F2">
        <w:t xml:space="preserve">that </w:t>
      </w:r>
      <w:r w:rsidRPr="007D3D47">
        <w:t>native species response</w:t>
      </w:r>
      <w:r w:rsidR="00BA5AF3">
        <w:t>s</w:t>
      </w:r>
      <w:r w:rsidRPr="007D3D47">
        <w:t xml:space="preserve"> to reduc</w:t>
      </w:r>
      <w:r w:rsidR="00BA5AF3">
        <w:t>tions in</w:t>
      </w:r>
      <w:r w:rsidRPr="007D3D47">
        <w:t xml:space="preserve"> an introduced predator ha</w:t>
      </w:r>
      <w:r w:rsidR="006D0B1E">
        <w:t>ve</w:t>
      </w:r>
      <w:r w:rsidRPr="007D3D47">
        <w:t xml:space="preserve"> complex outcomes. It highlights the importance of monitoring plausible influential variables such as habitat suitability, productivity, fire history and changes in predators over the long-term to understand Long-footed Potoroo occupancy dynamics.</w:t>
      </w:r>
    </w:p>
    <w:p w14:paraId="4F57ECCB" w14:textId="0BEFD0BC" w:rsidR="00AB1D72" w:rsidRDefault="00AB1D72" w:rsidP="00AB1D72">
      <w:r w:rsidRPr="00026ABA">
        <w:t>This study also reinforces</w:t>
      </w:r>
      <w:r>
        <w:t xml:space="preserve"> the need to maintain landscape scale, long-term fox control to achieve and maintain biodiversity gains. While the current Barry Mountains </w:t>
      </w:r>
      <w:r w:rsidR="001A173C">
        <w:t>fox</w:t>
      </w:r>
      <w:r>
        <w:t xml:space="preserve"> control has reduced fox abundance, foxes are still present in the landscape. Cessation of fox control would allow the fox population to recover, increasing the impacts on Long-footed Potoroos and other native species at risk from fox predation.</w:t>
      </w:r>
    </w:p>
    <w:p w14:paraId="0E83BAEC" w14:textId="752E210E" w:rsidR="00935FDB" w:rsidRDefault="00AB1D72" w:rsidP="00C87A5A">
      <w:r>
        <w:t>The role of feral cats in significantly impacting Australia’s biodiversity has been widely researched (Hamer et al. 2020). While we have not been able to detect a significant number of feral cats (due most likely to the current camera trapping design)</w:t>
      </w:r>
      <w:r w:rsidR="009C40F2">
        <w:t>,</w:t>
      </w:r>
      <w:r>
        <w:t xml:space="preserve"> it has been shown that densities of feral cats in wet or productive forests can be very high (Rees et al. 2019). There is also some evidence that feral cats can increase in areas with reduced fox abundance (Rees et al. 2023). More work is required in the Barry Mountains to determine the relative influence of feral cats on Long-footed Potoroos and other native species. </w:t>
      </w:r>
    </w:p>
    <w:p w14:paraId="086F3D67" w14:textId="4286317A" w:rsidR="009C127D" w:rsidRDefault="009C127D" w:rsidP="009C127D">
      <w:r>
        <w:t>These updated results highlight the importance of both the need to continue the landscape scale fox control program but also the value of the monitoring</w:t>
      </w:r>
      <w:r w:rsidR="009C40F2">
        <w:t>,</w:t>
      </w:r>
      <w:r>
        <w:t xml:space="preserve"> which identified features important to the ongoing persistence and expansion of the Long-footed Potoroo Great Dividing Range population. </w:t>
      </w:r>
    </w:p>
    <w:p w14:paraId="6A339293" w14:textId="77777777" w:rsidR="009C127D" w:rsidRDefault="009C127D" w:rsidP="00C87A5A"/>
    <w:p w14:paraId="51357B5B" w14:textId="65A7CC6F" w:rsidR="00D223D6" w:rsidRDefault="00D223D6" w:rsidP="00D223D6">
      <w:pPr>
        <w:pStyle w:val="Heading1"/>
      </w:pPr>
      <w:r>
        <w:br w:type="column"/>
      </w:r>
      <w:bookmarkStart w:id="111" w:name="_Toc192146598"/>
      <w:r>
        <w:lastRenderedPageBreak/>
        <w:t>Appendices</w:t>
      </w:r>
      <w:bookmarkEnd w:id="111"/>
    </w:p>
    <w:p w14:paraId="199032E8" w14:textId="4B4A9ED9" w:rsidR="00D223D6" w:rsidRDefault="00C515AB" w:rsidP="00C87A5A">
      <w:r>
        <w:rPr>
          <w:noProof/>
        </w:rPr>
        <w:drawing>
          <wp:inline distT="0" distB="0" distL="0" distR="0" wp14:anchorId="08BCC9EB" wp14:editId="4D9B031A">
            <wp:extent cx="6120518" cy="2914649"/>
            <wp:effectExtent l="0" t="0" r="0" b="635"/>
            <wp:docPr id="14761514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51464" name="Picture 6"/>
                    <pic:cNvPicPr/>
                  </pic:nvPicPr>
                  <pic:blipFill>
                    <a:blip r:embed="rId59" cstate="email">
                      <a:extLst>
                        <a:ext uri="{28A0092B-C50C-407E-A947-70E740481C1C}">
                          <a14:useLocalDpi xmlns:a14="http://schemas.microsoft.com/office/drawing/2010/main"/>
                        </a:ext>
                      </a:extLst>
                    </a:blip>
                    <a:stretch>
                      <a:fillRect/>
                    </a:stretch>
                  </pic:blipFill>
                  <pic:spPr>
                    <a:xfrm>
                      <a:off x="0" y="0"/>
                      <a:ext cx="6120518" cy="2914649"/>
                    </a:xfrm>
                    <a:prstGeom prst="rect">
                      <a:avLst/>
                    </a:prstGeom>
                  </pic:spPr>
                </pic:pic>
              </a:graphicData>
            </a:graphic>
          </wp:inline>
        </w:drawing>
      </w:r>
    </w:p>
    <w:p w14:paraId="055905B2" w14:textId="77777777" w:rsidR="00D223D6" w:rsidRPr="000C630A" w:rsidRDefault="00D223D6" w:rsidP="000C630A">
      <w:pPr>
        <w:spacing w:line="276" w:lineRule="auto"/>
        <w:rPr>
          <w:b/>
          <w:bCs/>
          <w:noProof/>
        </w:rPr>
      </w:pPr>
      <w:r w:rsidRPr="000C630A">
        <w:rPr>
          <w:b/>
          <w:bCs/>
        </w:rPr>
        <w:t>Figure A1. Distribution of Habitat Distribution Model (HDM) values among camera locations within Core and Expansion zones in each survey year. Note the HDM is a static model (average long-term habitat suitability); variation among years is related to spatial differences in the location of camera sites.</w:t>
      </w:r>
    </w:p>
    <w:p w14:paraId="011B09F1" w14:textId="501B8EC5" w:rsidR="00D223D6" w:rsidRDefault="00690155" w:rsidP="00C87A5A">
      <w:r>
        <w:rPr>
          <w:noProof/>
        </w:rPr>
        <w:drawing>
          <wp:inline distT="0" distB="0" distL="0" distR="0" wp14:anchorId="4C40EB24" wp14:editId="71899A2B">
            <wp:extent cx="6120518" cy="2914650"/>
            <wp:effectExtent l="0" t="0" r="0" b="0"/>
            <wp:docPr id="684141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41231" name="Picture 3"/>
                    <pic:cNvPicPr/>
                  </pic:nvPicPr>
                  <pic:blipFill>
                    <a:blip r:embed="rId60" cstate="email">
                      <a:extLst>
                        <a:ext uri="{28A0092B-C50C-407E-A947-70E740481C1C}">
                          <a14:useLocalDpi xmlns:a14="http://schemas.microsoft.com/office/drawing/2010/main"/>
                        </a:ext>
                      </a:extLst>
                    </a:blip>
                    <a:stretch>
                      <a:fillRect/>
                    </a:stretch>
                  </pic:blipFill>
                  <pic:spPr>
                    <a:xfrm>
                      <a:off x="0" y="0"/>
                      <a:ext cx="6120518" cy="2914650"/>
                    </a:xfrm>
                    <a:prstGeom prst="rect">
                      <a:avLst/>
                    </a:prstGeom>
                  </pic:spPr>
                </pic:pic>
              </a:graphicData>
            </a:graphic>
          </wp:inline>
        </w:drawing>
      </w:r>
    </w:p>
    <w:p w14:paraId="01391B74" w14:textId="7183A093" w:rsidR="00D223D6" w:rsidRPr="000C630A" w:rsidRDefault="00D223D6" w:rsidP="000C630A">
      <w:pPr>
        <w:spacing w:line="276" w:lineRule="auto"/>
        <w:rPr>
          <w:b/>
          <w:bCs/>
          <w:noProof/>
        </w:rPr>
      </w:pPr>
      <w:r w:rsidRPr="000C630A">
        <w:rPr>
          <w:b/>
          <w:bCs/>
        </w:rPr>
        <w:t>Figure A2. Distribution of Time-Since-Fire values among camera locations within Core and Expansion zones in each survey year.</w:t>
      </w:r>
      <w:r w:rsidR="00106E21" w:rsidRPr="00106E21">
        <w:t xml:space="preserve"> </w:t>
      </w:r>
      <w:r w:rsidR="00106E21">
        <w:t>Six outliers, comprising a maximum of 1 site per year, with Time-Since-Fire &gt; 25 years are not shown.</w:t>
      </w:r>
    </w:p>
    <w:p w14:paraId="42AA710B" w14:textId="0F82A8BF" w:rsidR="00D223D6" w:rsidRDefault="00782F84" w:rsidP="00C87A5A">
      <w:r>
        <w:rPr>
          <w:noProof/>
        </w:rPr>
        <w:lastRenderedPageBreak/>
        <w:drawing>
          <wp:inline distT="0" distB="0" distL="0" distR="0" wp14:anchorId="229053AC" wp14:editId="15E6AE60">
            <wp:extent cx="6120518" cy="2914650"/>
            <wp:effectExtent l="0" t="0" r="0" b="0"/>
            <wp:docPr id="77327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771" name="Picture 4"/>
                    <pic:cNvPicPr/>
                  </pic:nvPicPr>
                  <pic:blipFill>
                    <a:blip r:embed="rId61" cstate="email">
                      <a:extLst>
                        <a:ext uri="{28A0092B-C50C-407E-A947-70E740481C1C}">
                          <a14:useLocalDpi xmlns:a14="http://schemas.microsoft.com/office/drawing/2010/main"/>
                        </a:ext>
                      </a:extLst>
                    </a:blip>
                    <a:stretch>
                      <a:fillRect/>
                    </a:stretch>
                  </pic:blipFill>
                  <pic:spPr>
                    <a:xfrm>
                      <a:off x="0" y="0"/>
                      <a:ext cx="6120518" cy="2914650"/>
                    </a:xfrm>
                    <a:prstGeom prst="rect">
                      <a:avLst/>
                    </a:prstGeom>
                  </pic:spPr>
                </pic:pic>
              </a:graphicData>
            </a:graphic>
          </wp:inline>
        </w:drawing>
      </w:r>
    </w:p>
    <w:p w14:paraId="2B91ADEE" w14:textId="0D7776C5" w:rsidR="00D223D6" w:rsidRPr="000C630A" w:rsidRDefault="00D223D6" w:rsidP="00C87A5A">
      <w:pPr>
        <w:rPr>
          <w:b/>
          <w:bCs/>
        </w:rPr>
      </w:pPr>
      <w:r w:rsidRPr="000C630A">
        <w:rPr>
          <w:b/>
          <w:bCs/>
        </w:rPr>
        <w:t>Figure A3. Distribution of mean annual FAPAR values among camera-trap locations within Core and Expansion zones in each survey year.</w:t>
      </w:r>
      <w:r w:rsidR="006B5E97">
        <w:rPr>
          <w:b/>
          <w:bCs/>
        </w:rPr>
        <w:t xml:space="preserve"> </w:t>
      </w:r>
      <w:r w:rsidR="006B5E97">
        <w:t xml:space="preserve">FAPAR = fraction of absorbed photosynthetically available radiation; a measure of photosynthetic activity that reflects canopy density and plant productivity.  </w:t>
      </w:r>
    </w:p>
    <w:p w14:paraId="3AD20032" w14:textId="77777777" w:rsidR="000C630A" w:rsidRDefault="000C630A" w:rsidP="00C87A5A"/>
    <w:p w14:paraId="7A51BEDE" w14:textId="4B67AFA8" w:rsidR="00D223D6" w:rsidRDefault="0049701C" w:rsidP="00C87A5A">
      <w:r>
        <w:rPr>
          <w:noProof/>
        </w:rPr>
        <w:drawing>
          <wp:inline distT="0" distB="0" distL="0" distR="0" wp14:anchorId="63CA960C" wp14:editId="6DEB3847">
            <wp:extent cx="6120518" cy="2914649"/>
            <wp:effectExtent l="0" t="0" r="0" b="635"/>
            <wp:docPr id="17691387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38788" name="Picture 5"/>
                    <pic:cNvPicPr/>
                  </pic:nvPicPr>
                  <pic:blipFill>
                    <a:blip r:embed="rId62" cstate="email">
                      <a:extLst>
                        <a:ext uri="{28A0092B-C50C-407E-A947-70E740481C1C}">
                          <a14:useLocalDpi xmlns:a14="http://schemas.microsoft.com/office/drawing/2010/main"/>
                        </a:ext>
                      </a:extLst>
                    </a:blip>
                    <a:stretch>
                      <a:fillRect/>
                    </a:stretch>
                  </pic:blipFill>
                  <pic:spPr>
                    <a:xfrm>
                      <a:off x="0" y="0"/>
                      <a:ext cx="6120518" cy="2914649"/>
                    </a:xfrm>
                    <a:prstGeom prst="rect">
                      <a:avLst/>
                    </a:prstGeom>
                  </pic:spPr>
                </pic:pic>
              </a:graphicData>
            </a:graphic>
          </wp:inline>
        </w:drawing>
      </w:r>
    </w:p>
    <w:p w14:paraId="0C4CBEE1" w14:textId="77777777" w:rsidR="000C630A" w:rsidRDefault="000C630A" w:rsidP="000C630A">
      <w:pPr>
        <w:spacing w:line="276" w:lineRule="auto"/>
        <w:rPr>
          <w:noProof/>
        </w:rPr>
      </w:pPr>
      <w:r w:rsidRPr="000C630A">
        <w:rPr>
          <w:b/>
          <w:bCs/>
        </w:rPr>
        <w:t>Figure A4. Distribution of the product of mean annual FAPAR values and the binary Baited (within 1km of camera) variable among camera-trap locations within Core and Expansion zones in each survey year. FAPAR = fraction of absorbed photosynthetically available radiation; a measure of photosynthetic activity that reflects canopy density and plant productivity</w:t>
      </w:r>
      <w:r>
        <w:t xml:space="preserve">.  </w:t>
      </w:r>
    </w:p>
    <w:p w14:paraId="2735D9CC" w14:textId="77777777" w:rsidR="00D57C2A" w:rsidRPr="00F178B3" w:rsidRDefault="00D57C2A" w:rsidP="00D57C2A">
      <w:pPr>
        <w:rPr>
          <w:b/>
          <w:bCs/>
        </w:rPr>
      </w:pPr>
      <w:r>
        <w:br w:type="column"/>
      </w:r>
      <w:r w:rsidRPr="00F178B3">
        <w:rPr>
          <w:b/>
          <w:bCs/>
        </w:rPr>
        <w:lastRenderedPageBreak/>
        <w:t>Table A1</w:t>
      </w:r>
      <w:r w:rsidRPr="00F178B3">
        <w:rPr>
          <w:b/>
          <w:bCs/>
          <w:color w:val="000000"/>
        </w:rPr>
        <w:t>. Parameter estim</w:t>
      </w:r>
      <w:r w:rsidRPr="00F178B3">
        <w:rPr>
          <w:b/>
          <w:bCs/>
        </w:rPr>
        <w:t>ates (posterior means and 95% credible intervals) and corresponding conditional odds ratios for three models of Long-footed Potoroo occupancy: Basic Trend Model, Best-supported Model (based on Bayesian variable selection), and Conditional Trend Model (trends conditioned on supported predictors for all years).</w:t>
      </w:r>
    </w:p>
    <w:tbl>
      <w:tblPr>
        <w:tblStyle w:val="Table"/>
        <w:tblW w:w="9781" w:type="dxa"/>
        <w:tblLayout w:type="fixed"/>
        <w:tblLook w:val="0420" w:firstRow="1" w:lastRow="0" w:firstColumn="0" w:lastColumn="0" w:noHBand="0" w:noVBand="1"/>
      </w:tblPr>
      <w:tblGrid>
        <w:gridCol w:w="1701"/>
        <w:gridCol w:w="1418"/>
        <w:gridCol w:w="1843"/>
        <w:gridCol w:w="4819"/>
      </w:tblGrid>
      <w:tr w:rsidR="00D57C2A" w:rsidRPr="009A6091" w14:paraId="2030A53D" w14:textId="77777777" w:rsidTr="000F390E">
        <w:trPr>
          <w:cnfStyle w:val="100000000000" w:firstRow="1" w:lastRow="0" w:firstColumn="0" w:lastColumn="0" w:oddVBand="0" w:evenVBand="0" w:oddHBand="0" w:evenHBand="0" w:firstRowFirstColumn="0" w:firstRowLastColumn="0" w:lastRowFirstColumn="0" w:lastRowLastColumn="0"/>
          <w:tblHeader/>
        </w:trPr>
        <w:tc>
          <w:tcPr>
            <w:tcW w:w="1701" w:type="dxa"/>
            <w:tcBorders>
              <w:bottom w:val="single" w:sz="2" w:space="0" w:color="002060"/>
            </w:tcBorders>
            <w:shd w:val="clear" w:color="auto" w:fill="004C97"/>
            <w:tcMar>
              <w:top w:w="0" w:type="dxa"/>
              <w:left w:w="0" w:type="dxa"/>
              <w:bottom w:w="0" w:type="dxa"/>
              <w:right w:w="0" w:type="dxa"/>
            </w:tcMar>
            <w:vAlign w:val="top"/>
          </w:tcPr>
          <w:p w14:paraId="57F1224D" w14:textId="77777777" w:rsidR="00D57C2A" w:rsidRPr="009A6091" w:rsidRDefault="00D57C2A" w:rsidP="000F390E">
            <w:pPr>
              <w:pStyle w:val="Tableheadingtext"/>
              <w:ind w:left="142"/>
              <w:jc w:val="center"/>
              <w:rPr>
                <w:bCs/>
                <w:sz w:val="20"/>
                <w:szCs w:val="20"/>
              </w:rPr>
            </w:pPr>
            <w:r w:rsidRPr="009A6091">
              <w:rPr>
                <w:bCs/>
                <w:sz w:val="20"/>
                <w:szCs w:val="20"/>
              </w:rPr>
              <w:t>Param</w:t>
            </w:r>
            <w:r>
              <w:rPr>
                <w:bCs/>
                <w:sz w:val="20"/>
                <w:szCs w:val="20"/>
              </w:rPr>
              <w:t>eter</w:t>
            </w:r>
          </w:p>
        </w:tc>
        <w:tc>
          <w:tcPr>
            <w:tcW w:w="1418" w:type="dxa"/>
            <w:tcBorders>
              <w:bottom w:val="single" w:sz="2" w:space="0" w:color="002060"/>
            </w:tcBorders>
            <w:shd w:val="clear" w:color="auto" w:fill="004C97"/>
            <w:tcMar>
              <w:top w:w="0" w:type="dxa"/>
              <w:left w:w="0" w:type="dxa"/>
              <w:bottom w:w="0" w:type="dxa"/>
              <w:right w:w="0" w:type="dxa"/>
            </w:tcMar>
            <w:vAlign w:val="top"/>
          </w:tcPr>
          <w:p w14:paraId="58BDD0D8" w14:textId="77777777" w:rsidR="00D57C2A" w:rsidRPr="009A6091" w:rsidRDefault="00D57C2A" w:rsidP="000F390E">
            <w:pPr>
              <w:pStyle w:val="Tableheadingtext"/>
              <w:jc w:val="center"/>
              <w:rPr>
                <w:bCs/>
                <w:sz w:val="20"/>
                <w:szCs w:val="20"/>
              </w:rPr>
            </w:pPr>
            <w:r w:rsidRPr="009A6091">
              <w:rPr>
                <w:bCs/>
                <w:sz w:val="20"/>
                <w:szCs w:val="20"/>
              </w:rPr>
              <w:t>Estimate</w:t>
            </w:r>
            <w:r w:rsidRPr="009A6091">
              <w:rPr>
                <w:bCs/>
                <w:sz w:val="20"/>
                <w:szCs w:val="20"/>
              </w:rPr>
              <w:br/>
              <w:t>(95% CI)</w:t>
            </w:r>
          </w:p>
        </w:tc>
        <w:tc>
          <w:tcPr>
            <w:tcW w:w="1843" w:type="dxa"/>
            <w:tcBorders>
              <w:bottom w:val="single" w:sz="2" w:space="0" w:color="002060"/>
            </w:tcBorders>
            <w:shd w:val="clear" w:color="auto" w:fill="004C97"/>
            <w:tcMar>
              <w:top w:w="0" w:type="dxa"/>
              <w:left w:w="0" w:type="dxa"/>
              <w:bottom w:w="0" w:type="dxa"/>
              <w:right w:w="0" w:type="dxa"/>
            </w:tcMar>
            <w:vAlign w:val="top"/>
          </w:tcPr>
          <w:p w14:paraId="0501C564" w14:textId="77777777" w:rsidR="00D57C2A" w:rsidRPr="009A6091" w:rsidRDefault="00D57C2A" w:rsidP="000F390E">
            <w:pPr>
              <w:pStyle w:val="Tableheadingtext"/>
              <w:jc w:val="center"/>
              <w:rPr>
                <w:bCs/>
                <w:sz w:val="20"/>
                <w:szCs w:val="20"/>
              </w:rPr>
            </w:pPr>
            <w:r>
              <w:rPr>
                <w:vertAlign w:val="superscript"/>
              </w:rPr>
              <w:t>1</w:t>
            </w:r>
            <w:r w:rsidRPr="009A6091">
              <w:rPr>
                <w:bCs/>
                <w:sz w:val="20"/>
                <w:szCs w:val="20"/>
              </w:rPr>
              <w:t xml:space="preserve">Odds </w:t>
            </w:r>
            <w:r>
              <w:rPr>
                <w:bCs/>
                <w:sz w:val="20"/>
                <w:szCs w:val="20"/>
              </w:rPr>
              <w:t>r</w:t>
            </w:r>
            <w:r w:rsidRPr="009A6091">
              <w:rPr>
                <w:bCs/>
                <w:sz w:val="20"/>
                <w:szCs w:val="20"/>
              </w:rPr>
              <w:t>atio</w:t>
            </w:r>
          </w:p>
          <w:p w14:paraId="2FFE356B" w14:textId="77777777" w:rsidR="00D57C2A" w:rsidRPr="009A6091" w:rsidRDefault="00D57C2A" w:rsidP="000F390E">
            <w:pPr>
              <w:pStyle w:val="Tableheadingtext"/>
              <w:jc w:val="center"/>
              <w:rPr>
                <w:bCs/>
                <w:sz w:val="20"/>
                <w:szCs w:val="20"/>
              </w:rPr>
            </w:pPr>
            <w:r w:rsidRPr="009A6091">
              <w:rPr>
                <w:bCs/>
                <w:sz w:val="20"/>
                <w:szCs w:val="20"/>
              </w:rPr>
              <w:t>(95% CI)</w:t>
            </w:r>
          </w:p>
        </w:tc>
        <w:tc>
          <w:tcPr>
            <w:tcW w:w="4819" w:type="dxa"/>
            <w:tcBorders>
              <w:bottom w:val="single" w:sz="2" w:space="0" w:color="002060"/>
            </w:tcBorders>
            <w:shd w:val="clear" w:color="auto" w:fill="004C97"/>
            <w:tcMar>
              <w:top w:w="0" w:type="dxa"/>
              <w:left w:w="0" w:type="dxa"/>
              <w:bottom w:w="0" w:type="dxa"/>
              <w:right w:w="0" w:type="dxa"/>
            </w:tcMar>
            <w:vAlign w:val="top"/>
          </w:tcPr>
          <w:p w14:paraId="4654042A" w14:textId="77777777" w:rsidR="00D57C2A" w:rsidRPr="009A6091" w:rsidRDefault="00D57C2A" w:rsidP="000F390E">
            <w:pPr>
              <w:pStyle w:val="Tableheadingtext"/>
              <w:ind w:left="134" w:right="564"/>
              <w:jc w:val="center"/>
              <w:rPr>
                <w:bCs/>
                <w:sz w:val="20"/>
                <w:szCs w:val="20"/>
              </w:rPr>
            </w:pPr>
            <w:r w:rsidRPr="009A6091">
              <w:rPr>
                <w:bCs/>
                <w:sz w:val="20"/>
                <w:szCs w:val="20"/>
              </w:rPr>
              <w:t>Interpretation</w:t>
            </w:r>
          </w:p>
        </w:tc>
      </w:tr>
      <w:tr w:rsidR="00D57C2A" w:rsidRPr="009A6091" w14:paraId="7C3A38C9" w14:textId="77777777" w:rsidTr="000F390E">
        <w:tc>
          <w:tcPr>
            <w:tcW w:w="9781" w:type="dxa"/>
            <w:gridSpan w:val="4"/>
            <w:tcBorders>
              <w:top w:val="single" w:sz="2" w:space="0" w:color="002060"/>
              <w:bottom w:val="single" w:sz="2" w:space="0" w:color="002060"/>
            </w:tcBorders>
            <w:shd w:val="clear" w:color="auto" w:fill="FFFFFF"/>
            <w:tcMar>
              <w:top w:w="0" w:type="dxa"/>
              <w:left w:w="0" w:type="dxa"/>
              <w:bottom w:w="0" w:type="dxa"/>
              <w:right w:w="0" w:type="dxa"/>
            </w:tcMar>
          </w:tcPr>
          <w:p w14:paraId="053FD0CF" w14:textId="77777777" w:rsidR="00D57C2A" w:rsidRPr="009A6091"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Arial"/>
                <w:b/>
                <w:bCs/>
                <w:i/>
                <w:iCs/>
                <w:color w:val="000000"/>
                <w:sz w:val="20"/>
                <w:szCs w:val="20"/>
              </w:rPr>
            </w:pPr>
            <w:r>
              <w:rPr>
                <w:rFonts w:eastAsia="Times New Roman"/>
                <w:b/>
                <w:bCs/>
                <w:i/>
                <w:iCs/>
                <w:color w:val="000000"/>
                <w:sz w:val="20"/>
                <w:szCs w:val="20"/>
                <w:lang w:eastAsia="en-AU"/>
              </w:rPr>
              <w:t>A: Basic t</w:t>
            </w:r>
            <w:r w:rsidRPr="009A6091">
              <w:rPr>
                <w:rFonts w:eastAsia="Times New Roman"/>
                <w:b/>
                <w:bCs/>
                <w:i/>
                <w:iCs/>
                <w:color w:val="000000"/>
                <w:sz w:val="20"/>
                <w:szCs w:val="20"/>
                <w:lang w:eastAsia="en-AU"/>
              </w:rPr>
              <w:t xml:space="preserve">rend </w:t>
            </w:r>
            <w:r>
              <w:rPr>
                <w:rFonts w:eastAsia="Times New Roman"/>
                <w:b/>
                <w:bCs/>
                <w:i/>
                <w:iCs/>
                <w:color w:val="000000"/>
                <w:sz w:val="20"/>
                <w:szCs w:val="20"/>
                <w:lang w:eastAsia="en-AU"/>
              </w:rPr>
              <w:t>m</w:t>
            </w:r>
            <w:r w:rsidRPr="009A6091">
              <w:rPr>
                <w:rFonts w:eastAsia="Times New Roman"/>
                <w:b/>
                <w:bCs/>
                <w:i/>
                <w:iCs/>
                <w:color w:val="000000"/>
                <w:sz w:val="20"/>
                <w:szCs w:val="20"/>
                <w:lang w:eastAsia="en-AU"/>
              </w:rPr>
              <w:t>odel</w:t>
            </w:r>
          </w:p>
        </w:tc>
      </w:tr>
      <w:tr w:rsidR="00D57C2A" w:rsidRPr="009A6091" w14:paraId="3FD71CB1"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60A181EF" w14:textId="77777777" w:rsidR="00D57C2A" w:rsidRPr="00EB2558" w:rsidRDefault="00D57C2A" w:rsidP="000F390E">
            <w:pPr>
              <w:pStyle w:val="Tablebodytext"/>
            </w:pPr>
            <w:r w:rsidRPr="00EB2558">
              <w:rPr>
                <w:sz w:val="20"/>
                <w:szCs w:val="20"/>
              </w:rPr>
              <w:t>Occupancy - Core v Exp</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tcPr>
          <w:p w14:paraId="2F02A509"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D67650">
              <w:rPr>
                <w:rFonts w:eastAsia="Times New Roman"/>
                <w:b/>
                <w:bCs/>
                <w:color w:val="000000"/>
                <w:sz w:val="20"/>
                <w:szCs w:val="20"/>
                <w:lang w:eastAsia="en-AU"/>
              </w:rPr>
              <w:t>2.</w:t>
            </w:r>
            <w:r>
              <w:rPr>
                <w:rFonts w:eastAsia="Times New Roman"/>
                <w:b/>
                <w:bCs/>
                <w:color w:val="000000"/>
                <w:sz w:val="20"/>
                <w:szCs w:val="20"/>
                <w:lang w:eastAsia="en-AU"/>
              </w:rPr>
              <w:t>13</w:t>
            </w:r>
          </w:p>
          <w:p w14:paraId="138223BD"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(1.1</w:t>
            </w:r>
            <w:r>
              <w:rPr>
                <w:rFonts w:eastAsia="Times New Roman"/>
                <w:b/>
                <w:bCs/>
                <w:color w:val="000000"/>
                <w:sz w:val="20"/>
                <w:szCs w:val="20"/>
                <w:lang w:eastAsia="en-AU"/>
              </w:rPr>
              <w:t>7</w:t>
            </w:r>
            <w:r w:rsidRPr="00D67650">
              <w:rPr>
                <w:rFonts w:eastAsia="Times New Roman"/>
                <w:b/>
                <w:bCs/>
                <w:color w:val="000000"/>
                <w:sz w:val="20"/>
                <w:szCs w:val="20"/>
                <w:lang w:eastAsia="en-AU"/>
              </w:rPr>
              <w:t>, 3.</w:t>
            </w:r>
            <w:r w:rsidRPr="00D67650" w:rsidDel="00941698">
              <w:rPr>
                <w:rFonts w:eastAsia="Times New Roman"/>
                <w:b/>
                <w:bCs/>
                <w:color w:val="000000"/>
                <w:sz w:val="20"/>
                <w:szCs w:val="20"/>
                <w:lang w:eastAsia="en-AU"/>
              </w:rPr>
              <w:t xml:space="preserve"> </w:t>
            </w:r>
            <w:r w:rsidRPr="00D67650">
              <w:rPr>
                <w:rFonts w:eastAsia="Times New Roman"/>
                <w:b/>
                <w:bCs/>
                <w:color w:val="000000"/>
                <w:sz w:val="20"/>
                <w:szCs w:val="20"/>
                <w:lang w:eastAsia="en-AU"/>
              </w:rPr>
              <w:t>2</w:t>
            </w:r>
            <w:r>
              <w:rPr>
                <w:rFonts w:eastAsia="Times New Roman"/>
                <w:b/>
                <w:bCs/>
                <w:color w:val="000000"/>
                <w:sz w:val="20"/>
                <w:szCs w:val="20"/>
                <w:lang w:eastAsia="en-AU"/>
              </w:rPr>
              <w:t>0</w:t>
            </w:r>
            <w:r w:rsidRPr="00D67650">
              <w:rPr>
                <w:rFonts w:eastAsia="Times New Roman"/>
                <w:b/>
                <w:bCs/>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tcPr>
          <w:p w14:paraId="02A1B87F"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Pr>
                <w:rFonts w:eastAsia="Times New Roman"/>
                <w:b/>
                <w:bCs/>
                <w:color w:val="000000"/>
                <w:sz w:val="20"/>
                <w:szCs w:val="20"/>
                <w:lang w:eastAsia="en-AU"/>
              </w:rPr>
              <w:t>8.50</w:t>
            </w:r>
          </w:p>
          <w:p w14:paraId="112F8168"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(3.</w:t>
            </w:r>
            <w:r>
              <w:rPr>
                <w:rFonts w:eastAsia="Times New Roman"/>
                <w:b/>
                <w:bCs/>
                <w:color w:val="000000"/>
                <w:sz w:val="20"/>
                <w:szCs w:val="20"/>
                <w:lang w:eastAsia="en-AU"/>
              </w:rPr>
              <w:t>22</w:t>
            </w:r>
            <w:r w:rsidRPr="00D67650">
              <w:rPr>
                <w:rFonts w:eastAsia="Times New Roman"/>
                <w:b/>
                <w:bCs/>
                <w:color w:val="000000"/>
                <w:sz w:val="20"/>
                <w:szCs w:val="20"/>
                <w:lang w:eastAsia="en-AU"/>
              </w:rPr>
              <w:t xml:space="preserve">, </w:t>
            </w:r>
            <w:r>
              <w:rPr>
                <w:rFonts w:eastAsia="Times New Roman"/>
                <w:b/>
                <w:bCs/>
                <w:color w:val="000000"/>
                <w:sz w:val="20"/>
                <w:szCs w:val="20"/>
                <w:lang w:eastAsia="en-AU"/>
              </w:rPr>
              <w:t>24.5</w:t>
            </w:r>
            <w:r w:rsidRPr="00D67650">
              <w:rPr>
                <w:rFonts w:eastAsia="Times New Roman"/>
                <w:b/>
                <w:bCs/>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66843F22" w14:textId="77777777" w:rsidR="00D57C2A" w:rsidRPr="00D67650"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Arial"/>
                <w:b/>
                <w:bCs/>
                <w:color w:val="000000"/>
                <w:sz w:val="20"/>
                <w:szCs w:val="20"/>
              </w:rPr>
            </w:pPr>
            <w:r w:rsidRPr="00D67650">
              <w:rPr>
                <w:rFonts w:eastAsia="Times New Roman"/>
                <w:b/>
                <w:bCs/>
                <w:color w:val="000000"/>
                <w:sz w:val="20"/>
                <w:szCs w:val="20"/>
                <w:lang w:eastAsia="en-AU"/>
              </w:rPr>
              <w:t>Occupancy higher in Core than Expansion</w:t>
            </w:r>
          </w:p>
          <w:p w14:paraId="7A76EFB6" w14:textId="77777777" w:rsidR="00D57C2A" w:rsidRPr="00D67650"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Arial"/>
                <w:b/>
                <w:bCs/>
                <w:color w:val="000000"/>
                <w:sz w:val="20"/>
                <w:szCs w:val="20"/>
              </w:rPr>
            </w:pPr>
            <w:r w:rsidRPr="00D67650">
              <w:rPr>
                <w:rFonts w:eastAsia="Times New Roman"/>
                <w:b/>
                <w:bCs/>
                <w:color w:val="000000"/>
                <w:sz w:val="20"/>
                <w:szCs w:val="20"/>
                <w:lang w:eastAsia="en-AU"/>
              </w:rPr>
              <w:t>(</w:t>
            </w:r>
            <w:r>
              <w:rPr>
                <w:rFonts w:eastAsia="Times New Roman"/>
                <w:b/>
                <w:bCs/>
                <w:color w:val="000000"/>
                <w:sz w:val="20"/>
                <w:szCs w:val="20"/>
                <w:lang w:eastAsia="en-AU"/>
              </w:rPr>
              <w:t>~9</w:t>
            </w:r>
            <w:r w:rsidRPr="00D67650">
              <w:rPr>
                <w:rFonts w:eastAsia="Times New Roman"/>
                <w:b/>
                <w:bCs/>
                <w:color w:val="000000"/>
                <w:sz w:val="20"/>
                <w:szCs w:val="20"/>
                <w:lang w:eastAsia="en-AU"/>
              </w:rPr>
              <w:t>-fold higher odds in Core in 2020)</w:t>
            </w:r>
          </w:p>
        </w:tc>
      </w:tr>
      <w:tr w:rsidR="00D57C2A" w:rsidRPr="009A6091" w14:paraId="03CBAFCB"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A748AA4"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Trend in Core</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tcPr>
          <w:p w14:paraId="23F79557"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D67650">
              <w:rPr>
                <w:rFonts w:eastAsia="Times New Roman"/>
                <w:b/>
                <w:bCs/>
                <w:color w:val="000000"/>
                <w:sz w:val="20"/>
                <w:szCs w:val="20"/>
                <w:lang w:eastAsia="en-AU"/>
              </w:rPr>
              <w:t>0.2</w:t>
            </w:r>
            <w:r>
              <w:rPr>
                <w:rFonts w:eastAsia="Times New Roman"/>
                <w:b/>
                <w:bCs/>
                <w:color w:val="000000"/>
                <w:sz w:val="20"/>
                <w:szCs w:val="20"/>
                <w:lang w:eastAsia="en-AU"/>
              </w:rPr>
              <w:t>1</w:t>
            </w:r>
          </w:p>
          <w:p w14:paraId="6C28E353"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(0.0</w:t>
            </w:r>
            <w:r>
              <w:rPr>
                <w:rFonts w:eastAsia="Times New Roman"/>
                <w:b/>
                <w:bCs/>
                <w:color w:val="000000"/>
                <w:sz w:val="20"/>
                <w:szCs w:val="20"/>
                <w:lang w:eastAsia="en-AU"/>
              </w:rPr>
              <w:t>8</w:t>
            </w:r>
            <w:r w:rsidRPr="00D67650">
              <w:rPr>
                <w:rFonts w:eastAsia="Times New Roman"/>
                <w:b/>
                <w:bCs/>
                <w:color w:val="000000"/>
                <w:sz w:val="20"/>
                <w:szCs w:val="20"/>
                <w:lang w:eastAsia="en-AU"/>
              </w:rPr>
              <w:t>, 0.</w:t>
            </w:r>
            <w:r>
              <w:rPr>
                <w:rFonts w:eastAsia="Times New Roman"/>
                <w:b/>
                <w:bCs/>
                <w:color w:val="000000"/>
                <w:sz w:val="20"/>
                <w:szCs w:val="20"/>
                <w:lang w:eastAsia="en-AU"/>
              </w:rPr>
              <w:t>3</w:t>
            </w:r>
            <w:r w:rsidRPr="00D67650">
              <w:rPr>
                <w:rFonts w:eastAsia="Times New Roman"/>
                <w:b/>
                <w:bCs/>
                <w:color w:val="000000"/>
                <w:sz w:val="20"/>
                <w:szCs w:val="20"/>
                <w:lang w:eastAsia="en-AU"/>
              </w:rPr>
              <w:t>4)</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tcPr>
          <w:p w14:paraId="77A5D43F"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D67650">
              <w:rPr>
                <w:rFonts w:eastAsia="Times New Roman"/>
                <w:b/>
                <w:bCs/>
                <w:color w:val="000000"/>
                <w:sz w:val="20"/>
                <w:szCs w:val="20"/>
                <w:lang w:eastAsia="en-AU"/>
              </w:rPr>
              <w:t>1.2</w:t>
            </w:r>
            <w:r>
              <w:rPr>
                <w:rFonts w:eastAsia="Times New Roman"/>
                <w:b/>
                <w:bCs/>
                <w:color w:val="000000"/>
                <w:sz w:val="20"/>
                <w:szCs w:val="20"/>
                <w:lang w:eastAsia="en-AU"/>
              </w:rPr>
              <w:t>3</w:t>
            </w:r>
          </w:p>
          <w:p w14:paraId="2FCC60B6"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(1.0</w:t>
            </w:r>
            <w:r>
              <w:rPr>
                <w:rFonts w:eastAsia="Times New Roman"/>
                <w:b/>
                <w:bCs/>
                <w:color w:val="000000"/>
                <w:sz w:val="20"/>
                <w:szCs w:val="20"/>
                <w:lang w:eastAsia="en-AU"/>
              </w:rPr>
              <w:t>8</w:t>
            </w:r>
            <w:r w:rsidRPr="00D67650">
              <w:rPr>
                <w:rFonts w:eastAsia="Times New Roman"/>
                <w:b/>
                <w:bCs/>
                <w:color w:val="000000"/>
                <w:sz w:val="20"/>
                <w:szCs w:val="20"/>
                <w:lang w:eastAsia="en-AU"/>
              </w:rPr>
              <w:t>, 1.</w:t>
            </w:r>
            <w:r>
              <w:rPr>
                <w:rFonts w:eastAsia="Times New Roman"/>
                <w:b/>
                <w:bCs/>
                <w:color w:val="000000"/>
                <w:sz w:val="20"/>
                <w:szCs w:val="20"/>
                <w:lang w:eastAsia="en-AU"/>
              </w:rPr>
              <w:t>40</w:t>
            </w:r>
            <w:r w:rsidRPr="00D67650">
              <w:rPr>
                <w:rFonts w:eastAsia="Times New Roman"/>
                <w:b/>
                <w:bCs/>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4EA6E847" w14:textId="77777777" w:rsidR="00D57C2A" w:rsidRPr="00D67650"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Arial"/>
                <w:b/>
                <w:bCs/>
                <w:color w:val="000000"/>
                <w:sz w:val="20"/>
                <w:szCs w:val="20"/>
              </w:rPr>
            </w:pPr>
            <w:r w:rsidRPr="00D67650">
              <w:rPr>
                <w:rFonts w:eastAsia="Times New Roman"/>
                <w:b/>
                <w:bCs/>
                <w:color w:val="000000"/>
                <w:sz w:val="20"/>
                <w:szCs w:val="20"/>
                <w:lang w:eastAsia="en-AU"/>
              </w:rPr>
              <w:t>Positive trend in occupancy in Core zone</w:t>
            </w:r>
          </w:p>
          <w:p w14:paraId="7429D48A" w14:textId="77777777" w:rsidR="00D57C2A" w:rsidRPr="00D67650"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Arial"/>
                <w:b/>
                <w:bCs/>
                <w:color w:val="000000"/>
                <w:sz w:val="20"/>
                <w:szCs w:val="20"/>
              </w:rPr>
            </w:pPr>
            <w:r w:rsidRPr="00D67650">
              <w:rPr>
                <w:rFonts w:eastAsia="Times New Roman"/>
                <w:b/>
                <w:bCs/>
                <w:color w:val="000000"/>
                <w:sz w:val="20"/>
                <w:szCs w:val="20"/>
                <w:lang w:eastAsia="en-AU"/>
              </w:rPr>
              <w:t>(2</w:t>
            </w:r>
            <w:r>
              <w:rPr>
                <w:rFonts w:eastAsia="Times New Roman"/>
                <w:b/>
                <w:bCs/>
                <w:color w:val="000000"/>
                <w:sz w:val="20"/>
                <w:szCs w:val="20"/>
                <w:lang w:eastAsia="en-AU"/>
              </w:rPr>
              <w:t>3</w:t>
            </w:r>
            <w:r w:rsidRPr="00D67650">
              <w:rPr>
                <w:rFonts w:eastAsia="Times New Roman"/>
                <w:b/>
                <w:bCs/>
                <w:color w:val="000000"/>
                <w:sz w:val="20"/>
                <w:szCs w:val="20"/>
                <w:lang w:eastAsia="en-AU"/>
              </w:rPr>
              <w:t>% p.a. increase in odds of occurrence)</w:t>
            </w:r>
          </w:p>
        </w:tc>
      </w:tr>
      <w:tr w:rsidR="00D57C2A" w:rsidRPr="009A6091" w14:paraId="79AE213A"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823A363"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 xml:space="preserve">Trend in </w:t>
            </w:r>
            <w:r>
              <w:rPr>
                <w:sz w:val="20"/>
                <w:szCs w:val="20"/>
              </w:rPr>
              <w:t>Exp</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tcPr>
          <w:p w14:paraId="4A3FDFFC"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D67650">
              <w:rPr>
                <w:rFonts w:eastAsia="Times New Roman"/>
                <w:b/>
                <w:bCs/>
                <w:color w:val="000000"/>
                <w:sz w:val="20"/>
                <w:szCs w:val="20"/>
                <w:lang w:eastAsia="en-AU"/>
              </w:rPr>
              <w:t>0.</w:t>
            </w:r>
            <w:r>
              <w:rPr>
                <w:rFonts w:eastAsia="Times New Roman"/>
                <w:b/>
                <w:bCs/>
                <w:color w:val="000000"/>
                <w:sz w:val="20"/>
                <w:szCs w:val="20"/>
                <w:lang w:eastAsia="en-AU"/>
              </w:rPr>
              <w:t>17</w:t>
            </w:r>
          </w:p>
          <w:p w14:paraId="0F80AA48"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(0.0</w:t>
            </w:r>
            <w:r>
              <w:rPr>
                <w:rFonts w:eastAsia="Times New Roman"/>
                <w:b/>
                <w:bCs/>
                <w:color w:val="000000"/>
                <w:sz w:val="20"/>
                <w:szCs w:val="20"/>
                <w:lang w:eastAsia="en-AU"/>
              </w:rPr>
              <w:t>7</w:t>
            </w:r>
            <w:r w:rsidRPr="00D67650">
              <w:rPr>
                <w:rFonts w:eastAsia="Times New Roman"/>
                <w:b/>
                <w:bCs/>
                <w:color w:val="000000"/>
                <w:sz w:val="20"/>
                <w:szCs w:val="20"/>
                <w:lang w:eastAsia="en-AU"/>
              </w:rPr>
              <w:t>, 0.</w:t>
            </w:r>
            <w:r>
              <w:rPr>
                <w:rFonts w:eastAsia="Times New Roman"/>
                <w:b/>
                <w:bCs/>
                <w:color w:val="000000"/>
                <w:sz w:val="20"/>
                <w:szCs w:val="20"/>
                <w:lang w:eastAsia="en-AU"/>
              </w:rPr>
              <w:t>29</w:t>
            </w:r>
            <w:r w:rsidRPr="00D67650">
              <w:rPr>
                <w:rFonts w:eastAsia="Times New Roman"/>
                <w:b/>
                <w:bCs/>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tcPr>
          <w:p w14:paraId="56113691"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D67650">
              <w:rPr>
                <w:rFonts w:eastAsia="Times New Roman"/>
                <w:b/>
                <w:bCs/>
                <w:color w:val="000000"/>
                <w:sz w:val="20"/>
                <w:szCs w:val="20"/>
                <w:lang w:eastAsia="en-AU"/>
              </w:rPr>
              <w:t>1.1</w:t>
            </w:r>
            <w:r>
              <w:rPr>
                <w:rFonts w:eastAsia="Times New Roman"/>
                <w:b/>
                <w:bCs/>
                <w:color w:val="000000"/>
                <w:sz w:val="20"/>
                <w:szCs w:val="20"/>
                <w:lang w:eastAsia="en-AU"/>
              </w:rPr>
              <w:t>8</w:t>
            </w:r>
          </w:p>
          <w:p w14:paraId="6D672B2B"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(1.0</w:t>
            </w:r>
            <w:r>
              <w:rPr>
                <w:rFonts w:eastAsia="Times New Roman"/>
                <w:b/>
                <w:bCs/>
                <w:color w:val="000000"/>
                <w:sz w:val="20"/>
                <w:szCs w:val="20"/>
                <w:lang w:eastAsia="en-AU"/>
              </w:rPr>
              <w:t>7</w:t>
            </w:r>
            <w:r w:rsidRPr="00D67650">
              <w:rPr>
                <w:rFonts w:eastAsia="Times New Roman"/>
                <w:b/>
                <w:bCs/>
                <w:color w:val="000000"/>
                <w:sz w:val="20"/>
                <w:szCs w:val="20"/>
                <w:lang w:eastAsia="en-AU"/>
              </w:rPr>
              <w:t>, 1.</w:t>
            </w:r>
            <w:r>
              <w:rPr>
                <w:rFonts w:eastAsia="Times New Roman"/>
                <w:b/>
                <w:bCs/>
                <w:color w:val="000000"/>
                <w:sz w:val="20"/>
                <w:szCs w:val="20"/>
                <w:lang w:eastAsia="en-AU"/>
              </w:rPr>
              <w:t>3</w:t>
            </w:r>
            <w:r w:rsidRPr="00D67650">
              <w:rPr>
                <w:rFonts w:eastAsia="Times New Roman"/>
                <w:b/>
                <w:bCs/>
                <w:color w:val="000000"/>
                <w:sz w:val="20"/>
                <w:szCs w:val="20"/>
                <w:lang w:eastAsia="en-AU"/>
              </w:rPr>
              <w:t>4)</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29F0104D" w14:textId="77777777" w:rsidR="00D57C2A" w:rsidRPr="00D67650"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Arial"/>
                <w:b/>
                <w:bCs/>
                <w:color w:val="000000"/>
                <w:sz w:val="20"/>
                <w:szCs w:val="20"/>
              </w:rPr>
            </w:pPr>
            <w:r w:rsidRPr="00D67650">
              <w:rPr>
                <w:rFonts w:eastAsia="Times New Roman"/>
                <w:b/>
                <w:bCs/>
                <w:color w:val="000000"/>
                <w:sz w:val="20"/>
                <w:szCs w:val="20"/>
                <w:lang w:eastAsia="en-AU"/>
              </w:rPr>
              <w:t>Positive trend in occupancy in Expansion zone</w:t>
            </w:r>
            <w:r>
              <w:rPr>
                <w:rFonts w:eastAsia="Times New Roman"/>
                <w:b/>
                <w:bCs/>
                <w:color w:val="000000"/>
                <w:sz w:val="20"/>
                <w:szCs w:val="20"/>
                <w:lang w:eastAsia="en-AU"/>
              </w:rPr>
              <w:t xml:space="preserve"> </w:t>
            </w:r>
            <w:r w:rsidRPr="00D67650">
              <w:rPr>
                <w:rFonts w:eastAsia="Times New Roman"/>
                <w:b/>
                <w:bCs/>
                <w:color w:val="000000"/>
                <w:sz w:val="20"/>
                <w:szCs w:val="20"/>
                <w:lang w:eastAsia="en-AU"/>
              </w:rPr>
              <w:t>(1</w:t>
            </w:r>
            <w:r>
              <w:rPr>
                <w:rFonts w:eastAsia="Times New Roman"/>
                <w:b/>
                <w:bCs/>
                <w:color w:val="000000"/>
                <w:sz w:val="20"/>
                <w:szCs w:val="20"/>
                <w:lang w:eastAsia="en-AU"/>
              </w:rPr>
              <w:t>8</w:t>
            </w:r>
            <w:r w:rsidRPr="00D67650">
              <w:rPr>
                <w:rFonts w:eastAsia="Times New Roman"/>
                <w:b/>
                <w:bCs/>
                <w:color w:val="000000"/>
                <w:sz w:val="20"/>
                <w:szCs w:val="20"/>
                <w:lang w:eastAsia="en-AU"/>
              </w:rPr>
              <w:t>% p.a. increase in odds of occurrence)</w:t>
            </w:r>
          </w:p>
        </w:tc>
      </w:tr>
      <w:tr w:rsidR="00D57C2A" w:rsidRPr="009A6091" w14:paraId="28D49E5A"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283DA44F"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Pr>
                <w:rFonts w:eastAsia="Calibri"/>
                <w:sz w:val="20"/>
                <w:szCs w:val="20"/>
              </w:rPr>
              <w:t>Difference between Core and Exp</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tcPr>
          <w:p w14:paraId="5FD53673"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0.0</w:t>
            </w:r>
            <w:r>
              <w:rPr>
                <w:rFonts w:eastAsia="Times New Roman"/>
                <w:color w:val="000000"/>
                <w:sz w:val="20"/>
                <w:szCs w:val="20"/>
                <w:lang w:eastAsia="en-AU"/>
              </w:rPr>
              <w:t>3</w:t>
            </w:r>
          </w:p>
          <w:p w14:paraId="1196CC1F"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(-0.0</w:t>
            </w:r>
            <w:r>
              <w:rPr>
                <w:rFonts w:eastAsia="Times New Roman"/>
                <w:color w:val="000000"/>
                <w:sz w:val="20"/>
                <w:szCs w:val="20"/>
                <w:lang w:eastAsia="en-AU"/>
              </w:rPr>
              <w:t>7</w:t>
            </w:r>
            <w:r w:rsidRPr="009A6091">
              <w:rPr>
                <w:rFonts w:eastAsia="Times New Roman"/>
                <w:color w:val="000000"/>
                <w:sz w:val="20"/>
                <w:szCs w:val="20"/>
                <w:lang w:eastAsia="en-AU"/>
              </w:rPr>
              <w:t>, 0.1</w:t>
            </w:r>
            <w:r>
              <w:rPr>
                <w:rFonts w:eastAsia="Times New Roman"/>
                <w:color w:val="000000"/>
                <w:sz w:val="20"/>
                <w:szCs w:val="20"/>
                <w:lang w:eastAsia="en-AU"/>
              </w:rPr>
              <w:t>5</w:t>
            </w:r>
            <w:r w:rsidRPr="009A6091">
              <w:rPr>
                <w:rFonts w:eastAsia="Times New Roman"/>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tcPr>
          <w:p w14:paraId="61217BC7"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1.0</w:t>
            </w:r>
            <w:r>
              <w:rPr>
                <w:rFonts w:eastAsia="Times New Roman"/>
                <w:color w:val="000000"/>
                <w:sz w:val="20"/>
                <w:szCs w:val="20"/>
                <w:lang w:eastAsia="en-AU"/>
              </w:rPr>
              <w:t>3</w:t>
            </w:r>
          </w:p>
          <w:p w14:paraId="5C967C2D"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(0.9</w:t>
            </w:r>
            <w:r>
              <w:rPr>
                <w:rFonts w:eastAsia="Times New Roman"/>
                <w:color w:val="000000"/>
                <w:sz w:val="20"/>
                <w:szCs w:val="20"/>
                <w:lang w:eastAsia="en-AU"/>
              </w:rPr>
              <w:t>3</w:t>
            </w:r>
            <w:r w:rsidRPr="009A6091">
              <w:rPr>
                <w:rFonts w:eastAsia="Times New Roman"/>
                <w:color w:val="000000"/>
                <w:sz w:val="20"/>
                <w:szCs w:val="20"/>
                <w:lang w:eastAsia="en-AU"/>
              </w:rPr>
              <w:t>, 1.2</w:t>
            </w:r>
            <w:r>
              <w:rPr>
                <w:rFonts w:eastAsia="Times New Roman"/>
                <w:color w:val="000000"/>
                <w:sz w:val="20"/>
                <w:szCs w:val="20"/>
                <w:lang w:eastAsia="en-AU"/>
              </w:rPr>
              <w:t>8</w:t>
            </w:r>
            <w:r w:rsidRPr="009A6091">
              <w:rPr>
                <w:rFonts w:eastAsia="Times New Roman"/>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14269FFE" w14:textId="77777777" w:rsidR="00D57C2A" w:rsidRPr="009A6091"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Times New Roman"/>
                <w:color w:val="000000"/>
                <w:sz w:val="20"/>
                <w:szCs w:val="20"/>
              </w:rPr>
            </w:pPr>
            <w:r w:rsidRPr="009A6091">
              <w:rPr>
                <w:rFonts w:eastAsia="Times New Roman"/>
                <w:color w:val="000000"/>
                <w:sz w:val="20"/>
                <w:szCs w:val="20"/>
                <w:lang w:eastAsia="en-AU"/>
              </w:rPr>
              <w:t xml:space="preserve">No clear difference in trends between Core and Expansion </w:t>
            </w:r>
          </w:p>
        </w:tc>
      </w:tr>
      <w:tr w:rsidR="00D57C2A" w:rsidRPr="009A6091" w14:paraId="453E41EF"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FCBBCAE"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Pr>
                <w:rFonts w:eastAsia="Calibri"/>
                <w:sz w:val="20"/>
                <w:szCs w:val="20"/>
              </w:rPr>
              <w:t>Change after baiting in Exp</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tcPr>
          <w:p w14:paraId="4612652F"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38</w:t>
            </w:r>
          </w:p>
          <w:p w14:paraId="4AC08D39"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0</w:t>
            </w:r>
            <w:r w:rsidRPr="009A6091">
              <w:rPr>
                <w:rFonts w:eastAsia="Times New Roman"/>
                <w:color w:val="000000"/>
                <w:sz w:val="20"/>
                <w:szCs w:val="20"/>
                <w:lang w:eastAsia="en-AU"/>
              </w:rPr>
              <w:t>.</w:t>
            </w:r>
            <w:r>
              <w:rPr>
                <w:rFonts w:eastAsia="Times New Roman"/>
                <w:color w:val="000000"/>
                <w:sz w:val="20"/>
                <w:szCs w:val="20"/>
                <w:lang w:eastAsia="en-AU"/>
              </w:rPr>
              <w:t>19</w:t>
            </w:r>
            <w:r w:rsidRPr="009A6091">
              <w:rPr>
                <w:rFonts w:eastAsia="Times New Roman"/>
                <w:color w:val="000000"/>
                <w:sz w:val="20"/>
                <w:szCs w:val="20"/>
                <w:lang w:eastAsia="en-AU"/>
              </w:rPr>
              <w:t xml:space="preserve">, </w:t>
            </w:r>
            <w:r>
              <w:rPr>
                <w:rFonts w:eastAsia="Times New Roman"/>
                <w:color w:val="000000"/>
                <w:sz w:val="20"/>
                <w:szCs w:val="20"/>
                <w:lang w:eastAsia="en-AU"/>
              </w:rPr>
              <w:t>0.83</w:t>
            </w:r>
            <w:r w:rsidRPr="009A6091">
              <w:rPr>
                <w:rFonts w:eastAsia="Times New Roman"/>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tcPr>
          <w:p w14:paraId="57F692AE"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1.46</w:t>
            </w:r>
          </w:p>
          <w:p w14:paraId="29660849" w14:textId="77777777" w:rsidR="00D57C2A" w:rsidRPr="009A6091"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83</w:t>
            </w:r>
            <w:r w:rsidRPr="009A6091">
              <w:rPr>
                <w:rFonts w:eastAsia="Times New Roman"/>
                <w:color w:val="000000"/>
                <w:sz w:val="20"/>
                <w:szCs w:val="20"/>
                <w:lang w:eastAsia="en-AU"/>
              </w:rPr>
              <w:t xml:space="preserve">, </w:t>
            </w:r>
            <w:r>
              <w:rPr>
                <w:rFonts w:eastAsia="Times New Roman"/>
                <w:color w:val="000000"/>
                <w:sz w:val="20"/>
                <w:szCs w:val="20"/>
                <w:lang w:eastAsia="en-AU"/>
              </w:rPr>
              <w:t>2.30</w:t>
            </w:r>
            <w:r w:rsidRPr="009A6091">
              <w:rPr>
                <w:rFonts w:eastAsia="Times New Roman"/>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4A58A1A6" w14:textId="77777777" w:rsidR="00D57C2A" w:rsidRPr="009A6091"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Times New Roman"/>
                <w:color w:val="000000"/>
                <w:sz w:val="20"/>
                <w:szCs w:val="20"/>
              </w:rPr>
            </w:pPr>
            <w:r w:rsidRPr="009A6091">
              <w:rPr>
                <w:rFonts w:eastAsia="Times New Roman"/>
                <w:color w:val="000000"/>
                <w:sz w:val="20"/>
                <w:szCs w:val="20"/>
                <w:lang w:eastAsia="en-AU"/>
              </w:rPr>
              <w:t xml:space="preserve">No </w:t>
            </w:r>
            <w:r>
              <w:rPr>
                <w:rFonts w:eastAsia="Times New Roman"/>
                <w:color w:val="000000"/>
                <w:sz w:val="20"/>
                <w:szCs w:val="20"/>
                <w:lang w:eastAsia="en-AU"/>
              </w:rPr>
              <w:t>clear change in Expansion zone trend after 2021.</w:t>
            </w:r>
          </w:p>
        </w:tc>
      </w:tr>
    </w:tbl>
    <w:tbl>
      <w:tblPr>
        <w:tblStyle w:val="Table1"/>
        <w:tblW w:w="9781" w:type="dxa"/>
        <w:tblLayout w:type="fixed"/>
        <w:tblLook w:val="0420" w:firstRow="1" w:lastRow="0" w:firstColumn="0" w:lastColumn="0" w:noHBand="0" w:noVBand="1"/>
      </w:tblPr>
      <w:tblGrid>
        <w:gridCol w:w="1701"/>
        <w:gridCol w:w="1418"/>
        <w:gridCol w:w="1843"/>
        <w:gridCol w:w="4819"/>
      </w:tblGrid>
      <w:tr w:rsidR="00D57C2A" w:rsidRPr="009A6091" w14:paraId="079ABA2F" w14:textId="77777777" w:rsidTr="000F390E">
        <w:trPr>
          <w:cnfStyle w:val="100000000000" w:firstRow="1" w:lastRow="0" w:firstColumn="0" w:lastColumn="0" w:oddVBand="0" w:evenVBand="0" w:oddHBand="0" w:evenHBand="0" w:firstRowFirstColumn="0" w:firstRowLastColumn="0" w:lastRowFirstColumn="0" w:lastRowLastColumn="0"/>
        </w:trPr>
        <w:tc>
          <w:tcPr>
            <w:tcW w:w="9781" w:type="dxa"/>
            <w:gridSpan w:val="4"/>
            <w:tcBorders>
              <w:top w:val="single" w:sz="2" w:space="0" w:color="002060"/>
              <w:bottom w:val="single" w:sz="2" w:space="0" w:color="002060"/>
            </w:tcBorders>
            <w:shd w:val="clear" w:color="auto" w:fill="FFFFFF"/>
            <w:tcMar>
              <w:top w:w="0" w:type="dxa"/>
              <w:left w:w="0" w:type="dxa"/>
              <w:bottom w:w="0" w:type="dxa"/>
              <w:right w:w="0" w:type="dxa"/>
            </w:tcMar>
            <w:vAlign w:val="top"/>
          </w:tcPr>
          <w:p w14:paraId="0074457F" w14:textId="77777777" w:rsidR="00D57C2A" w:rsidRPr="009A6091"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Times New Roman"/>
                <w:b/>
                <w:bCs/>
                <w:i/>
                <w:iCs/>
                <w:color w:val="000000"/>
                <w:sz w:val="20"/>
                <w:szCs w:val="20"/>
              </w:rPr>
            </w:pPr>
            <w:r>
              <w:rPr>
                <w:rFonts w:eastAsia="Times New Roman"/>
                <w:b/>
                <w:bCs/>
                <w:i/>
                <w:iCs/>
                <w:color w:val="000000"/>
                <w:sz w:val="20"/>
                <w:szCs w:val="20"/>
                <w:lang w:eastAsia="en-AU"/>
              </w:rPr>
              <w:t xml:space="preserve">B1: </w:t>
            </w:r>
            <w:r w:rsidRPr="009A6091">
              <w:rPr>
                <w:rFonts w:eastAsia="Times New Roman"/>
                <w:b/>
                <w:bCs/>
                <w:i/>
                <w:iCs/>
                <w:color w:val="000000"/>
                <w:sz w:val="20"/>
                <w:szCs w:val="20"/>
                <w:lang w:eastAsia="en-AU"/>
              </w:rPr>
              <w:t xml:space="preserve">Best-supported </w:t>
            </w:r>
            <w:r>
              <w:rPr>
                <w:rFonts w:eastAsia="Times New Roman"/>
                <w:b/>
                <w:bCs/>
                <w:i/>
                <w:iCs/>
                <w:color w:val="000000"/>
                <w:sz w:val="20"/>
                <w:szCs w:val="20"/>
                <w:lang w:eastAsia="en-AU"/>
              </w:rPr>
              <w:t>m</w:t>
            </w:r>
            <w:r w:rsidRPr="009A6091">
              <w:rPr>
                <w:rFonts w:eastAsia="Times New Roman"/>
                <w:b/>
                <w:bCs/>
                <w:i/>
                <w:iCs/>
                <w:color w:val="000000"/>
                <w:sz w:val="20"/>
                <w:szCs w:val="20"/>
                <w:lang w:eastAsia="en-AU"/>
              </w:rPr>
              <w:t>odel</w:t>
            </w:r>
          </w:p>
        </w:tc>
      </w:tr>
      <w:tr w:rsidR="00D57C2A" w:rsidRPr="009A6091" w14:paraId="7DD8C805"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5E55485"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Difference between baited &amp; unbaited</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59E8678A" w14:textId="77777777" w:rsidR="00D57C2A"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Pr>
                <w:rFonts w:eastAsia="Times New Roman"/>
                <w:color w:val="000000"/>
                <w:sz w:val="20"/>
                <w:szCs w:val="20"/>
                <w:lang w:eastAsia="en-AU"/>
              </w:rPr>
              <w:t>0.82</w:t>
            </w:r>
          </w:p>
          <w:p w14:paraId="43D90CF9" w14:textId="77777777" w:rsidR="00D57C2A" w:rsidRPr="00280242"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EB3185">
              <w:rPr>
                <w:rFonts w:eastAsia="Times New Roman"/>
                <w:color w:val="000000"/>
                <w:sz w:val="20"/>
                <w:szCs w:val="20"/>
                <w:lang w:eastAsia="en-AU"/>
              </w:rPr>
              <w:t>(</w:t>
            </w:r>
            <w:r>
              <w:rPr>
                <w:rFonts w:eastAsia="Times New Roman"/>
                <w:color w:val="000000"/>
                <w:sz w:val="20"/>
                <w:szCs w:val="20"/>
                <w:lang w:eastAsia="en-AU"/>
              </w:rPr>
              <w:t>-0.02</w:t>
            </w:r>
            <w:r w:rsidRPr="00EB3185">
              <w:rPr>
                <w:rFonts w:eastAsia="Times New Roman"/>
                <w:color w:val="000000"/>
                <w:sz w:val="20"/>
                <w:szCs w:val="20"/>
                <w:lang w:eastAsia="en-AU"/>
              </w:rPr>
              <w:t xml:space="preserve">, </w:t>
            </w:r>
            <w:r>
              <w:rPr>
                <w:rFonts w:eastAsia="Times New Roman"/>
                <w:color w:val="000000"/>
                <w:sz w:val="20"/>
                <w:szCs w:val="20"/>
                <w:lang w:eastAsia="en-AU"/>
              </w:rPr>
              <w:t>1.70</w:t>
            </w:r>
            <w:r w:rsidRPr="00EB3185">
              <w:rPr>
                <w:rFonts w:eastAsia="Times New Roman"/>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8D37F40" w14:textId="77777777" w:rsidR="00D57C2A"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Pr>
                <w:rFonts w:eastAsia="Times New Roman"/>
                <w:color w:val="000000"/>
                <w:sz w:val="20"/>
                <w:szCs w:val="20"/>
                <w:lang w:eastAsia="en-AU"/>
              </w:rPr>
              <w:t>2.27</w:t>
            </w:r>
          </w:p>
          <w:p w14:paraId="64C5AF70" w14:textId="77777777" w:rsidR="00D57C2A" w:rsidRPr="00280242"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EB3185">
              <w:rPr>
                <w:rFonts w:eastAsia="Times New Roman"/>
                <w:color w:val="000000"/>
                <w:sz w:val="20"/>
                <w:szCs w:val="20"/>
                <w:lang w:eastAsia="en-AU"/>
              </w:rPr>
              <w:t>(</w:t>
            </w:r>
            <w:r>
              <w:rPr>
                <w:rFonts w:eastAsia="Times New Roman"/>
                <w:color w:val="000000"/>
                <w:sz w:val="20"/>
                <w:szCs w:val="20"/>
                <w:lang w:eastAsia="en-AU"/>
              </w:rPr>
              <w:t>0.98,5.47</w:t>
            </w:r>
            <w:r w:rsidRPr="00EB3185">
              <w:rPr>
                <w:rFonts w:eastAsia="Times New Roman"/>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0EE838D4" w14:textId="77777777" w:rsidR="00D57C2A" w:rsidRPr="009A6091"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Arial"/>
                <w:color w:val="000000"/>
                <w:sz w:val="20"/>
                <w:szCs w:val="20"/>
              </w:rPr>
            </w:pPr>
            <w:r>
              <w:rPr>
                <w:rFonts w:eastAsia="Times New Roman"/>
                <w:color w:val="000000"/>
                <w:sz w:val="20"/>
                <w:szCs w:val="20"/>
                <w:lang w:eastAsia="en-AU"/>
              </w:rPr>
              <w:t>No difference</w:t>
            </w:r>
            <w:r w:rsidRPr="009A6091">
              <w:rPr>
                <w:rFonts w:eastAsia="Times New Roman"/>
                <w:color w:val="000000"/>
                <w:sz w:val="20"/>
                <w:szCs w:val="20"/>
                <w:lang w:eastAsia="en-AU"/>
              </w:rPr>
              <w:t xml:space="preserve"> </w:t>
            </w:r>
            <w:r>
              <w:rPr>
                <w:rFonts w:eastAsia="Times New Roman"/>
                <w:color w:val="000000"/>
                <w:sz w:val="20"/>
                <w:szCs w:val="20"/>
                <w:lang w:eastAsia="en-AU"/>
              </w:rPr>
              <w:t>in Long-footed Potoroo</w:t>
            </w:r>
            <w:r w:rsidRPr="009A6091">
              <w:rPr>
                <w:rFonts w:eastAsia="Times New Roman"/>
                <w:color w:val="000000"/>
                <w:sz w:val="20"/>
                <w:szCs w:val="20"/>
                <w:lang w:eastAsia="en-AU"/>
              </w:rPr>
              <w:t xml:space="preserve"> occurrence</w:t>
            </w:r>
            <w:r>
              <w:rPr>
                <w:rFonts w:eastAsia="Times New Roman"/>
                <w:color w:val="000000"/>
                <w:sz w:val="20"/>
                <w:szCs w:val="20"/>
                <w:lang w:eastAsia="en-AU"/>
              </w:rPr>
              <w:t xml:space="preserve"> b/w baited and unbaited sites </w:t>
            </w:r>
            <w:r w:rsidRPr="00381B75">
              <w:rPr>
                <w:rFonts w:eastAsia="Times New Roman"/>
                <w:i/>
                <w:iCs/>
                <w:color w:val="000000"/>
                <w:sz w:val="20"/>
                <w:szCs w:val="20"/>
                <w:lang w:eastAsia="en-AU"/>
              </w:rPr>
              <w:t>at the mean FAPAR value</w:t>
            </w:r>
          </w:p>
        </w:tc>
      </w:tr>
      <w:tr w:rsidR="00D57C2A" w:rsidRPr="009A6091" w14:paraId="0836CE4D"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007E7210"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HDM</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0DEA883D"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Pr>
                <w:rFonts w:eastAsia="Times New Roman"/>
                <w:b/>
                <w:bCs/>
                <w:color w:val="000000"/>
                <w:sz w:val="20"/>
                <w:szCs w:val="20"/>
                <w:lang w:eastAsia="en-AU"/>
              </w:rPr>
              <w:t>1.91</w:t>
            </w:r>
          </w:p>
          <w:p w14:paraId="79793704"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right="102"/>
              <w:jc w:val="center"/>
              <w:rPr>
                <w:b/>
                <w:bCs/>
                <w:sz w:val="20"/>
                <w:szCs w:val="20"/>
              </w:rPr>
            </w:pPr>
            <w:r w:rsidRPr="00D67650">
              <w:rPr>
                <w:rFonts w:eastAsia="Times New Roman"/>
                <w:b/>
                <w:bCs/>
                <w:color w:val="000000"/>
                <w:sz w:val="20"/>
                <w:szCs w:val="20"/>
                <w:lang w:eastAsia="en-AU"/>
              </w:rPr>
              <w:t>(1.</w:t>
            </w:r>
            <w:r>
              <w:rPr>
                <w:rFonts w:eastAsia="Times New Roman"/>
                <w:b/>
                <w:bCs/>
                <w:color w:val="000000"/>
                <w:sz w:val="20"/>
                <w:szCs w:val="20"/>
                <w:lang w:eastAsia="en-AU"/>
              </w:rPr>
              <w:t>41</w:t>
            </w:r>
            <w:r w:rsidRPr="00D67650">
              <w:rPr>
                <w:rFonts w:eastAsia="Times New Roman"/>
                <w:b/>
                <w:bCs/>
                <w:color w:val="000000"/>
                <w:sz w:val="20"/>
                <w:szCs w:val="20"/>
                <w:lang w:eastAsia="en-AU"/>
              </w:rPr>
              <w:t xml:space="preserve">, </w:t>
            </w:r>
            <w:r>
              <w:rPr>
                <w:rFonts w:eastAsia="Times New Roman"/>
                <w:b/>
                <w:bCs/>
                <w:color w:val="000000"/>
                <w:sz w:val="20"/>
                <w:szCs w:val="20"/>
                <w:lang w:eastAsia="en-AU"/>
              </w:rPr>
              <w:t>2.63)</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A409C43"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Pr>
                <w:rFonts w:eastAsia="Times New Roman"/>
                <w:b/>
                <w:bCs/>
                <w:color w:val="000000"/>
                <w:sz w:val="20"/>
                <w:szCs w:val="20"/>
                <w:lang w:eastAsia="en-AU"/>
              </w:rPr>
              <w:t>6.75</w:t>
            </w:r>
          </w:p>
          <w:p w14:paraId="5BB785B0"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(5.47, 25.8)</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2A90987D" w14:textId="77777777" w:rsidR="00D57C2A" w:rsidRPr="00D67650"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b/>
                <w:bCs/>
                <w:sz w:val="20"/>
                <w:szCs w:val="20"/>
              </w:rPr>
            </w:pPr>
            <w:r w:rsidRPr="00D67650">
              <w:rPr>
                <w:rFonts w:eastAsia="Times New Roman"/>
                <w:b/>
                <w:bCs/>
                <w:color w:val="000000"/>
                <w:sz w:val="20"/>
                <w:szCs w:val="20"/>
                <w:lang w:eastAsia="en-AU"/>
              </w:rPr>
              <w:t>Positive relationship b</w:t>
            </w:r>
            <w:r>
              <w:rPr>
                <w:rFonts w:eastAsia="Times New Roman"/>
                <w:b/>
                <w:bCs/>
                <w:color w:val="000000"/>
                <w:sz w:val="20"/>
                <w:szCs w:val="20"/>
                <w:lang w:eastAsia="en-AU"/>
              </w:rPr>
              <w:t>etween</w:t>
            </w:r>
            <w:r w:rsidRPr="00D67650">
              <w:rPr>
                <w:rFonts w:eastAsia="Times New Roman"/>
                <w:b/>
                <w:bCs/>
                <w:color w:val="000000"/>
                <w:sz w:val="20"/>
                <w:szCs w:val="20"/>
                <w:lang w:eastAsia="en-AU"/>
              </w:rPr>
              <w:t xml:space="preserve"> </w:t>
            </w:r>
            <w:r>
              <w:rPr>
                <w:rFonts w:eastAsia="Times New Roman"/>
                <w:b/>
                <w:bCs/>
                <w:color w:val="000000"/>
                <w:sz w:val="20"/>
                <w:szCs w:val="20"/>
                <w:lang w:eastAsia="en-AU"/>
              </w:rPr>
              <w:t>Long-footed Potoroo</w:t>
            </w:r>
            <w:r w:rsidRPr="00D67650">
              <w:rPr>
                <w:rFonts w:eastAsia="Times New Roman"/>
                <w:b/>
                <w:bCs/>
                <w:color w:val="000000"/>
                <w:sz w:val="20"/>
                <w:szCs w:val="20"/>
                <w:lang w:eastAsia="en-AU"/>
              </w:rPr>
              <w:t xml:space="preserve"> occurrence and HDM value</w:t>
            </w:r>
          </w:p>
        </w:tc>
      </w:tr>
      <w:tr w:rsidR="00D57C2A" w:rsidRPr="009A6091" w14:paraId="6AA138A7"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995201D"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Time since fire</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28FDBE98"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D67650">
              <w:rPr>
                <w:rFonts w:eastAsia="Times New Roman"/>
                <w:b/>
                <w:bCs/>
                <w:color w:val="000000"/>
                <w:sz w:val="20"/>
                <w:szCs w:val="20"/>
                <w:lang w:eastAsia="en-AU"/>
              </w:rPr>
              <w:t>0.</w:t>
            </w:r>
            <w:r>
              <w:rPr>
                <w:rFonts w:eastAsia="Times New Roman"/>
                <w:b/>
                <w:bCs/>
                <w:color w:val="000000"/>
                <w:sz w:val="20"/>
                <w:szCs w:val="20"/>
                <w:lang w:eastAsia="en-AU"/>
              </w:rPr>
              <w:t>52</w:t>
            </w:r>
          </w:p>
          <w:p w14:paraId="2985A0B1"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sz w:val="20"/>
                <w:szCs w:val="20"/>
              </w:rPr>
            </w:pPr>
            <w:r w:rsidRPr="00D67650">
              <w:rPr>
                <w:rFonts w:eastAsia="Times New Roman"/>
                <w:b/>
                <w:bCs/>
                <w:color w:val="000000"/>
                <w:sz w:val="20"/>
                <w:szCs w:val="20"/>
                <w:lang w:eastAsia="en-AU"/>
              </w:rPr>
              <w:t>(0.</w:t>
            </w:r>
            <w:r>
              <w:rPr>
                <w:rFonts w:eastAsia="Times New Roman"/>
                <w:b/>
                <w:bCs/>
                <w:color w:val="000000"/>
                <w:sz w:val="20"/>
                <w:szCs w:val="20"/>
                <w:lang w:eastAsia="en-AU"/>
              </w:rPr>
              <w:t>11</w:t>
            </w:r>
            <w:r w:rsidRPr="00D67650">
              <w:rPr>
                <w:rFonts w:eastAsia="Times New Roman"/>
                <w:b/>
                <w:bCs/>
                <w:color w:val="000000"/>
                <w:sz w:val="20"/>
                <w:szCs w:val="20"/>
                <w:lang w:eastAsia="en-AU"/>
              </w:rPr>
              <w:t xml:space="preserve">, </w:t>
            </w:r>
            <w:r>
              <w:rPr>
                <w:rFonts w:eastAsia="Times New Roman"/>
                <w:b/>
                <w:bCs/>
                <w:color w:val="000000"/>
                <w:sz w:val="20"/>
                <w:szCs w:val="20"/>
                <w:lang w:eastAsia="en-AU"/>
              </w:rPr>
              <w:t>0.97</w:t>
            </w:r>
            <w:r w:rsidRPr="00D67650">
              <w:rPr>
                <w:rFonts w:eastAsia="Times New Roman"/>
                <w:b/>
                <w:bCs/>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0672671E"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Pr>
                <w:rFonts w:eastAsia="Times New Roman"/>
                <w:b/>
                <w:bCs/>
                <w:color w:val="000000"/>
                <w:sz w:val="20"/>
                <w:szCs w:val="20"/>
                <w:lang w:eastAsia="en-AU"/>
              </w:rPr>
              <w:t>1.68</w:t>
            </w:r>
          </w:p>
          <w:p w14:paraId="6DEAA1F1" w14:textId="77777777" w:rsidR="00D57C2A" w:rsidRPr="00D67650"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D67650">
              <w:rPr>
                <w:rFonts w:eastAsia="Times New Roman"/>
                <w:b/>
                <w:bCs/>
                <w:color w:val="000000"/>
                <w:sz w:val="20"/>
                <w:szCs w:val="20"/>
                <w:lang w:eastAsia="en-AU"/>
              </w:rPr>
              <w:t>(1.</w:t>
            </w:r>
            <w:r>
              <w:rPr>
                <w:rFonts w:eastAsia="Times New Roman"/>
                <w:b/>
                <w:bCs/>
                <w:color w:val="000000"/>
                <w:sz w:val="20"/>
                <w:szCs w:val="20"/>
                <w:lang w:eastAsia="en-AU"/>
              </w:rPr>
              <w:t>12</w:t>
            </w:r>
            <w:r w:rsidRPr="00D67650">
              <w:rPr>
                <w:rFonts w:eastAsia="Times New Roman"/>
                <w:b/>
                <w:bCs/>
                <w:color w:val="000000"/>
                <w:sz w:val="20"/>
                <w:szCs w:val="20"/>
                <w:lang w:eastAsia="en-AU"/>
              </w:rPr>
              <w:t xml:space="preserve">, </w:t>
            </w:r>
            <w:r>
              <w:rPr>
                <w:rFonts w:eastAsia="Times New Roman"/>
                <w:b/>
                <w:bCs/>
                <w:color w:val="000000"/>
                <w:sz w:val="20"/>
                <w:szCs w:val="20"/>
                <w:lang w:eastAsia="en-AU"/>
              </w:rPr>
              <w:t>2.64</w:t>
            </w:r>
            <w:r w:rsidRPr="00D67650">
              <w:rPr>
                <w:rFonts w:eastAsia="Times New Roman"/>
                <w:b/>
                <w:bCs/>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5D5395A8" w14:textId="77777777" w:rsidR="00D57C2A" w:rsidRPr="00D67650"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b/>
                <w:bCs/>
                <w:sz w:val="20"/>
                <w:szCs w:val="20"/>
              </w:rPr>
            </w:pPr>
            <w:r w:rsidRPr="00D67650">
              <w:rPr>
                <w:rFonts w:eastAsia="Times New Roman"/>
                <w:b/>
                <w:bCs/>
                <w:color w:val="000000"/>
                <w:sz w:val="20"/>
                <w:szCs w:val="20"/>
                <w:lang w:eastAsia="en-AU"/>
              </w:rPr>
              <w:t>Positive relationship b</w:t>
            </w:r>
            <w:r>
              <w:rPr>
                <w:rFonts w:eastAsia="Times New Roman"/>
                <w:b/>
                <w:bCs/>
                <w:color w:val="000000"/>
                <w:sz w:val="20"/>
                <w:szCs w:val="20"/>
                <w:lang w:eastAsia="en-AU"/>
              </w:rPr>
              <w:t>etween</w:t>
            </w:r>
            <w:r w:rsidRPr="00D67650">
              <w:rPr>
                <w:rFonts w:eastAsia="Times New Roman"/>
                <w:b/>
                <w:bCs/>
                <w:color w:val="000000"/>
                <w:sz w:val="20"/>
                <w:szCs w:val="20"/>
                <w:lang w:eastAsia="en-AU"/>
              </w:rPr>
              <w:t xml:space="preserve"> </w:t>
            </w:r>
            <w:r>
              <w:rPr>
                <w:rFonts w:eastAsia="Times New Roman"/>
                <w:b/>
                <w:bCs/>
                <w:color w:val="000000"/>
                <w:sz w:val="20"/>
                <w:szCs w:val="20"/>
                <w:lang w:eastAsia="en-AU"/>
              </w:rPr>
              <w:t>Long-footed Potoroo</w:t>
            </w:r>
            <w:r w:rsidRPr="00D67650">
              <w:rPr>
                <w:rFonts w:eastAsia="Times New Roman"/>
                <w:b/>
                <w:bCs/>
                <w:color w:val="000000"/>
                <w:sz w:val="20"/>
                <w:szCs w:val="20"/>
                <w:lang w:eastAsia="en-AU"/>
              </w:rPr>
              <w:t xml:space="preserve"> occurrence and time-since-fire </w:t>
            </w:r>
          </w:p>
        </w:tc>
      </w:tr>
      <w:tr w:rsidR="00D57C2A" w:rsidRPr="00EB2558" w14:paraId="28AD928D"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46074AB7"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FAPAR and bait</w:t>
            </w:r>
            <w:r>
              <w:rPr>
                <w:sz w:val="20"/>
                <w:szCs w:val="20"/>
              </w:rPr>
              <w:t>ed sites</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20CA2579"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EB2558">
              <w:rPr>
                <w:rFonts w:eastAsia="Times New Roman"/>
                <w:b/>
                <w:bCs/>
                <w:color w:val="000000"/>
                <w:sz w:val="20"/>
                <w:szCs w:val="20"/>
                <w:lang w:eastAsia="en-AU"/>
              </w:rPr>
              <w:t>1.18</w:t>
            </w:r>
          </w:p>
          <w:p w14:paraId="060C6861"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EB2558">
              <w:rPr>
                <w:rFonts w:eastAsia="Times New Roman"/>
                <w:b/>
                <w:bCs/>
                <w:color w:val="000000"/>
                <w:sz w:val="20"/>
                <w:szCs w:val="20"/>
                <w:lang w:eastAsia="en-AU"/>
              </w:rPr>
              <w:t>(0.48, 1.96)</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250D076A"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EB2558">
              <w:rPr>
                <w:rFonts w:eastAsia="Times New Roman"/>
                <w:b/>
                <w:bCs/>
                <w:color w:val="000000"/>
                <w:sz w:val="20"/>
                <w:szCs w:val="20"/>
                <w:lang w:eastAsia="en-AU"/>
              </w:rPr>
              <w:t>3.25</w:t>
            </w:r>
          </w:p>
          <w:p w14:paraId="7FE22D7E"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EB2558">
              <w:rPr>
                <w:rFonts w:eastAsia="Times New Roman"/>
                <w:b/>
                <w:bCs/>
                <w:color w:val="000000"/>
                <w:sz w:val="20"/>
                <w:szCs w:val="20"/>
                <w:lang w:eastAsia="en-AU"/>
              </w:rPr>
              <w:t>(1.62, 7.1)</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22F83FA0"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b/>
                <w:bCs/>
                <w:color w:val="000000"/>
                <w:sz w:val="20"/>
                <w:szCs w:val="20"/>
                <w:lang w:eastAsia="en-AU"/>
              </w:rPr>
            </w:pPr>
            <w:r w:rsidRPr="00EB2558">
              <w:rPr>
                <w:rFonts w:eastAsia="Times New Roman"/>
                <w:b/>
                <w:bCs/>
                <w:color w:val="000000"/>
                <w:sz w:val="20"/>
                <w:szCs w:val="20"/>
                <w:lang w:eastAsia="en-AU"/>
              </w:rPr>
              <w:t>Positive relationship between Long-footed Potoroo occurrence and FAPAR among baited sites</w:t>
            </w:r>
          </w:p>
        </w:tc>
      </w:tr>
      <w:tr w:rsidR="00D57C2A" w:rsidRPr="00EB2558" w14:paraId="14D51C7A"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25DBF242"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FAPAR and unbaited sites</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01E988F3"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sidRPr="00EB2558">
              <w:rPr>
                <w:rFonts w:eastAsia="Times New Roman"/>
                <w:color w:val="000000"/>
                <w:sz w:val="20"/>
                <w:szCs w:val="20"/>
                <w:lang w:eastAsia="en-AU"/>
              </w:rPr>
              <w:t>0.32</w:t>
            </w:r>
          </w:p>
          <w:p w14:paraId="773783E0"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EB2558">
              <w:rPr>
                <w:rFonts w:eastAsia="Times New Roman"/>
                <w:color w:val="000000"/>
                <w:sz w:val="20"/>
                <w:szCs w:val="20"/>
                <w:lang w:eastAsia="en-AU"/>
              </w:rPr>
              <w:t>(-0.02, 1.70)</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27CB3206"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sidRPr="00EB2558">
              <w:rPr>
                <w:rFonts w:eastAsia="Times New Roman"/>
                <w:color w:val="000000"/>
                <w:sz w:val="20"/>
                <w:szCs w:val="20"/>
                <w:lang w:eastAsia="en-AU"/>
              </w:rPr>
              <w:t>1.38</w:t>
            </w:r>
          </w:p>
          <w:p w14:paraId="394ACE25" w14:textId="77777777" w:rsidR="00D57C2A" w:rsidRPr="00EB2558"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EB2558">
              <w:rPr>
                <w:rFonts w:eastAsia="Times New Roman"/>
                <w:color w:val="000000"/>
                <w:sz w:val="20"/>
                <w:szCs w:val="20"/>
                <w:lang w:eastAsia="en-AU"/>
              </w:rPr>
              <w:t>(0.76, 2.53)</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05D3439A"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color w:val="000000"/>
                <w:sz w:val="20"/>
                <w:szCs w:val="20"/>
                <w:lang w:eastAsia="en-AU"/>
              </w:rPr>
            </w:pPr>
            <w:r w:rsidRPr="00EB2558">
              <w:rPr>
                <w:rFonts w:eastAsia="Times New Roman"/>
                <w:color w:val="000000"/>
                <w:sz w:val="20"/>
                <w:szCs w:val="20"/>
                <w:lang w:eastAsia="en-AU"/>
              </w:rPr>
              <w:t>No relationship between Long-footed Potoroo occurrence and FAPAR among unbaited sites</w:t>
            </w:r>
          </w:p>
        </w:tc>
      </w:tr>
      <w:tr w:rsidR="00D57C2A" w:rsidRPr="00EB2558" w14:paraId="240C6A84" w14:textId="77777777" w:rsidTr="000F390E">
        <w:tc>
          <w:tcPr>
            <w:tcW w:w="9781" w:type="dxa"/>
            <w:gridSpan w:val="4"/>
            <w:tcBorders>
              <w:top w:val="single" w:sz="2" w:space="0" w:color="002060"/>
              <w:bottom w:val="single" w:sz="2" w:space="0" w:color="002060"/>
            </w:tcBorders>
            <w:shd w:val="clear" w:color="auto" w:fill="FFFFFF"/>
            <w:tcMar>
              <w:top w:w="0" w:type="dxa"/>
              <w:left w:w="0" w:type="dxa"/>
              <w:bottom w:w="0" w:type="dxa"/>
              <w:right w:w="0" w:type="dxa"/>
            </w:tcMar>
            <w:vAlign w:val="center"/>
          </w:tcPr>
          <w:p w14:paraId="4EB22A45" w14:textId="77777777" w:rsidR="00D57C2A" w:rsidRPr="00EB2558"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color w:val="000000"/>
                <w:szCs w:val="20"/>
                <w:lang w:eastAsia="en-AU"/>
              </w:rPr>
            </w:pPr>
            <w:r>
              <w:rPr>
                <w:rFonts w:eastAsia="Times New Roman"/>
                <w:b/>
                <w:bCs/>
                <w:i/>
                <w:iCs/>
                <w:color w:val="000000"/>
                <w:sz w:val="20"/>
                <w:szCs w:val="20"/>
                <w:lang w:eastAsia="en-AU"/>
              </w:rPr>
              <w:t>B2: Landscape m</w:t>
            </w:r>
            <w:r w:rsidRPr="009A6091">
              <w:rPr>
                <w:rFonts w:eastAsia="Times New Roman"/>
                <w:b/>
                <w:bCs/>
                <w:i/>
                <w:iCs/>
                <w:color w:val="000000"/>
                <w:sz w:val="20"/>
                <w:szCs w:val="20"/>
                <w:lang w:eastAsia="en-AU"/>
              </w:rPr>
              <w:t>odel</w:t>
            </w:r>
          </w:p>
        </w:tc>
      </w:tr>
      <w:tr w:rsidR="00D57C2A" w:rsidRPr="00EB2558" w14:paraId="07DAAF9B"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0B5F0E71" w14:textId="77777777" w:rsidR="00D57C2A" w:rsidRPr="00B137A1" w:rsidRDefault="00D57C2A" w:rsidP="000F390E">
            <w:pPr>
              <w:ind w:left="142"/>
              <w:rPr>
                <w:sz w:val="20"/>
                <w:szCs w:val="20"/>
              </w:rPr>
            </w:pPr>
            <w:r>
              <w:rPr>
                <w:sz w:val="20"/>
                <w:szCs w:val="20"/>
              </w:rPr>
              <w:t>Modelled fox density</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58B9B946" w14:textId="77777777" w:rsidR="00D57C2A" w:rsidRPr="00B137A1" w:rsidRDefault="00D57C2A" w:rsidP="000F390E">
            <w:pPr>
              <w:jc w:val="center"/>
              <w:rPr>
                <w:b/>
                <w:bCs/>
                <w:color w:val="000000"/>
                <w:sz w:val="20"/>
                <w:szCs w:val="20"/>
                <w:lang w:eastAsia="en-AU"/>
              </w:rPr>
            </w:pPr>
            <w:r w:rsidRPr="00B137A1">
              <w:rPr>
                <w:b/>
                <w:bCs/>
                <w:color w:val="000000"/>
                <w:sz w:val="20"/>
                <w:szCs w:val="20"/>
                <w:lang w:eastAsia="en-AU"/>
              </w:rPr>
              <w:t>-0.64</w:t>
            </w:r>
          </w:p>
          <w:p w14:paraId="6805A36B" w14:textId="77777777" w:rsidR="00D57C2A" w:rsidRPr="00B137A1" w:rsidRDefault="00D57C2A" w:rsidP="000F390E">
            <w:pPr>
              <w:jc w:val="center"/>
              <w:rPr>
                <w:color w:val="000000"/>
                <w:sz w:val="20"/>
                <w:szCs w:val="20"/>
                <w:lang w:eastAsia="en-AU"/>
              </w:rPr>
            </w:pPr>
            <w:r w:rsidRPr="00B137A1">
              <w:rPr>
                <w:b/>
                <w:bCs/>
                <w:color w:val="000000"/>
                <w:sz w:val="20"/>
                <w:szCs w:val="20"/>
                <w:lang w:eastAsia="en-AU"/>
              </w:rPr>
              <w:t>(-1.03, -0.25)</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B5B3CC7" w14:textId="77777777" w:rsidR="00D57C2A" w:rsidRPr="00B137A1" w:rsidRDefault="00D57C2A" w:rsidP="000F390E">
            <w:pPr>
              <w:jc w:val="center"/>
              <w:rPr>
                <w:color w:val="000000"/>
                <w:sz w:val="20"/>
                <w:szCs w:val="20"/>
                <w:lang w:eastAsia="en-AU"/>
              </w:rPr>
            </w:pPr>
            <w:r>
              <w:rPr>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36377044" w14:textId="77777777" w:rsidR="00D57C2A" w:rsidRPr="00B137A1" w:rsidRDefault="00D57C2A" w:rsidP="000F390E">
            <w:pPr>
              <w:ind w:left="144"/>
              <w:rPr>
                <w:color w:val="000000"/>
                <w:sz w:val="20"/>
                <w:szCs w:val="20"/>
                <w:lang w:eastAsia="en-AU"/>
              </w:rPr>
            </w:pPr>
            <w:r w:rsidRPr="00B137A1">
              <w:rPr>
                <w:rFonts w:eastAsia="Times New Roman"/>
                <w:b/>
                <w:bCs/>
                <w:color w:val="000000"/>
                <w:sz w:val="20"/>
                <w:szCs w:val="20"/>
                <w:lang w:eastAsia="en-AU"/>
              </w:rPr>
              <w:t>Negative relationship between Long-footed Potoroo occurrence</w:t>
            </w:r>
            <w:r w:rsidRPr="00B137A1">
              <w:rPr>
                <w:b/>
                <w:bCs/>
                <w:color w:val="000000"/>
                <w:sz w:val="20"/>
                <w:szCs w:val="20"/>
                <w:lang w:eastAsia="en-AU"/>
              </w:rPr>
              <w:t xml:space="preserve"> and predicted fox density (i.e. positive rel. with baiting intensity)</w:t>
            </w:r>
          </w:p>
        </w:tc>
      </w:tr>
      <w:tr w:rsidR="00D57C2A" w:rsidRPr="00EB2558" w14:paraId="15B4535E"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6B8F8B0C" w14:textId="77777777" w:rsidR="00D57C2A" w:rsidRPr="00B137A1" w:rsidRDefault="00D57C2A" w:rsidP="000F390E">
            <w:pPr>
              <w:ind w:left="142"/>
              <w:rPr>
                <w:sz w:val="20"/>
                <w:szCs w:val="20"/>
              </w:rPr>
            </w:pPr>
            <w:r w:rsidRPr="00EB2558">
              <w:rPr>
                <w:sz w:val="20"/>
                <w:szCs w:val="20"/>
              </w:rPr>
              <w:t>HDM</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7CD63EF8" w14:textId="77777777" w:rsidR="00D57C2A" w:rsidRPr="00B137A1" w:rsidRDefault="00D57C2A" w:rsidP="000F390E">
            <w:pPr>
              <w:jc w:val="center"/>
              <w:rPr>
                <w:b/>
                <w:bCs/>
                <w:color w:val="000000"/>
                <w:sz w:val="20"/>
                <w:szCs w:val="20"/>
                <w:lang w:eastAsia="en-AU"/>
              </w:rPr>
            </w:pPr>
            <w:r w:rsidRPr="00B137A1">
              <w:rPr>
                <w:b/>
                <w:bCs/>
                <w:color w:val="000000"/>
                <w:sz w:val="20"/>
                <w:szCs w:val="20"/>
                <w:lang w:eastAsia="en-AU"/>
              </w:rPr>
              <w:t>1.42</w:t>
            </w:r>
          </w:p>
          <w:p w14:paraId="423ABAC9" w14:textId="77777777" w:rsidR="00D57C2A" w:rsidRPr="00B137A1" w:rsidRDefault="00D57C2A" w:rsidP="000F390E">
            <w:pPr>
              <w:jc w:val="center"/>
              <w:rPr>
                <w:b/>
                <w:bCs/>
                <w:color w:val="000000"/>
                <w:sz w:val="20"/>
                <w:szCs w:val="20"/>
                <w:lang w:eastAsia="en-AU"/>
              </w:rPr>
            </w:pPr>
            <w:r w:rsidRPr="00B137A1">
              <w:rPr>
                <w:b/>
                <w:bCs/>
                <w:color w:val="000000"/>
                <w:sz w:val="20"/>
                <w:szCs w:val="20"/>
                <w:lang w:eastAsia="en-AU"/>
              </w:rPr>
              <w:t>(1.03,1.08)</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621C9340" w14:textId="77777777" w:rsidR="00D57C2A" w:rsidRPr="00B137A1" w:rsidRDefault="00D57C2A" w:rsidP="000F390E">
            <w:pPr>
              <w:jc w:val="center"/>
              <w:rPr>
                <w:color w:val="000000"/>
                <w:sz w:val="20"/>
                <w:szCs w:val="20"/>
                <w:lang w:eastAsia="en-AU"/>
              </w:rPr>
            </w:pPr>
            <w:r>
              <w:rPr>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7D49DD1B" w14:textId="77777777" w:rsidR="00D57C2A" w:rsidRPr="00B137A1" w:rsidRDefault="00D57C2A" w:rsidP="000F390E">
            <w:pPr>
              <w:ind w:left="144"/>
              <w:rPr>
                <w:b/>
                <w:bCs/>
                <w:color w:val="000000"/>
                <w:sz w:val="20"/>
                <w:szCs w:val="20"/>
                <w:lang w:eastAsia="en-AU"/>
              </w:rPr>
            </w:pPr>
            <w:r w:rsidRPr="00B137A1">
              <w:rPr>
                <w:rFonts w:eastAsia="Times New Roman"/>
                <w:b/>
                <w:bCs/>
                <w:color w:val="000000"/>
                <w:sz w:val="20"/>
                <w:szCs w:val="20"/>
                <w:lang w:eastAsia="en-AU"/>
              </w:rPr>
              <w:t>Positive relationship between Long-footed Potoroo occurrence and HDM value</w:t>
            </w:r>
          </w:p>
        </w:tc>
      </w:tr>
      <w:tr w:rsidR="00D57C2A" w:rsidRPr="00EB2558" w14:paraId="12AE9370"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41EEE8AF" w14:textId="77777777" w:rsidR="00D57C2A" w:rsidRPr="00B137A1" w:rsidRDefault="00D57C2A" w:rsidP="000F390E">
            <w:pPr>
              <w:ind w:left="142"/>
              <w:rPr>
                <w:sz w:val="20"/>
                <w:szCs w:val="20"/>
              </w:rPr>
            </w:pPr>
            <w:r>
              <w:rPr>
                <w:sz w:val="20"/>
                <w:szCs w:val="20"/>
              </w:rPr>
              <w:t>Time since fire</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05614982" w14:textId="77777777" w:rsidR="00D57C2A" w:rsidRPr="00201668" w:rsidRDefault="00D57C2A" w:rsidP="000F390E">
            <w:pPr>
              <w:jc w:val="center"/>
              <w:rPr>
                <w:b/>
                <w:bCs/>
                <w:color w:val="000000"/>
                <w:sz w:val="20"/>
                <w:szCs w:val="20"/>
                <w:lang w:eastAsia="en-AU"/>
              </w:rPr>
            </w:pPr>
            <w:r w:rsidRPr="00201668">
              <w:rPr>
                <w:b/>
                <w:bCs/>
                <w:color w:val="000000"/>
                <w:sz w:val="20"/>
                <w:szCs w:val="20"/>
                <w:lang w:eastAsia="en-AU"/>
              </w:rPr>
              <w:t>0.23</w:t>
            </w:r>
          </w:p>
          <w:p w14:paraId="004DC218" w14:textId="77777777" w:rsidR="00D57C2A" w:rsidRPr="00B137A1" w:rsidRDefault="00D57C2A" w:rsidP="000F390E">
            <w:pPr>
              <w:jc w:val="center"/>
              <w:rPr>
                <w:b/>
                <w:bCs/>
                <w:color w:val="000000"/>
                <w:sz w:val="20"/>
                <w:szCs w:val="20"/>
                <w:lang w:eastAsia="en-AU"/>
              </w:rPr>
            </w:pPr>
            <w:r w:rsidRPr="00201668">
              <w:rPr>
                <w:b/>
                <w:bCs/>
                <w:color w:val="000000"/>
                <w:sz w:val="20"/>
                <w:szCs w:val="20"/>
                <w:lang w:eastAsia="en-AU"/>
              </w:rPr>
              <w:t>(-0.01, 0.48)</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421BB93B" w14:textId="77777777" w:rsidR="00D57C2A" w:rsidRPr="00B137A1" w:rsidRDefault="00D57C2A" w:rsidP="000F390E">
            <w:pPr>
              <w:jc w:val="center"/>
              <w:rPr>
                <w:color w:val="000000"/>
                <w:sz w:val="20"/>
                <w:szCs w:val="20"/>
                <w:lang w:eastAsia="en-AU"/>
              </w:rPr>
            </w:pPr>
            <w:r>
              <w:rPr>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3C9DF436" w14:textId="77777777" w:rsidR="00D57C2A" w:rsidRPr="00B137A1" w:rsidRDefault="00D57C2A" w:rsidP="000F390E">
            <w:pPr>
              <w:ind w:left="144"/>
              <w:rPr>
                <w:b/>
                <w:bCs/>
                <w:color w:val="000000"/>
                <w:sz w:val="20"/>
                <w:szCs w:val="20"/>
                <w:lang w:eastAsia="en-AU"/>
              </w:rPr>
            </w:pPr>
            <w:r w:rsidRPr="00B137A1">
              <w:rPr>
                <w:rFonts w:eastAsia="Times New Roman"/>
                <w:b/>
                <w:bCs/>
                <w:color w:val="000000"/>
                <w:sz w:val="20"/>
                <w:szCs w:val="20"/>
                <w:lang w:eastAsia="en-AU"/>
              </w:rPr>
              <w:t>Positive relationship between Long-footed Potoroo occurrence and time-since-fire (high uncertainty)</w:t>
            </w:r>
          </w:p>
        </w:tc>
      </w:tr>
      <w:tr w:rsidR="00D57C2A" w:rsidRPr="00EB2558" w14:paraId="3EE76C80"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4E5ADEAB" w14:textId="77777777" w:rsidR="00D57C2A" w:rsidRPr="00B137A1" w:rsidRDefault="00D57C2A" w:rsidP="000F390E">
            <w:pPr>
              <w:ind w:left="142"/>
              <w:rPr>
                <w:sz w:val="20"/>
                <w:szCs w:val="20"/>
              </w:rPr>
            </w:pPr>
            <w:r w:rsidRPr="00EB2558">
              <w:rPr>
                <w:sz w:val="20"/>
                <w:szCs w:val="20"/>
              </w:rPr>
              <w:t xml:space="preserve">FAPAR </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0F1D1BB1" w14:textId="77777777" w:rsidR="00D57C2A" w:rsidRPr="00B137A1" w:rsidRDefault="00D57C2A" w:rsidP="000F390E">
            <w:pPr>
              <w:jc w:val="center"/>
              <w:rPr>
                <w:b/>
                <w:bCs/>
                <w:color w:val="000000"/>
                <w:sz w:val="20"/>
                <w:szCs w:val="20"/>
                <w:lang w:eastAsia="en-AU"/>
              </w:rPr>
            </w:pPr>
            <w:r w:rsidRPr="00B137A1">
              <w:rPr>
                <w:b/>
                <w:bCs/>
                <w:color w:val="000000"/>
                <w:sz w:val="20"/>
                <w:szCs w:val="20"/>
                <w:lang w:eastAsia="en-AU"/>
              </w:rPr>
              <w:t>0.61</w:t>
            </w:r>
          </w:p>
          <w:p w14:paraId="6ABC1969" w14:textId="77777777" w:rsidR="00D57C2A" w:rsidRPr="00B137A1" w:rsidRDefault="00D57C2A" w:rsidP="000F390E">
            <w:pPr>
              <w:jc w:val="center"/>
              <w:rPr>
                <w:b/>
                <w:bCs/>
                <w:color w:val="000000"/>
                <w:sz w:val="20"/>
                <w:szCs w:val="20"/>
                <w:lang w:eastAsia="en-AU"/>
              </w:rPr>
            </w:pPr>
            <w:r w:rsidRPr="00B137A1">
              <w:rPr>
                <w:b/>
                <w:bCs/>
                <w:color w:val="000000"/>
                <w:sz w:val="20"/>
                <w:szCs w:val="20"/>
                <w:lang w:eastAsia="en-AU"/>
              </w:rPr>
              <w:t>(0.23, 0.99)</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4D27AF41" w14:textId="77777777" w:rsidR="00D57C2A" w:rsidRPr="00B137A1" w:rsidRDefault="00D57C2A" w:rsidP="000F390E">
            <w:pPr>
              <w:jc w:val="center"/>
              <w:rPr>
                <w:color w:val="000000"/>
                <w:sz w:val="20"/>
                <w:szCs w:val="20"/>
                <w:lang w:eastAsia="en-AU"/>
              </w:rPr>
            </w:pPr>
            <w:r>
              <w:rPr>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067B2FDA" w14:textId="77777777" w:rsidR="00D57C2A" w:rsidRPr="00B137A1" w:rsidRDefault="00D57C2A" w:rsidP="000F390E">
            <w:pPr>
              <w:ind w:left="144"/>
              <w:rPr>
                <w:b/>
                <w:bCs/>
                <w:color w:val="000000"/>
                <w:sz w:val="20"/>
                <w:szCs w:val="20"/>
                <w:lang w:eastAsia="en-AU"/>
              </w:rPr>
            </w:pPr>
            <w:r w:rsidRPr="00B137A1">
              <w:rPr>
                <w:rFonts w:eastAsia="Times New Roman"/>
                <w:b/>
                <w:bCs/>
                <w:color w:val="000000"/>
                <w:sz w:val="20"/>
                <w:szCs w:val="20"/>
                <w:lang w:eastAsia="en-AU"/>
              </w:rPr>
              <w:t>Positive relationship between Long-footed Potoroo occurrence and FAPAR</w:t>
            </w:r>
          </w:p>
        </w:tc>
      </w:tr>
      <w:tr w:rsidR="00D57C2A" w:rsidRPr="009A6091" w14:paraId="0AD23E78" w14:textId="77777777" w:rsidTr="000F390E">
        <w:tc>
          <w:tcPr>
            <w:tcW w:w="9781" w:type="dxa"/>
            <w:gridSpan w:val="4"/>
            <w:tcBorders>
              <w:top w:val="single" w:sz="2" w:space="0" w:color="002060"/>
              <w:bottom w:val="single" w:sz="2" w:space="0" w:color="002060"/>
            </w:tcBorders>
            <w:shd w:val="clear" w:color="auto" w:fill="FFFFFF"/>
            <w:tcMar>
              <w:top w:w="0" w:type="dxa"/>
              <w:left w:w="0" w:type="dxa"/>
              <w:bottom w:w="0" w:type="dxa"/>
              <w:right w:w="0" w:type="dxa"/>
            </w:tcMar>
          </w:tcPr>
          <w:p w14:paraId="4F3A4E14" w14:textId="77777777" w:rsidR="00D57C2A" w:rsidRPr="009A6091"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b/>
                <w:bCs/>
                <w:i/>
                <w:iCs/>
                <w:color w:val="000000"/>
                <w:sz w:val="20"/>
                <w:szCs w:val="20"/>
                <w:lang w:eastAsia="en-AU"/>
              </w:rPr>
            </w:pPr>
            <w:r>
              <w:rPr>
                <w:b/>
                <w:bCs/>
                <w:i/>
                <w:iCs/>
                <w:sz w:val="20"/>
                <w:szCs w:val="20"/>
              </w:rPr>
              <w:t>C: Conditional t</w:t>
            </w:r>
            <w:r w:rsidRPr="009A6091">
              <w:rPr>
                <w:b/>
                <w:bCs/>
                <w:i/>
                <w:iCs/>
                <w:sz w:val="20"/>
                <w:szCs w:val="20"/>
              </w:rPr>
              <w:t>rend</w:t>
            </w:r>
            <w:r>
              <w:rPr>
                <w:b/>
                <w:bCs/>
                <w:i/>
                <w:iCs/>
                <w:sz w:val="20"/>
                <w:szCs w:val="20"/>
              </w:rPr>
              <w:t xml:space="preserve"> model</w:t>
            </w:r>
          </w:p>
        </w:tc>
      </w:tr>
      <w:tr w:rsidR="00D57C2A" w:rsidRPr="009A6091" w14:paraId="075792F4"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EB335F8" w14:textId="77777777" w:rsidR="00D57C2A" w:rsidRPr="00A140AE"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Trend in Core</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tcPr>
          <w:p w14:paraId="7C2A43A8"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A140AE">
              <w:rPr>
                <w:color w:val="000000"/>
                <w:sz w:val="20"/>
                <w:szCs w:val="20"/>
                <w:lang w:eastAsia="en-AU"/>
              </w:rPr>
              <w:t>0.0</w:t>
            </w:r>
            <w:r>
              <w:rPr>
                <w:color w:val="000000"/>
                <w:sz w:val="20"/>
                <w:szCs w:val="20"/>
                <w:lang w:eastAsia="en-AU"/>
              </w:rPr>
              <w:t>8</w:t>
            </w:r>
          </w:p>
          <w:p w14:paraId="7C7278B1"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A140AE">
              <w:rPr>
                <w:color w:val="000000"/>
                <w:sz w:val="20"/>
                <w:szCs w:val="20"/>
                <w:lang w:eastAsia="en-AU"/>
              </w:rPr>
              <w:t>(-0.</w:t>
            </w:r>
            <w:r>
              <w:rPr>
                <w:color w:val="000000"/>
                <w:sz w:val="20"/>
                <w:szCs w:val="20"/>
                <w:lang w:eastAsia="en-AU"/>
              </w:rPr>
              <w:t>02</w:t>
            </w:r>
            <w:r w:rsidRPr="00A140AE">
              <w:rPr>
                <w:color w:val="000000"/>
                <w:sz w:val="20"/>
                <w:szCs w:val="20"/>
                <w:lang w:eastAsia="en-AU"/>
              </w:rPr>
              <w:t>,0.</w:t>
            </w:r>
            <w:r>
              <w:rPr>
                <w:color w:val="000000"/>
                <w:sz w:val="20"/>
                <w:szCs w:val="20"/>
                <w:lang w:eastAsia="en-AU"/>
              </w:rPr>
              <w:t>18</w:t>
            </w:r>
            <w:r w:rsidRPr="00A140AE">
              <w:rPr>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tcPr>
          <w:p w14:paraId="4E8D1776"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Pr>
                <w:color w:val="000000"/>
                <w:sz w:val="20"/>
                <w:szCs w:val="20"/>
                <w:lang w:eastAsia="en-AU"/>
              </w:rPr>
              <w:t>1.08</w:t>
            </w:r>
          </w:p>
          <w:p w14:paraId="15C9D8C5"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A140AE">
              <w:rPr>
                <w:color w:val="000000"/>
                <w:sz w:val="20"/>
                <w:szCs w:val="20"/>
                <w:lang w:eastAsia="en-AU"/>
              </w:rPr>
              <w:t>(0.</w:t>
            </w:r>
            <w:r>
              <w:rPr>
                <w:color w:val="000000"/>
                <w:sz w:val="20"/>
                <w:szCs w:val="20"/>
                <w:lang w:eastAsia="en-AU"/>
              </w:rPr>
              <w:t>82</w:t>
            </w:r>
            <w:r w:rsidRPr="00A140AE">
              <w:rPr>
                <w:color w:val="000000"/>
                <w:sz w:val="20"/>
                <w:szCs w:val="20"/>
                <w:lang w:eastAsia="en-AU"/>
              </w:rPr>
              <w:t>,1.</w:t>
            </w:r>
            <w:r>
              <w:rPr>
                <w:color w:val="000000"/>
                <w:sz w:val="20"/>
                <w:szCs w:val="20"/>
                <w:lang w:eastAsia="en-AU"/>
              </w:rPr>
              <w:t>19</w:t>
            </w:r>
            <w:r w:rsidRPr="00A140AE">
              <w:rPr>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7B8DBB4E" w14:textId="77777777" w:rsidR="00D57C2A" w:rsidRPr="00A140AE"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1" w:hanging="357"/>
              <w:rPr>
                <w:color w:val="000000"/>
                <w:sz w:val="20"/>
                <w:szCs w:val="20"/>
                <w:lang w:eastAsia="en-AU"/>
              </w:rPr>
            </w:pPr>
            <w:r w:rsidRPr="00A140AE">
              <w:rPr>
                <w:color w:val="000000"/>
                <w:sz w:val="20"/>
                <w:szCs w:val="20"/>
                <w:lang w:eastAsia="en-AU"/>
              </w:rPr>
              <w:t>No trend in occupancy in Core zone after accounting for best-supported predictors</w:t>
            </w:r>
          </w:p>
        </w:tc>
      </w:tr>
      <w:tr w:rsidR="00D57C2A" w:rsidRPr="009A6091" w14:paraId="16271EF4"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45AD589B" w14:textId="77777777" w:rsidR="00D57C2A" w:rsidRPr="00A140AE"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lastRenderedPageBreak/>
              <w:t>Trend in Exp</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tcPr>
          <w:p w14:paraId="262D1477"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A140AE">
              <w:rPr>
                <w:color w:val="000000"/>
                <w:sz w:val="20"/>
                <w:szCs w:val="20"/>
                <w:lang w:eastAsia="en-AU"/>
              </w:rPr>
              <w:t>0.0</w:t>
            </w:r>
            <w:r>
              <w:rPr>
                <w:color w:val="000000"/>
                <w:sz w:val="20"/>
                <w:szCs w:val="20"/>
                <w:lang w:eastAsia="en-AU"/>
              </w:rPr>
              <w:t>6</w:t>
            </w:r>
          </w:p>
          <w:p w14:paraId="2A76F11F"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A140AE">
              <w:rPr>
                <w:color w:val="000000"/>
                <w:sz w:val="20"/>
                <w:szCs w:val="20"/>
                <w:lang w:eastAsia="en-AU"/>
              </w:rPr>
              <w:t>(-0.</w:t>
            </w:r>
            <w:r>
              <w:rPr>
                <w:color w:val="000000"/>
                <w:sz w:val="20"/>
                <w:szCs w:val="20"/>
                <w:lang w:eastAsia="en-AU"/>
              </w:rPr>
              <w:t>01,</w:t>
            </w:r>
            <w:r w:rsidRPr="00A140AE">
              <w:rPr>
                <w:color w:val="000000"/>
                <w:sz w:val="20"/>
                <w:szCs w:val="20"/>
                <w:lang w:eastAsia="en-AU"/>
              </w:rPr>
              <w:t>0.</w:t>
            </w:r>
            <w:r>
              <w:rPr>
                <w:color w:val="000000"/>
                <w:sz w:val="20"/>
                <w:szCs w:val="20"/>
                <w:lang w:eastAsia="en-AU"/>
              </w:rPr>
              <w:t>16</w:t>
            </w:r>
            <w:r w:rsidRPr="00A140AE">
              <w:rPr>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tcPr>
          <w:p w14:paraId="300D0E93"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A140AE">
              <w:rPr>
                <w:color w:val="000000"/>
                <w:sz w:val="20"/>
                <w:szCs w:val="20"/>
                <w:lang w:eastAsia="en-AU"/>
              </w:rPr>
              <w:t>1.0</w:t>
            </w:r>
            <w:r>
              <w:rPr>
                <w:color w:val="000000"/>
                <w:sz w:val="20"/>
                <w:szCs w:val="20"/>
                <w:lang w:eastAsia="en-AU"/>
              </w:rPr>
              <w:t>6</w:t>
            </w:r>
          </w:p>
          <w:p w14:paraId="7FF4EED9" w14:textId="77777777" w:rsidR="00D57C2A" w:rsidRPr="00A140AE" w:rsidRDefault="00D57C2A"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A140AE">
              <w:rPr>
                <w:color w:val="000000"/>
                <w:sz w:val="20"/>
                <w:szCs w:val="20"/>
                <w:lang w:eastAsia="en-AU"/>
              </w:rPr>
              <w:t>(0.</w:t>
            </w:r>
            <w:r>
              <w:rPr>
                <w:color w:val="000000"/>
                <w:sz w:val="20"/>
                <w:szCs w:val="20"/>
                <w:lang w:eastAsia="en-AU"/>
              </w:rPr>
              <w:t>99</w:t>
            </w:r>
            <w:r w:rsidRPr="00A140AE">
              <w:rPr>
                <w:color w:val="000000"/>
                <w:sz w:val="20"/>
                <w:szCs w:val="20"/>
                <w:lang w:eastAsia="en-AU"/>
              </w:rPr>
              <w:t>,1.</w:t>
            </w:r>
            <w:r>
              <w:rPr>
                <w:color w:val="000000"/>
                <w:sz w:val="20"/>
                <w:szCs w:val="20"/>
                <w:lang w:eastAsia="en-AU"/>
              </w:rPr>
              <w:t>17</w:t>
            </w:r>
            <w:r w:rsidRPr="00A140AE">
              <w:rPr>
                <w:color w:val="000000"/>
                <w:sz w:val="20"/>
                <w:szCs w:val="20"/>
                <w:lang w:eastAsia="en-AU"/>
              </w:rPr>
              <w:t>)</w:t>
            </w:r>
          </w:p>
        </w:tc>
        <w:tc>
          <w:tcPr>
            <w:tcW w:w="4819" w:type="dxa"/>
            <w:tcBorders>
              <w:top w:val="single" w:sz="2" w:space="0" w:color="002060"/>
              <w:bottom w:val="single" w:sz="2" w:space="0" w:color="002060"/>
            </w:tcBorders>
            <w:shd w:val="clear" w:color="auto" w:fill="CCDBEA"/>
            <w:tcMar>
              <w:top w:w="0" w:type="dxa"/>
              <w:left w:w="0" w:type="dxa"/>
              <w:bottom w:w="0" w:type="dxa"/>
              <w:right w:w="0" w:type="dxa"/>
            </w:tcMar>
          </w:tcPr>
          <w:p w14:paraId="727BE5AD" w14:textId="77777777" w:rsidR="00D57C2A" w:rsidRPr="00A140AE" w:rsidRDefault="00D57C2A"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color w:val="000000"/>
                <w:sz w:val="20"/>
                <w:szCs w:val="20"/>
                <w:lang w:eastAsia="en-AU"/>
              </w:rPr>
            </w:pPr>
            <w:r w:rsidRPr="00A140AE">
              <w:rPr>
                <w:color w:val="000000"/>
                <w:sz w:val="20"/>
                <w:szCs w:val="20"/>
                <w:lang w:eastAsia="en-AU"/>
              </w:rPr>
              <w:t>No trend in occupancy in Expansion zone after accounting for best-supported predictors</w:t>
            </w:r>
          </w:p>
        </w:tc>
      </w:tr>
    </w:tbl>
    <w:p w14:paraId="75DB28EA" w14:textId="77777777" w:rsidR="00D57C2A" w:rsidRDefault="00D57C2A" w:rsidP="00D57C2A">
      <w:pPr>
        <w:rPr>
          <w:rFonts w:ascii="Times New Roman" w:hAnsi="Times New Roman" w:cs="Times New Roman"/>
          <w:szCs w:val="20"/>
        </w:rPr>
      </w:pPr>
    </w:p>
    <w:p w14:paraId="73BD94A3" w14:textId="77777777" w:rsidR="00D57C2A" w:rsidRPr="00DF30F0" w:rsidRDefault="00D57C2A" w:rsidP="00D57C2A">
      <w:pPr>
        <w:rPr>
          <w:rFonts w:ascii="Times New Roman" w:hAnsi="Times New Roman" w:cs="Times New Roman"/>
          <w:szCs w:val="20"/>
        </w:rPr>
      </w:pPr>
      <w:r w:rsidRPr="00DF30F0">
        <w:rPr>
          <w:rFonts w:ascii="Times New Roman" w:hAnsi="Times New Roman" w:cs="Times New Roman"/>
          <w:szCs w:val="20"/>
        </w:rPr>
        <w:t>CI = credible interval; p.a. = per annum; HDM: Habitat Distribution Model.</w:t>
      </w:r>
      <w:r w:rsidRPr="00DF30F0">
        <w:rPr>
          <w:rFonts w:ascii="Times New Roman" w:hAnsi="Times New Roman" w:cs="Times New Roman"/>
          <w:szCs w:val="20"/>
        </w:rPr>
        <w:br/>
      </w:r>
      <w:r w:rsidRPr="00DF30F0">
        <w:rPr>
          <w:rFonts w:ascii="Times New Roman" w:hAnsi="Times New Roman" w:cs="Times New Roman"/>
          <w:szCs w:val="20"/>
          <w:vertAlign w:val="superscript"/>
        </w:rPr>
        <w:t>1</w:t>
      </w:r>
      <w:r w:rsidRPr="00DF30F0">
        <w:rPr>
          <w:rFonts w:ascii="Times New Roman" w:hAnsi="Times New Roman" w:cs="Times New Roman"/>
          <w:szCs w:val="20"/>
        </w:rPr>
        <w:t xml:space="preserve">Conditional Odds Ratios (OR) are a way to compare the chances of a particular outcome (e.g., the occurrence of Long-footed Potoroo) between two different groups (e.g., the Core vs the Expansion zone). We want to understand how the chances of Long-footed Potoroo occurring differ between these two groups. To calculate the OR, we look at the probabilities of that event happening in both groups. For example, we can call the probability of Long-footed Potoroo occurring in the Core zone "p1", and the probability in the Expansion zone "p0". The formula for the Conditional Odds Ratio is: OR = [p1 / (1-p1)] / [p0 / (1-p0)]. We assume all other factors (like different predictors or random spatial variations) are kept constant. To see how the odds change over time for the </w:t>
      </w:r>
      <w:r w:rsidRPr="00DF30F0">
        <w:rPr>
          <w:rFonts w:ascii="Times New Roman" w:hAnsi="Times New Roman" w:cs="Times New Roman"/>
          <w:i/>
          <w:iCs/>
          <w:szCs w:val="20"/>
        </w:rPr>
        <w:t>time</w:t>
      </w:r>
      <w:r w:rsidRPr="00DF30F0">
        <w:rPr>
          <w:rFonts w:ascii="Times New Roman" w:hAnsi="Times New Roman" w:cs="Times New Roman"/>
          <w:szCs w:val="20"/>
        </w:rPr>
        <w:t xml:space="preserve"> variable comparison, we compare the odds occurrence at time t+1 year relative to time t. So, the proportional change from year t to year t+1 is expressed as (ORt-1). For the continuous predictors, the variables can take different values, e.g., HDM values; we can use the OR to understand the impact of changing these values, for example, if one site has an HDM value of "x" and another with a slightly different value "x+σ_x" (where σ_x is the standard deviation of x); the ORx gives us the ratio of odds at these two sites. ORx-1 tells us the proportional change in odds associated with a change in the value of x equivalent to one standard deviation. The Conditional Odds Ratios help us compare the chances of something happening between different groups, times, or varying values of a specific variable. They give us insights into how one situation compares to another while considering other relevant factors.</w:t>
      </w:r>
    </w:p>
    <w:p w14:paraId="4AFC2654" w14:textId="17207849" w:rsidR="00D57C2A" w:rsidRPr="00F178B3" w:rsidRDefault="006B2C9D" w:rsidP="00D57C2A">
      <w:pPr>
        <w:rPr>
          <w:b/>
          <w:bCs/>
        </w:rPr>
      </w:pPr>
      <w:bookmarkStart w:id="112" w:name="_Ref192140309"/>
      <w:bookmarkStart w:id="113" w:name="_Toc170136150"/>
      <w:bookmarkStart w:id="114" w:name="_Ref192141224"/>
      <w:bookmarkStart w:id="115" w:name="_Ref192144702"/>
      <w:bookmarkStart w:id="116" w:name="_Hlk191970302"/>
      <w:r>
        <w:rPr>
          <w:b/>
          <w:bCs/>
        </w:rPr>
        <w:br w:type="column"/>
      </w:r>
      <w:r w:rsidR="00D57C2A" w:rsidRPr="00F178B3">
        <w:rPr>
          <w:b/>
          <w:bCs/>
        </w:rPr>
        <w:lastRenderedPageBreak/>
        <w:t xml:space="preserve">Table </w:t>
      </w:r>
      <w:bookmarkEnd w:id="112"/>
      <w:r w:rsidR="00D57C2A" w:rsidRPr="00F178B3">
        <w:rPr>
          <w:b/>
          <w:bCs/>
        </w:rPr>
        <w:t>A2. Conditional odds ratios for the expected changes in Long-footed Potoroo occupancy associated with long term (2020-24 mean vs 2007-2009 means) and recent (2024 vs 2020) changes in predictor variables.</w:t>
      </w:r>
      <w:bookmarkStart w:id="117" w:name="_Toc144196517"/>
      <w:bookmarkEnd w:id="113"/>
      <w:bookmarkEnd w:id="114"/>
      <w:bookmarkEnd w:id="115"/>
      <w:r w:rsidR="00D57C2A" w:rsidRPr="00F178B3">
        <w:rPr>
          <w:b/>
          <w:bCs/>
        </w:rPr>
        <w:t xml:space="preserve">  </w:t>
      </w:r>
    </w:p>
    <w:tbl>
      <w:tblPr>
        <w:tblStyle w:val="Table"/>
        <w:tblW w:w="9587" w:type="dxa"/>
        <w:tblInd w:w="80" w:type="dxa"/>
        <w:shd w:val="clear" w:color="auto" w:fill="201547" w:themeFill="accent3"/>
        <w:tblCellMar>
          <w:left w:w="28" w:type="dxa"/>
          <w:right w:w="28" w:type="dxa"/>
        </w:tblCellMar>
        <w:tblLook w:val="0420" w:firstRow="1" w:lastRow="0" w:firstColumn="0" w:lastColumn="0" w:noHBand="0" w:noVBand="1"/>
      </w:tblPr>
      <w:tblGrid>
        <w:gridCol w:w="1682"/>
        <w:gridCol w:w="653"/>
        <w:gridCol w:w="1276"/>
        <w:gridCol w:w="709"/>
        <w:gridCol w:w="1275"/>
        <w:gridCol w:w="709"/>
        <w:gridCol w:w="1276"/>
        <w:gridCol w:w="709"/>
        <w:gridCol w:w="1298"/>
      </w:tblGrid>
      <w:tr w:rsidR="00D57C2A" w:rsidRPr="003035E8" w14:paraId="694A81A4" w14:textId="77777777" w:rsidTr="000F390E">
        <w:trPr>
          <w:cnfStyle w:val="100000000000" w:firstRow="1" w:lastRow="0" w:firstColumn="0" w:lastColumn="0" w:oddVBand="0" w:evenVBand="0" w:oddHBand="0" w:evenHBand="0" w:firstRowFirstColumn="0" w:firstRowLastColumn="0" w:lastRowFirstColumn="0" w:lastRowLastColumn="0"/>
          <w:tblHeader/>
        </w:trPr>
        <w:tc>
          <w:tcPr>
            <w:tcW w:w="1682" w:type="dxa"/>
            <w:shd w:val="clear" w:color="auto" w:fill="004C97"/>
            <w:tcMar>
              <w:top w:w="0" w:type="dxa"/>
              <w:left w:w="0" w:type="dxa"/>
              <w:bottom w:w="0" w:type="dxa"/>
              <w:right w:w="0" w:type="dxa"/>
            </w:tcMar>
          </w:tcPr>
          <w:p w14:paraId="46573AC2" w14:textId="77777777" w:rsidR="00D57C2A" w:rsidRPr="003035E8" w:rsidRDefault="00D57C2A" w:rsidP="000F390E">
            <w:pPr>
              <w:pStyle w:val="Tableheadingtext"/>
              <w:ind w:left="142"/>
              <w:rPr>
                <w:bCs/>
                <w:sz w:val="20"/>
                <w:szCs w:val="20"/>
              </w:rPr>
            </w:pPr>
            <w:r w:rsidRPr="003035E8">
              <w:rPr>
                <w:bCs/>
                <w:sz w:val="20"/>
                <w:szCs w:val="20"/>
              </w:rPr>
              <w:t>Variable (units)</w:t>
            </w:r>
          </w:p>
        </w:tc>
        <w:tc>
          <w:tcPr>
            <w:tcW w:w="3913" w:type="dxa"/>
            <w:gridSpan w:val="4"/>
            <w:shd w:val="clear" w:color="auto" w:fill="004C97"/>
          </w:tcPr>
          <w:p w14:paraId="1B7600F1" w14:textId="77777777" w:rsidR="00D57C2A" w:rsidRPr="003035E8" w:rsidRDefault="00D57C2A" w:rsidP="000F390E">
            <w:pPr>
              <w:pStyle w:val="Tableheadingtext"/>
              <w:jc w:val="center"/>
              <w:rPr>
                <w:sz w:val="20"/>
                <w:szCs w:val="20"/>
              </w:rPr>
            </w:pPr>
            <w:r w:rsidRPr="003035E8">
              <w:rPr>
                <w:i/>
                <w:iCs/>
                <w:sz w:val="20"/>
                <w:szCs w:val="20"/>
              </w:rPr>
              <w:t>Core</w:t>
            </w:r>
            <w:r w:rsidRPr="003035E8">
              <w:rPr>
                <w:sz w:val="20"/>
                <w:szCs w:val="20"/>
              </w:rPr>
              <w:t xml:space="preserve"> zone</w:t>
            </w:r>
          </w:p>
        </w:tc>
        <w:tc>
          <w:tcPr>
            <w:tcW w:w="3992" w:type="dxa"/>
            <w:gridSpan w:val="4"/>
            <w:shd w:val="clear" w:color="auto" w:fill="004C97"/>
          </w:tcPr>
          <w:p w14:paraId="190ED693" w14:textId="77777777" w:rsidR="00D57C2A" w:rsidRPr="003035E8" w:rsidRDefault="00D57C2A" w:rsidP="000F390E">
            <w:pPr>
              <w:pStyle w:val="Tableheadingtext"/>
              <w:jc w:val="center"/>
              <w:rPr>
                <w:bCs/>
                <w:i/>
                <w:iCs/>
                <w:szCs w:val="20"/>
              </w:rPr>
            </w:pPr>
            <w:r w:rsidRPr="003035E8">
              <w:rPr>
                <w:bCs/>
                <w:i/>
                <w:iCs/>
                <w:sz w:val="20"/>
                <w:szCs w:val="20"/>
              </w:rPr>
              <w:t>Expansion</w:t>
            </w:r>
            <w:r w:rsidRPr="003035E8">
              <w:rPr>
                <w:bCs/>
                <w:sz w:val="20"/>
                <w:szCs w:val="20"/>
              </w:rPr>
              <w:t xml:space="preserve"> zone</w:t>
            </w:r>
          </w:p>
        </w:tc>
      </w:tr>
      <w:tr w:rsidR="00D57C2A" w:rsidRPr="003035E8" w14:paraId="6A2D7FA4" w14:textId="77777777" w:rsidTr="000F390E">
        <w:trPr>
          <w:cnfStyle w:val="100000000000" w:firstRow="1" w:lastRow="0" w:firstColumn="0" w:lastColumn="0" w:oddVBand="0" w:evenVBand="0" w:oddHBand="0" w:evenHBand="0" w:firstRowFirstColumn="0" w:firstRowLastColumn="0" w:lastRowFirstColumn="0" w:lastRowLastColumn="0"/>
          <w:tblHeader/>
        </w:trPr>
        <w:tc>
          <w:tcPr>
            <w:tcW w:w="1682" w:type="dxa"/>
            <w:shd w:val="clear" w:color="auto" w:fill="004C97"/>
            <w:tcMar>
              <w:top w:w="0" w:type="dxa"/>
              <w:left w:w="0" w:type="dxa"/>
              <w:bottom w:w="0" w:type="dxa"/>
              <w:right w:w="0" w:type="dxa"/>
            </w:tcMar>
          </w:tcPr>
          <w:p w14:paraId="6A5C7247" w14:textId="77777777" w:rsidR="00D57C2A" w:rsidRPr="003035E8" w:rsidRDefault="00D57C2A" w:rsidP="000F390E">
            <w:pPr>
              <w:pStyle w:val="Tableheadingtext"/>
              <w:ind w:left="142"/>
              <w:rPr>
                <w:bCs/>
                <w:szCs w:val="20"/>
              </w:rPr>
            </w:pPr>
          </w:p>
        </w:tc>
        <w:tc>
          <w:tcPr>
            <w:tcW w:w="1929" w:type="dxa"/>
            <w:gridSpan w:val="2"/>
            <w:shd w:val="clear" w:color="auto" w:fill="004C97"/>
          </w:tcPr>
          <w:p w14:paraId="7798F7BD" w14:textId="77777777" w:rsidR="00D57C2A" w:rsidRDefault="00D57C2A" w:rsidP="000F390E">
            <w:pPr>
              <w:pStyle w:val="Tableheadingtext"/>
              <w:jc w:val="center"/>
              <w:rPr>
                <w:i/>
                <w:iCs/>
                <w:sz w:val="20"/>
                <w:szCs w:val="16"/>
              </w:rPr>
            </w:pPr>
            <w:r w:rsidRPr="003035E8">
              <w:rPr>
                <w:i/>
                <w:iCs/>
                <w:sz w:val="20"/>
                <w:szCs w:val="16"/>
              </w:rPr>
              <w:t xml:space="preserve">Long-term </w:t>
            </w:r>
          </w:p>
          <w:p w14:paraId="426507B8" w14:textId="77777777" w:rsidR="00D57C2A" w:rsidRPr="003035E8" w:rsidRDefault="00D57C2A" w:rsidP="000F390E">
            <w:pPr>
              <w:pStyle w:val="Tableheadingtext"/>
              <w:jc w:val="center"/>
              <w:rPr>
                <w:i/>
                <w:iCs/>
                <w:sz w:val="20"/>
                <w:szCs w:val="16"/>
              </w:rPr>
            </w:pPr>
            <w:r w:rsidRPr="003035E8">
              <w:rPr>
                <w:i/>
                <w:iCs/>
                <w:sz w:val="20"/>
                <w:szCs w:val="16"/>
              </w:rPr>
              <w:t>(2020</w:t>
            </w:r>
            <w:r>
              <w:rPr>
                <w:i/>
                <w:iCs/>
                <w:sz w:val="20"/>
                <w:szCs w:val="16"/>
              </w:rPr>
              <w:t>-24 v 2007-09</w:t>
            </w:r>
            <w:r w:rsidRPr="003035E8">
              <w:rPr>
                <w:i/>
                <w:iCs/>
                <w:sz w:val="20"/>
                <w:szCs w:val="16"/>
              </w:rPr>
              <w:t>)</w:t>
            </w:r>
          </w:p>
        </w:tc>
        <w:tc>
          <w:tcPr>
            <w:tcW w:w="1984" w:type="dxa"/>
            <w:gridSpan w:val="2"/>
            <w:shd w:val="clear" w:color="auto" w:fill="004C97"/>
          </w:tcPr>
          <w:p w14:paraId="38E5F3A3" w14:textId="77777777" w:rsidR="00D57C2A" w:rsidRPr="003035E8" w:rsidRDefault="00D57C2A" w:rsidP="000F390E">
            <w:pPr>
              <w:pStyle w:val="Tableheadingtext"/>
              <w:jc w:val="center"/>
              <w:rPr>
                <w:bCs/>
                <w:i/>
                <w:iCs/>
                <w:sz w:val="20"/>
                <w:szCs w:val="16"/>
              </w:rPr>
            </w:pPr>
            <w:r w:rsidRPr="003035E8">
              <w:rPr>
                <w:bCs/>
                <w:i/>
                <w:iCs/>
                <w:sz w:val="20"/>
                <w:szCs w:val="16"/>
              </w:rPr>
              <w:t>Recent</w:t>
            </w:r>
            <w:r w:rsidRPr="003035E8">
              <w:rPr>
                <w:bCs/>
                <w:i/>
                <w:iCs/>
                <w:sz w:val="20"/>
                <w:szCs w:val="16"/>
              </w:rPr>
              <w:br/>
              <w:t>(202</w:t>
            </w:r>
            <w:r>
              <w:rPr>
                <w:bCs/>
                <w:i/>
                <w:iCs/>
                <w:sz w:val="20"/>
                <w:szCs w:val="16"/>
              </w:rPr>
              <w:t xml:space="preserve">4 v </w:t>
            </w:r>
            <w:r w:rsidRPr="003035E8">
              <w:rPr>
                <w:bCs/>
                <w:i/>
                <w:iCs/>
                <w:sz w:val="20"/>
                <w:szCs w:val="16"/>
              </w:rPr>
              <w:t>202</w:t>
            </w:r>
            <w:r>
              <w:rPr>
                <w:bCs/>
                <w:i/>
                <w:iCs/>
                <w:sz w:val="20"/>
                <w:szCs w:val="16"/>
              </w:rPr>
              <w:t>0</w:t>
            </w:r>
            <w:r w:rsidRPr="003035E8">
              <w:rPr>
                <w:bCs/>
                <w:i/>
                <w:iCs/>
                <w:sz w:val="20"/>
                <w:szCs w:val="16"/>
              </w:rPr>
              <w:t>)</w:t>
            </w:r>
          </w:p>
        </w:tc>
        <w:tc>
          <w:tcPr>
            <w:tcW w:w="1985" w:type="dxa"/>
            <w:gridSpan w:val="2"/>
            <w:shd w:val="clear" w:color="auto" w:fill="004C97"/>
          </w:tcPr>
          <w:p w14:paraId="68C08D3A" w14:textId="77777777" w:rsidR="00D57C2A" w:rsidRDefault="00D57C2A" w:rsidP="000F390E">
            <w:pPr>
              <w:pStyle w:val="Tableheadingtext"/>
              <w:jc w:val="center"/>
              <w:rPr>
                <w:i/>
                <w:iCs/>
                <w:sz w:val="20"/>
                <w:szCs w:val="16"/>
              </w:rPr>
            </w:pPr>
            <w:r w:rsidRPr="003035E8">
              <w:rPr>
                <w:i/>
                <w:iCs/>
                <w:sz w:val="20"/>
                <w:szCs w:val="16"/>
              </w:rPr>
              <w:t xml:space="preserve">Long-term </w:t>
            </w:r>
          </w:p>
          <w:p w14:paraId="3DF6E22E" w14:textId="77777777" w:rsidR="00D57C2A" w:rsidRPr="003035E8" w:rsidRDefault="00D57C2A" w:rsidP="000F390E">
            <w:pPr>
              <w:pStyle w:val="Tableheadingtext"/>
              <w:jc w:val="center"/>
              <w:rPr>
                <w:bCs/>
                <w:i/>
                <w:iCs/>
                <w:sz w:val="20"/>
                <w:szCs w:val="16"/>
              </w:rPr>
            </w:pPr>
            <w:r w:rsidRPr="003035E8">
              <w:rPr>
                <w:i/>
                <w:iCs/>
                <w:sz w:val="20"/>
                <w:szCs w:val="16"/>
              </w:rPr>
              <w:t>(2020</w:t>
            </w:r>
            <w:r>
              <w:rPr>
                <w:i/>
                <w:iCs/>
                <w:sz w:val="20"/>
                <w:szCs w:val="16"/>
              </w:rPr>
              <w:t>-24 v 2007-09</w:t>
            </w:r>
            <w:r w:rsidRPr="003035E8">
              <w:rPr>
                <w:i/>
                <w:iCs/>
                <w:sz w:val="20"/>
                <w:szCs w:val="16"/>
              </w:rPr>
              <w:t>)</w:t>
            </w:r>
          </w:p>
        </w:tc>
        <w:tc>
          <w:tcPr>
            <w:tcW w:w="2007" w:type="dxa"/>
            <w:gridSpan w:val="2"/>
            <w:shd w:val="clear" w:color="auto" w:fill="004C97"/>
          </w:tcPr>
          <w:p w14:paraId="434FDF12" w14:textId="77777777" w:rsidR="00D57C2A" w:rsidRPr="003035E8" w:rsidRDefault="00D57C2A" w:rsidP="000F390E">
            <w:pPr>
              <w:pStyle w:val="Tableheadingtext"/>
              <w:jc w:val="center"/>
              <w:rPr>
                <w:bCs/>
                <w:i/>
                <w:iCs/>
                <w:sz w:val="20"/>
                <w:szCs w:val="16"/>
              </w:rPr>
            </w:pPr>
            <w:r w:rsidRPr="003035E8">
              <w:rPr>
                <w:bCs/>
                <w:i/>
                <w:iCs/>
                <w:sz w:val="20"/>
                <w:szCs w:val="16"/>
              </w:rPr>
              <w:t>Recent</w:t>
            </w:r>
            <w:r w:rsidRPr="003035E8">
              <w:rPr>
                <w:bCs/>
                <w:i/>
                <w:iCs/>
                <w:sz w:val="20"/>
                <w:szCs w:val="16"/>
              </w:rPr>
              <w:br/>
              <w:t>(202</w:t>
            </w:r>
            <w:r>
              <w:rPr>
                <w:bCs/>
                <w:i/>
                <w:iCs/>
                <w:sz w:val="20"/>
                <w:szCs w:val="16"/>
              </w:rPr>
              <w:t xml:space="preserve">4 v </w:t>
            </w:r>
            <w:r w:rsidRPr="003035E8">
              <w:rPr>
                <w:bCs/>
                <w:i/>
                <w:iCs/>
                <w:sz w:val="20"/>
                <w:szCs w:val="16"/>
              </w:rPr>
              <w:t>202</w:t>
            </w:r>
            <w:r>
              <w:rPr>
                <w:bCs/>
                <w:i/>
                <w:iCs/>
                <w:sz w:val="20"/>
                <w:szCs w:val="16"/>
              </w:rPr>
              <w:t>0</w:t>
            </w:r>
            <w:r w:rsidRPr="003035E8">
              <w:rPr>
                <w:bCs/>
                <w:i/>
                <w:iCs/>
                <w:sz w:val="20"/>
                <w:szCs w:val="16"/>
              </w:rPr>
              <w:t>)</w:t>
            </w:r>
          </w:p>
        </w:tc>
      </w:tr>
      <w:tr w:rsidR="00D57C2A" w:rsidRPr="003035E8" w14:paraId="43F4D641" w14:textId="77777777" w:rsidTr="000F390E">
        <w:tblPrEx>
          <w:shd w:val="clear" w:color="auto" w:fill="auto"/>
        </w:tblPrEx>
        <w:tc>
          <w:tcPr>
            <w:tcW w:w="1682" w:type="dxa"/>
            <w:tcBorders>
              <w:bottom w:val="single" w:sz="4" w:space="0" w:color="0070C0"/>
            </w:tcBorders>
            <w:shd w:val="clear" w:color="auto" w:fill="FFFFFF"/>
            <w:tcMar>
              <w:top w:w="0" w:type="dxa"/>
              <w:left w:w="0" w:type="dxa"/>
              <w:bottom w:w="0" w:type="dxa"/>
              <w:right w:w="0" w:type="dxa"/>
            </w:tcMar>
          </w:tcPr>
          <w:p w14:paraId="6E86A911" w14:textId="77777777" w:rsidR="00D57C2A" w:rsidRPr="003035E8" w:rsidRDefault="00D57C2A" w:rsidP="000F390E">
            <w:pPr>
              <w:pStyle w:val="Tablebodytext"/>
              <w:spacing w:before="60"/>
              <w:ind w:left="142"/>
              <w:rPr>
                <w:sz w:val="20"/>
                <w:szCs w:val="20"/>
              </w:rPr>
            </w:pPr>
          </w:p>
        </w:tc>
        <w:tc>
          <w:tcPr>
            <w:tcW w:w="653" w:type="dxa"/>
            <w:tcBorders>
              <w:bottom w:val="single" w:sz="4" w:space="0" w:color="0070C0"/>
            </w:tcBorders>
            <w:shd w:val="clear" w:color="auto" w:fill="CCDBEA"/>
          </w:tcPr>
          <w:p w14:paraId="3F10DFFF" w14:textId="77777777" w:rsidR="00D57C2A" w:rsidRPr="0040019B" w:rsidRDefault="00D57C2A" w:rsidP="000F390E">
            <w:pPr>
              <w:pStyle w:val="Tablebodytext"/>
              <w:spacing w:before="60"/>
              <w:jc w:val="center"/>
              <w:rPr>
                <w:b/>
                <w:bCs/>
                <w:color w:val="000000"/>
                <w:sz w:val="20"/>
                <w:szCs w:val="20"/>
                <w:vertAlign w:val="subscript"/>
              </w:rPr>
            </w:pPr>
            <w:r w:rsidRPr="003035E8">
              <w:rPr>
                <w:b/>
                <w:bCs/>
                <w:color w:val="000000"/>
                <w:sz w:val="20"/>
                <w:szCs w:val="20"/>
              </w:rPr>
              <w:t>Δ</w:t>
            </w:r>
            <w:r>
              <w:rPr>
                <w:b/>
                <w:bCs/>
                <w:color w:val="000000"/>
                <w:sz w:val="20"/>
                <w:szCs w:val="20"/>
                <w:vertAlign w:val="subscript"/>
              </w:rPr>
              <w:t>L</w:t>
            </w:r>
          </w:p>
        </w:tc>
        <w:tc>
          <w:tcPr>
            <w:tcW w:w="1276" w:type="dxa"/>
            <w:tcBorders>
              <w:bottom w:val="single" w:sz="4" w:space="0" w:color="0070C0"/>
            </w:tcBorders>
            <w:shd w:val="clear" w:color="auto" w:fill="FFFFFF"/>
          </w:tcPr>
          <w:p w14:paraId="056E05FE" w14:textId="77777777" w:rsidR="00D57C2A" w:rsidRPr="003035E8" w:rsidRDefault="00D57C2A" w:rsidP="000F390E">
            <w:pPr>
              <w:pStyle w:val="Tablebodytext"/>
              <w:spacing w:before="60"/>
              <w:jc w:val="center"/>
              <w:rPr>
                <w:b/>
                <w:bCs/>
                <w:color w:val="000000"/>
                <w:sz w:val="20"/>
                <w:szCs w:val="20"/>
              </w:rPr>
            </w:pPr>
            <w:r w:rsidRPr="003035E8">
              <w:rPr>
                <w:b/>
                <w:bCs/>
                <w:color w:val="000000"/>
                <w:sz w:val="20"/>
                <w:szCs w:val="20"/>
              </w:rPr>
              <w:t>OR (95% CI)</w:t>
            </w:r>
          </w:p>
        </w:tc>
        <w:tc>
          <w:tcPr>
            <w:tcW w:w="709" w:type="dxa"/>
            <w:tcBorders>
              <w:bottom w:val="single" w:sz="4" w:space="0" w:color="0070C0"/>
            </w:tcBorders>
            <w:shd w:val="clear" w:color="auto" w:fill="CCDBEA"/>
          </w:tcPr>
          <w:p w14:paraId="68E89845" w14:textId="77777777" w:rsidR="00D57C2A" w:rsidRPr="003035E8" w:rsidRDefault="00D57C2A" w:rsidP="000F390E">
            <w:pPr>
              <w:pStyle w:val="Tablebodytext"/>
              <w:spacing w:before="60"/>
              <w:jc w:val="center"/>
              <w:rPr>
                <w:b/>
                <w:bCs/>
                <w:sz w:val="20"/>
                <w:szCs w:val="20"/>
              </w:rPr>
            </w:pPr>
            <w:r w:rsidRPr="003035E8">
              <w:rPr>
                <w:b/>
                <w:bCs/>
                <w:color w:val="000000"/>
                <w:sz w:val="20"/>
                <w:szCs w:val="20"/>
              </w:rPr>
              <w:t>Δ</w:t>
            </w:r>
            <w:r>
              <w:rPr>
                <w:b/>
                <w:bCs/>
                <w:color w:val="000000"/>
                <w:sz w:val="20"/>
                <w:szCs w:val="20"/>
                <w:vertAlign w:val="subscript"/>
              </w:rPr>
              <w:t>S</w:t>
            </w:r>
          </w:p>
        </w:tc>
        <w:tc>
          <w:tcPr>
            <w:tcW w:w="1275" w:type="dxa"/>
            <w:tcBorders>
              <w:bottom w:val="single" w:sz="4" w:space="0" w:color="0070C0"/>
            </w:tcBorders>
            <w:shd w:val="clear" w:color="auto" w:fill="FFFFFF"/>
            <w:tcMar>
              <w:top w:w="0" w:type="dxa"/>
              <w:left w:w="0" w:type="dxa"/>
              <w:bottom w:w="0" w:type="dxa"/>
              <w:right w:w="0" w:type="dxa"/>
            </w:tcMar>
          </w:tcPr>
          <w:p w14:paraId="3E267558" w14:textId="77777777" w:rsidR="00D57C2A" w:rsidRPr="003035E8" w:rsidRDefault="00D57C2A" w:rsidP="000F390E">
            <w:pPr>
              <w:pStyle w:val="Tablebodytext"/>
              <w:spacing w:before="60"/>
              <w:jc w:val="center"/>
              <w:rPr>
                <w:b/>
                <w:bCs/>
                <w:sz w:val="20"/>
                <w:szCs w:val="20"/>
              </w:rPr>
            </w:pPr>
            <w:r w:rsidRPr="003035E8">
              <w:rPr>
                <w:b/>
                <w:bCs/>
                <w:color w:val="000000"/>
                <w:sz w:val="20"/>
                <w:szCs w:val="20"/>
              </w:rPr>
              <w:t>OR (95% CI)</w:t>
            </w:r>
          </w:p>
        </w:tc>
        <w:tc>
          <w:tcPr>
            <w:tcW w:w="709" w:type="dxa"/>
            <w:tcBorders>
              <w:bottom w:val="single" w:sz="4" w:space="0" w:color="0070C0"/>
            </w:tcBorders>
            <w:shd w:val="clear" w:color="auto" w:fill="CCDBEA"/>
          </w:tcPr>
          <w:p w14:paraId="6470887C" w14:textId="77777777" w:rsidR="00D57C2A" w:rsidRPr="003035E8" w:rsidRDefault="00D57C2A" w:rsidP="000F390E">
            <w:pPr>
              <w:pStyle w:val="Tablebodytext"/>
              <w:spacing w:before="60"/>
              <w:jc w:val="center"/>
              <w:rPr>
                <w:b/>
                <w:bCs/>
                <w:color w:val="000000"/>
                <w:sz w:val="20"/>
                <w:szCs w:val="20"/>
              </w:rPr>
            </w:pPr>
            <w:r w:rsidRPr="003035E8">
              <w:rPr>
                <w:b/>
                <w:bCs/>
                <w:color w:val="000000"/>
                <w:sz w:val="20"/>
                <w:szCs w:val="20"/>
              </w:rPr>
              <w:t>Δ</w:t>
            </w:r>
            <w:r>
              <w:rPr>
                <w:b/>
                <w:bCs/>
                <w:color w:val="000000"/>
                <w:sz w:val="20"/>
                <w:szCs w:val="20"/>
                <w:vertAlign w:val="subscript"/>
              </w:rPr>
              <w:t>L</w:t>
            </w:r>
          </w:p>
        </w:tc>
        <w:tc>
          <w:tcPr>
            <w:tcW w:w="1276" w:type="dxa"/>
            <w:tcBorders>
              <w:bottom w:val="single" w:sz="4" w:space="0" w:color="0070C0"/>
            </w:tcBorders>
            <w:shd w:val="clear" w:color="auto" w:fill="FFFFFF"/>
          </w:tcPr>
          <w:p w14:paraId="4C30DCE1" w14:textId="77777777" w:rsidR="00D57C2A" w:rsidRPr="003035E8" w:rsidRDefault="00D57C2A" w:rsidP="000F390E">
            <w:pPr>
              <w:pStyle w:val="Tablebodytext"/>
              <w:spacing w:before="60"/>
              <w:jc w:val="center"/>
              <w:rPr>
                <w:b/>
                <w:bCs/>
                <w:color w:val="000000"/>
                <w:sz w:val="20"/>
                <w:szCs w:val="20"/>
              </w:rPr>
            </w:pPr>
            <w:r w:rsidRPr="003035E8">
              <w:rPr>
                <w:b/>
                <w:bCs/>
                <w:color w:val="000000"/>
                <w:sz w:val="20"/>
                <w:szCs w:val="20"/>
              </w:rPr>
              <w:t>OR (95% CI)</w:t>
            </w:r>
          </w:p>
        </w:tc>
        <w:tc>
          <w:tcPr>
            <w:tcW w:w="709" w:type="dxa"/>
            <w:tcBorders>
              <w:bottom w:val="single" w:sz="4" w:space="0" w:color="0070C0"/>
            </w:tcBorders>
            <w:shd w:val="clear" w:color="auto" w:fill="CCDBEA"/>
          </w:tcPr>
          <w:p w14:paraId="099689CB" w14:textId="77777777" w:rsidR="00D57C2A" w:rsidRPr="003035E8" w:rsidRDefault="00D57C2A" w:rsidP="000F390E">
            <w:pPr>
              <w:pStyle w:val="Tablebodytext"/>
              <w:spacing w:before="60"/>
              <w:jc w:val="center"/>
              <w:rPr>
                <w:b/>
                <w:bCs/>
                <w:color w:val="000000"/>
                <w:sz w:val="20"/>
                <w:szCs w:val="20"/>
              </w:rPr>
            </w:pPr>
            <w:r w:rsidRPr="003035E8">
              <w:rPr>
                <w:b/>
                <w:bCs/>
                <w:color w:val="000000"/>
                <w:sz w:val="20"/>
                <w:szCs w:val="20"/>
              </w:rPr>
              <w:t>Δ</w:t>
            </w:r>
            <w:r>
              <w:rPr>
                <w:b/>
                <w:bCs/>
                <w:color w:val="000000"/>
                <w:sz w:val="20"/>
                <w:szCs w:val="20"/>
                <w:vertAlign w:val="subscript"/>
              </w:rPr>
              <w:t>S</w:t>
            </w:r>
          </w:p>
        </w:tc>
        <w:tc>
          <w:tcPr>
            <w:tcW w:w="1298" w:type="dxa"/>
            <w:tcBorders>
              <w:bottom w:val="single" w:sz="4" w:space="0" w:color="0070C0"/>
            </w:tcBorders>
            <w:shd w:val="clear" w:color="auto" w:fill="FFFFFF"/>
          </w:tcPr>
          <w:p w14:paraId="6F30F35B" w14:textId="77777777" w:rsidR="00D57C2A" w:rsidRPr="003035E8" w:rsidRDefault="00D57C2A" w:rsidP="000F390E">
            <w:pPr>
              <w:pStyle w:val="Tablebodytext"/>
              <w:spacing w:before="60"/>
              <w:jc w:val="center"/>
              <w:rPr>
                <w:b/>
                <w:bCs/>
                <w:color w:val="000000"/>
                <w:sz w:val="20"/>
                <w:szCs w:val="20"/>
              </w:rPr>
            </w:pPr>
            <w:r w:rsidRPr="003035E8">
              <w:rPr>
                <w:b/>
                <w:bCs/>
                <w:color w:val="000000"/>
                <w:sz w:val="20"/>
                <w:szCs w:val="20"/>
              </w:rPr>
              <w:t>OR (95%CI)</w:t>
            </w:r>
          </w:p>
        </w:tc>
      </w:tr>
      <w:tr w:rsidR="00D57C2A" w:rsidRPr="003035E8" w14:paraId="35B69205" w14:textId="77777777" w:rsidTr="000F390E">
        <w:tblPrEx>
          <w:shd w:val="clear" w:color="auto" w:fill="auto"/>
        </w:tblPrEx>
        <w:tc>
          <w:tcPr>
            <w:tcW w:w="1682" w:type="dxa"/>
            <w:tcBorders>
              <w:top w:val="single" w:sz="4" w:space="0" w:color="0070C0"/>
              <w:bottom w:val="single" w:sz="4" w:space="0" w:color="0070C0"/>
            </w:tcBorders>
            <w:shd w:val="clear" w:color="auto" w:fill="FFFFFF"/>
            <w:tcMar>
              <w:top w:w="0" w:type="dxa"/>
              <w:left w:w="0" w:type="dxa"/>
              <w:bottom w:w="0" w:type="dxa"/>
              <w:right w:w="0" w:type="dxa"/>
            </w:tcMar>
            <w:vAlign w:val="center"/>
          </w:tcPr>
          <w:p w14:paraId="22CC608B" w14:textId="77777777" w:rsidR="00D57C2A" w:rsidRPr="003035E8" w:rsidRDefault="00D57C2A" w:rsidP="000F390E">
            <w:pPr>
              <w:pStyle w:val="Tablebodytext"/>
              <w:spacing w:before="60"/>
              <w:ind w:left="142"/>
              <w:rPr>
                <w:sz w:val="20"/>
                <w:szCs w:val="20"/>
              </w:rPr>
            </w:pPr>
            <w:r w:rsidRPr="003035E8">
              <w:rPr>
                <w:sz w:val="20"/>
                <w:szCs w:val="20"/>
              </w:rPr>
              <w:t xml:space="preserve">HDM value </w:t>
            </w:r>
          </w:p>
          <w:p w14:paraId="15A081AD" w14:textId="77777777" w:rsidR="00D57C2A" w:rsidRPr="003035E8" w:rsidRDefault="00D57C2A" w:rsidP="000F390E">
            <w:pPr>
              <w:pStyle w:val="Tablebodytext"/>
              <w:spacing w:before="60"/>
              <w:ind w:left="142"/>
              <w:rPr>
                <w:sz w:val="20"/>
                <w:szCs w:val="20"/>
              </w:rPr>
            </w:pPr>
            <w:r w:rsidRPr="003035E8">
              <w:rPr>
                <w:sz w:val="20"/>
                <w:szCs w:val="20"/>
              </w:rPr>
              <w:t>(0-100)</w:t>
            </w:r>
          </w:p>
        </w:tc>
        <w:tc>
          <w:tcPr>
            <w:tcW w:w="653" w:type="dxa"/>
            <w:tcBorders>
              <w:top w:val="single" w:sz="4" w:space="0" w:color="0070C0"/>
              <w:bottom w:val="single" w:sz="4" w:space="0" w:color="0070C0"/>
            </w:tcBorders>
            <w:shd w:val="clear" w:color="auto" w:fill="CCDBEA"/>
            <w:vAlign w:val="center"/>
          </w:tcPr>
          <w:p w14:paraId="499B80C5"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2.6</w:t>
            </w:r>
          </w:p>
        </w:tc>
        <w:tc>
          <w:tcPr>
            <w:tcW w:w="1276" w:type="dxa"/>
            <w:tcBorders>
              <w:top w:val="single" w:sz="4" w:space="0" w:color="0070C0"/>
              <w:bottom w:val="single" w:sz="4" w:space="0" w:color="0070C0"/>
            </w:tcBorders>
            <w:shd w:val="clear" w:color="auto" w:fill="FFFFFF"/>
            <w:vAlign w:val="center"/>
          </w:tcPr>
          <w:p w14:paraId="6DA7E4DF"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24</w:t>
            </w:r>
          </w:p>
          <w:p w14:paraId="5D044103"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16</w:t>
            </w:r>
            <w:r w:rsidRPr="003035E8">
              <w:rPr>
                <w:color w:val="363534" w:themeColor="text1"/>
                <w:sz w:val="20"/>
                <w:szCs w:val="20"/>
              </w:rPr>
              <w:t>, 1.</w:t>
            </w:r>
            <w:r>
              <w:rPr>
                <w:color w:val="363534" w:themeColor="text1"/>
                <w:sz w:val="20"/>
                <w:szCs w:val="20"/>
              </w:rPr>
              <w:t>3</w:t>
            </w:r>
            <w:r w:rsidRPr="003035E8">
              <w:rPr>
                <w:color w:val="363534" w:themeColor="text1"/>
                <w:sz w:val="20"/>
                <w:szCs w:val="20"/>
              </w:rPr>
              <w:t>5)</w:t>
            </w:r>
          </w:p>
        </w:tc>
        <w:tc>
          <w:tcPr>
            <w:tcW w:w="709" w:type="dxa"/>
            <w:tcBorders>
              <w:top w:val="single" w:sz="4" w:space="0" w:color="0070C0"/>
              <w:bottom w:val="single" w:sz="4" w:space="0" w:color="0070C0"/>
            </w:tcBorders>
            <w:shd w:val="clear" w:color="auto" w:fill="CCDBEA"/>
            <w:vAlign w:val="center"/>
          </w:tcPr>
          <w:p w14:paraId="073EEFA1"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-0.35</w:t>
            </w:r>
          </w:p>
        </w:tc>
        <w:tc>
          <w:tcPr>
            <w:tcW w:w="1275" w:type="dxa"/>
            <w:tcBorders>
              <w:top w:val="single" w:sz="4" w:space="0" w:color="0070C0"/>
              <w:bottom w:val="single" w:sz="4" w:space="0" w:color="0070C0"/>
            </w:tcBorders>
            <w:shd w:val="clear" w:color="auto" w:fill="FFFFFF"/>
            <w:tcMar>
              <w:top w:w="0" w:type="dxa"/>
              <w:left w:w="0" w:type="dxa"/>
              <w:bottom w:w="0" w:type="dxa"/>
              <w:right w:w="0" w:type="dxa"/>
            </w:tcMar>
            <w:vAlign w:val="center"/>
          </w:tcPr>
          <w:p w14:paraId="147B974F"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0.9</w:t>
            </w:r>
            <w:r>
              <w:rPr>
                <w:color w:val="363534" w:themeColor="text1"/>
                <w:sz w:val="20"/>
                <w:szCs w:val="20"/>
              </w:rPr>
              <w:t>7</w:t>
            </w:r>
          </w:p>
          <w:p w14:paraId="64685E6E"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(0.9</w:t>
            </w:r>
            <w:r>
              <w:rPr>
                <w:color w:val="363534" w:themeColor="text1"/>
                <w:sz w:val="20"/>
                <w:szCs w:val="20"/>
              </w:rPr>
              <w:t>6</w:t>
            </w:r>
            <w:r w:rsidRPr="003035E8">
              <w:rPr>
                <w:color w:val="363534" w:themeColor="text1"/>
                <w:sz w:val="20"/>
                <w:szCs w:val="20"/>
              </w:rPr>
              <w:t xml:space="preserve">, </w:t>
            </w:r>
            <w:r>
              <w:rPr>
                <w:color w:val="363534" w:themeColor="text1"/>
                <w:sz w:val="20"/>
                <w:szCs w:val="20"/>
              </w:rPr>
              <w:t>0</w:t>
            </w:r>
            <w:r w:rsidRPr="003035E8">
              <w:rPr>
                <w:color w:val="363534" w:themeColor="text1"/>
                <w:sz w:val="20"/>
                <w:szCs w:val="20"/>
              </w:rPr>
              <w:t>.</w:t>
            </w:r>
            <w:r>
              <w:rPr>
                <w:color w:val="363534" w:themeColor="text1"/>
                <w:sz w:val="20"/>
                <w:szCs w:val="20"/>
              </w:rPr>
              <w:t>98</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12FB8CA9"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10.8</w:t>
            </w:r>
          </w:p>
        </w:tc>
        <w:tc>
          <w:tcPr>
            <w:tcW w:w="1276" w:type="dxa"/>
            <w:tcBorders>
              <w:top w:val="single" w:sz="4" w:space="0" w:color="0070C0"/>
              <w:bottom w:val="single" w:sz="4" w:space="0" w:color="0070C0"/>
            </w:tcBorders>
            <w:shd w:val="clear" w:color="auto" w:fill="FFFFFF"/>
            <w:vAlign w:val="center"/>
          </w:tcPr>
          <w:p w14:paraId="574FFC0C"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2.</w:t>
            </w:r>
            <w:r>
              <w:rPr>
                <w:color w:val="363534" w:themeColor="text1"/>
                <w:sz w:val="20"/>
                <w:szCs w:val="20"/>
              </w:rPr>
              <w:t>52</w:t>
            </w:r>
          </w:p>
          <w:p w14:paraId="32852B3B"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91</w:t>
            </w:r>
            <w:r w:rsidRPr="003035E8">
              <w:rPr>
                <w:color w:val="363534" w:themeColor="text1"/>
                <w:sz w:val="20"/>
                <w:szCs w:val="20"/>
              </w:rPr>
              <w:t xml:space="preserve">, </w:t>
            </w:r>
            <w:r>
              <w:rPr>
                <w:color w:val="363534" w:themeColor="text1"/>
                <w:sz w:val="20"/>
                <w:szCs w:val="20"/>
              </w:rPr>
              <w:t>3.48</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39D84C3A"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w:t>
            </w:r>
            <w:r>
              <w:rPr>
                <w:color w:val="363534" w:themeColor="text1"/>
                <w:sz w:val="20"/>
                <w:szCs w:val="20"/>
              </w:rPr>
              <w:t>2.7</w:t>
            </w:r>
          </w:p>
        </w:tc>
        <w:tc>
          <w:tcPr>
            <w:tcW w:w="1298" w:type="dxa"/>
            <w:tcBorders>
              <w:top w:val="single" w:sz="4" w:space="0" w:color="0070C0"/>
              <w:bottom w:val="single" w:sz="4" w:space="0" w:color="0070C0"/>
            </w:tcBorders>
            <w:shd w:val="clear" w:color="auto" w:fill="FFFFFF"/>
            <w:vAlign w:val="center"/>
          </w:tcPr>
          <w:p w14:paraId="39F12616"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0.</w:t>
            </w:r>
            <w:r>
              <w:rPr>
                <w:color w:val="363534" w:themeColor="text1"/>
                <w:sz w:val="20"/>
                <w:szCs w:val="20"/>
              </w:rPr>
              <w:t>80</w:t>
            </w:r>
          </w:p>
          <w:p w14:paraId="734EEBBC"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(0.</w:t>
            </w:r>
            <w:r>
              <w:rPr>
                <w:color w:val="363534" w:themeColor="text1"/>
                <w:sz w:val="20"/>
                <w:szCs w:val="20"/>
              </w:rPr>
              <w:t>73</w:t>
            </w:r>
            <w:r w:rsidRPr="003035E8">
              <w:rPr>
                <w:color w:val="363534" w:themeColor="text1"/>
                <w:sz w:val="20"/>
                <w:szCs w:val="20"/>
              </w:rPr>
              <w:t>, 0.8</w:t>
            </w:r>
            <w:r>
              <w:rPr>
                <w:color w:val="363534" w:themeColor="text1"/>
                <w:sz w:val="20"/>
                <w:szCs w:val="20"/>
              </w:rPr>
              <w:t>5</w:t>
            </w:r>
            <w:r w:rsidRPr="003035E8">
              <w:rPr>
                <w:color w:val="363534" w:themeColor="text1"/>
                <w:sz w:val="20"/>
                <w:szCs w:val="20"/>
              </w:rPr>
              <w:t>)</w:t>
            </w:r>
          </w:p>
        </w:tc>
      </w:tr>
      <w:tr w:rsidR="00D57C2A" w:rsidRPr="003035E8" w14:paraId="5BA65C56" w14:textId="77777777" w:rsidTr="000F390E">
        <w:tblPrEx>
          <w:shd w:val="clear" w:color="auto" w:fill="auto"/>
        </w:tblPrEx>
        <w:tc>
          <w:tcPr>
            <w:tcW w:w="1682" w:type="dxa"/>
            <w:tcBorders>
              <w:top w:val="single" w:sz="4" w:space="0" w:color="0070C0"/>
              <w:bottom w:val="single" w:sz="4" w:space="0" w:color="0070C0"/>
            </w:tcBorders>
            <w:shd w:val="clear" w:color="auto" w:fill="FFFFFF"/>
            <w:tcMar>
              <w:top w:w="0" w:type="dxa"/>
              <w:left w:w="0" w:type="dxa"/>
              <w:bottom w:w="0" w:type="dxa"/>
              <w:right w:w="0" w:type="dxa"/>
            </w:tcMar>
            <w:vAlign w:val="center"/>
          </w:tcPr>
          <w:p w14:paraId="380C9412" w14:textId="77777777" w:rsidR="00D57C2A" w:rsidRPr="003035E8" w:rsidRDefault="00D57C2A" w:rsidP="000F390E">
            <w:pPr>
              <w:pStyle w:val="Tablebodytext"/>
              <w:spacing w:before="60"/>
              <w:ind w:left="142"/>
              <w:rPr>
                <w:sz w:val="20"/>
                <w:szCs w:val="20"/>
              </w:rPr>
            </w:pPr>
            <w:r w:rsidRPr="003035E8">
              <w:rPr>
                <w:sz w:val="20"/>
                <w:szCs w:val="20"/>
              </w:rPr>
              <w:t>Time-since-Fire (years)</w:t>
            </w:r>
          </w:p>
        </w:tc>
        <w:tc>
          <w:tcPr>
            <w:tcW w:w="653" w:type="dxa"/>
            <w:tcBorders>
              <w:top w:val="single" w:sz="4" w:space="0" w:color="0070C0"/>
              <w:bottom w:val="single" w:sz="4" w:space="0" w:color="0070C0"/>
            </w:tcBorders>
            <w:shd w:val="clear" w:color="auto" w:fill="CCDBEA"/>
            <w:vAlign w:val="center"/>
          </w:tcPr>
          <w:p w14:paraId="5599509A"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11.1</w:t>
            </w:r>
          </w:p>
        </w:tc>
        <w:tc>
          <w:tcPr>
            <w:tcW w:w="1276" w:type="dxa"/>
            <w:tcBorders>
              <w:top w:val="single" w:sz="4" w:space="0" w:color="0070C0"/>
              <w:bottom w:val="single" w:sz="4" w:space="0" w:color="0070C0"/>
            </w:tcBorders>
            <w:shd w:val="clear" w:color="auto" w:fill="FFFFFF"/>
            <w:vAlign w:val="center"/>
          </w:tcPr>
          <w:p w14:paraId="75B60A85"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2</w:t>
            </w:r>
            <w:r w:rsidRPr="003035E8">
              <w:rPr>
                <w:color w:val="363534" w:themeColor="text1"/>
                <w:sz w:val="20"/>
                <w:szCs w:val="20"/>
              </w:rPr>
              <w:t>.</w:t>
            </w:r>
            <w:r>
              <w:rPr>
                <w:color w:val="363534" w:themeColor="text1"/>
                <w:sz w:val="20"/>
                <w:szCs w:val="20"/>
              </w:rPr>
              <w:t>54</w:t>
            </w:r>
          </w:p>
          <w:p w14:paraId="63BE83B4"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w:t>
            </w:r>
            <w:r>
              <w:rPr>
                <w:color w:val="363534" w:themeColor="text1"/>
                <w:sz w:val="20"/>
                <w:szCs w:val="20"/>
              </w:rPr>
              <w:t>1.17</w:t>
            </w:r>
            <w:r w:rsidRPr="003035E8">
              <w:rPr>
                <w:color w:val="363534" w:themeColor="text1"/>
                <w:sz w:val="20"/>
                <w:szCs w:val="20"/>
              </w:rPr>
              <w:t xml:space="preserve">, </w:t>
            </w:r>
            <w:r>
              <w:rPr>
                <w:color w:val="363534" w:themeColor="text1"/>
                <w:sz w:val="20"/>
                <w:szCs w:val="20"/>
              </w:rPr>
              <w:t>5.78</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1ECF861B"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4.6</w:t>
            </w:r>
          </w:p>
        </w:tc>
        <w:tc>
          <w:tcPr>
            <w:tcW w:w="1275" w:type="dxa"/>
            <w:tcBorders>
              <w:top w:val="single" w:sz="4" w:space="0" w:color="0070C0"/>
              <w:bottom w:val="single" w:sz="4" w:space="0" w:color="0070C0"/>
            </w:tcBorders>
            <w:shd w:val="clear" w:color="auto" w:fill="FFFFFF"/>
            <w:tcMar>
              <w:top w:w="0" w:type="dxa"/>
              <w:left w:w="0" w:type="dxa"/>
              <w:bottom w:w="0" w:type="dxa"/>
              <w:right w:w="0" w:type="dxa"/>
            </w:tcMar>
            <w:vAlign w:val="center"/>
          </w:tcPr>
          <w:p w14:paraId="1A587B00"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32</w:t>
            </w:r>
          </w:p>
          <w:p w14:paraId="4F736386"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04</w:t>
            </w:r>
            <w:r w:rsidRPr="003035E8">
              <w:rPr>
                <w:color w:val="363534" w:themeColor="text1"/>
                <w:sz w:val="20"/>
                <w:szCs w:val="20"/>
              </w:rPr>
              <w:t>, 1.</w:t>
            </w:r>
            <w:r>
              <w:rPr>
                <w:color w:val="363534" w:themeColor="text1"/>
                <w:sz w:val="20"/>
                <w:szCs w:val="20"/>
              </w:rPr>
              <w:t>69</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18BDF22F"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2.8</w:t>
            </w:r>
          </w:p>
        </w:tc>
        <w:tc>
          <w:tcPr>
            <w:tcW w:w="1276" w:type="dxa"/>
            <w:tcBorders>
              <w:top w:val="single" w:sz="4" w:space="0" w:color="0070C0"/>
              <w:bottom w:val="single" w:sz="4" w:space="0" w:color="0070C0"/>
            </w:tcBorders>
            <w:shd w:val="clear" w:color="auto" w:fill="FFFFFF"/>
            <w:vAlign w:val="center"/>
          </w:tcPr>
          <w:p w14:paraId="4A00BB22"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4</w:t>
            </w:r>
            <w:r w:rsidRPr="003035E8">
              <w:rPr>
                <w:color w:val="363534" w:themeColor="text1"/>
                <w:sz w:val="20"/>
                <w:szCs w:val="20"/>
              </w:rPr>
              <w:t>7</w:t>
            </w:r>
          </w:p>
          <w:p w14:paraId="1917DAD3"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06</w:t>
            </w:r>
            <w:r w:rsidRPr="003035E8">
              <w:rPr>
                <w:color w:val="363534" w:themeColor="text1"/>
                <w:sz w:val="20"/>
                <w:szCs w:val="20"/>
              </w:rPr>
              <w:t>, 2.</w:t>
            </w:r>
            <w:r>
              <w:rPr>
                <w:color w:val="363534" w:themeColor="text1"/>
                <w:sz w:val="20"/>
                <w:szCs w:val="20"/>
              </w:rPr>
              <w:t>06</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43329177"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6.1</w:t>
            </w:r>
          </w:p>
        </w:tc>
        <w:tc>
          <w:tcPr>
            <w:tcW w:w="1298" w:type="dxa"/>
            <w:tcBorders>
              <w:top w:val="single" w:sz="4" w:space="0" w:color="0070C0"/>
              <w:bottom w:val="single" w:sz="4" w:space="0" w:color="0070C0"/>
            </w:tcBorders>
            <w:shd w:val="clear" w:color="auto" w:fill="FFFFFF"/>
            <w:vAlign w:val="center"/>
          </w:tcPr>
          <w:p w14:paraId="060360A5"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2.</w:t>
            </w:r>
            <w:r>
              <w:rPr>
                <w:color w:val="363534" w:themeColor="text1"/>
                <w:sz w:val="20"/>
                <w:szCs w:val="20"/>
              </w:rPr>
              <w:t>11</w:t>
            </w:r>
          </w:p>
          <w:p w14:paraId="4A9F4852"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11</w:t>
            </w:r>
            <w:r w:rsidRPr="003035E8">
              <w:rPr>
                <w:color w:val="363534" w:themeColor="text1"/>
                <w:sz w:val="20"/>
                <w:szCs w:val="20"/>
              </w:rPr>
              <w:t>, 4</w:t>
            </w:r>
            <w:r>
              <w:rPr>
                <w:color w:val="363534" w:themeColor="text1"/>
                <w:sz w:val="20"/>
                <w:szCs w:val="20"/>
              </w:rPr>
              <w:t>.07</w:t>
            </w:r>
            <w:r w:rsidRPr="003035E8">
              <w:rPr>
                <w:color w:val="363534" w:themeColor="text1"/>
                <w:sz w:val="20"/>
                <w:szCs w:val="20"/>
              </w:rPr>
              <w:t>)</w:t>
            </w:r>
          </w:p>
        </w:tc>
      </w:tr>
      <w:tr w:rsidR="00D57C2A" w:rsidRPr="003035E8" w14:paraId="2462B029" w14:textId="77777777" w:rsidTr="000F390E">
        <w:tblPrEx>
          <w:shd w:val="clear" w:color="auto" w:fill="auto"/>
        </w:tblPrEx>
        <w:tc>
          <w:tcPr>
            <w:tcW w:w="1682" w:type="dxa"/>
            <w:tcBorders>
              <w:top w:val="single" w:sz="4" w:space="0" w:color="0070C0"/>
              <w:bottom w:val="single" w:sz="4" w:space="0" w:color="0070C0"/>
            </w:tcBorders>
            <w:shd w:val="clear" w:color="auto" w:fill="FFFFFF"/>
            <w:tcMar>
              <w:top w:w="0" w:type="dxa"/>
              <w:left w:w="0" w:type="dxa"/>
              <w:bottom w:w="0" w:type="dxa"/>
              <w:right w:w="0" w:type="dxa"/>
            </w:tcMar>
            <w:vAlign w:val="center"/>
          </w:tcPr>
          <w:p w14:paraId="18313453" w14:textId="77777777" w:rsidR="00D57C2A" w:rsidRPr="003035E8" w:rsidRDefault="00D57C2A" w:rsidP="000F390E">
            <w:pPr>
              <w:pStyle w:val="Tablebodytext"/>
              <w:spacing w:before="60"/>
              <w:ind w:left="142"/>
              <w:rPr>
                <w:sz w:val="20"/>
                <w:szCs w:val="20"/>
              </w:rPr>
            </w:pPr>
            <w:r w:rsidRPr="003035E8">
              <w:rPr>
                <w:sz w:val="20"/>
                <w:szCs w:val="20"/>
              </w:rPr>
              <w:t>FAPAR (0-100)</w:t>
            </w:r>
          </w:p>
          <w:p w14:paraId="32B108E7" w14:textId="77777777" w:rsidR="00D57C2A" w:rsidRPr="003035E8" w:rsidRDefault="00D57C2A" w:rsidP="000F390E">
            <w:pPr>
              <w:pStyle w:val="Tablebodytext"/>
              <w:spacing w:before="60"/>
              <w:ind w:left="142"/>
              <w:rPr>
                <w:sz w:val="20"/>
                <w:szCs w:val="20"/>
              </w:rPr>
            </w:pPr>
            <w:r w:rsidRPr="003035E8">
              <w:rPr>
                <w:sz w:val="20"/>
                <w:szCs w:val="20"/>
              </w:rPr>
              <w:t xml:space="preserve">x </w:t>
            </w:r>
            <w:r w:rsidRPr="003035E8">
              <w:rPr>
                <w:i/>
                <w:iCs/>
                <w:sz w:val="20"/>
                <w:szCs w:val="20"/>
              </w:rPr>
              <w:t>Baiting</w:t>
            </w:r>
            <w:r w:rsidRPr="003035E8">
              <w:rPr>
                <w:sz w:val="20"/>
                <w:szCs w:val="20"/>
              </w:rPr>
              <w:t xml:space="preserve"> (0/1)</w:t>
            </w:r>
          </w:p>
        </w:tc>
        <w:tc>
          <w:tcPr>
            <w:tcW w:w="653" w:type="dxa"/>
            <w:tcBorders>
              <w:top w:val="single" w:sz="4" w:space="0" w:color="0070C0"/>
              <w:bottom w:val="single" w:sz="4" w:space="0" w:color="0070C0"/>
            </w:tcBorders>
            <w:shd w:val="clear" w:color="auto" w:fill="CCDBEA"/>
            <w:vAlign w:val="center"/>
          </w:tcPr>
          <w:p w14:paraId="4CAF5AF6"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6</w:t>
            </w:r>
            <w:r w:rsidRPr="003035E8">
              <w:rPr>
                <w:color w:val="363534" w:themeColor="text1"/>
                <w:sz w:val="20"/>
                <w:szCs w:val="20"/>
              </w:rPr>
              <w:t>.0</w:t>
            </w:r>
          </w:p>
          <w:p w14:paraId="7E416F6C" w14:textId="77777777" w:rsidR="00D57C2A" w:rsidRPr="003035E8" w:rsidRDefault="00D57C2A" w:rsidP="000F390E">
            <w:pPr>
              <w:pStyle w:val="Tablebodytext"/>
              <w:spacing w:before="60"/>
              <w:jc w:val="center"/>
              <w:rPr>
                <w:i/>
                <w:iCs/>
                <w:color w:val="363534" w:themeColor="text1"/>
                <w:sz w:val="20"/>
                <w:szCs w:val="20"/>
              </w:rPr>
            </w:pPr>
            <w:r w:rsidRPr="003035E8">
              <w:rPr>
                <w:i/>
                <w:iCs/>
                <w:color w:val="363534" w:themeColor="text1"/>
                <w:sz w:val="20"/>
                <w:szCs w:val="20"/>
              </w:rPr>
              <w:t>0.</w:t>
            </w:r>
            <w:r>
              <w:rPr>
                <w:i/>
                <w:iCs/>
                <w:color w:val="363534" w:themeColor="text1"/>
                <w:sz w:val="20"/>
                <w:szCs w:val="20"/>
              </w:rPr>
              <w:t>09</w:t>
            </w:r>
          </w:p>
        </w:tc>
        <w:tc>
          <w:tcPr>
            <w:tcW w:w="1276" w:type="dxa"/>
            <w:tcBorders>
              <w:top w:val="single" w:sz="4" w:space="0" w:color="0070C0"/>
              <w:bottom w:val="single" w:sz="4" w:space="0" w:color="0070C0"/>
            </w:tcBorders>
            <w:shd w:val="clear" w:color="auto" w:fill="FFFFFF"/>
            <w:vAlign w:val="center"/>
          </w:tcPr>
          <w:p w14:paraId="2F5C7D31"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2.39</w:t>
            </w:r>
          </w:p>
          <w:p w14:paraId="0A3B9D7E"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(1.</w:t>
            </w:r>
            <w:r>
              <w:rPr>
                <w:color w:val="363534" w:themeColor="text1"/>
                <w:sz w:val="20"/>
                <w:szCs w:val="20"/>
              </w:rPr>
              <w:t>47</w:t>
            </w:r>
            <w:r w:rsidRPr="003035E8">
              <w:rPr>
                <w:color w:val="363534" w:themeColor="text1"/>
                <w:sz w:val="20"/>
                <w:szCs w:val="20"/>
              </w:rPr>
              <w:t xml:space="preserve">, </w:t>
            </w:r>
            <w:r>
              <w:rPr>
                <w:color w:val="363534" w:themeColor="text1"/>
                <w:sz w:val="20"/>
                <w:szCs w:val="20"/>
              </w:rPr>
              <w:t>4.22</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2C159256"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-1.2</w:t>
            </w:r>
          </w:p>
          <w:p w14:paraId="529BC37C" w14:textId="77777777" w:rsidR="00D57C2A" w:rsidRPr="003035E8" w:rsidRDefault="00D57C2A" w:rsidP="000F390E">
            <w:pPr>
              <w:pStyle w:val="Tablebodytext"/>
              <w:spacing w:before="60"/>
              <w:jc w:val="center"/>
              <w:rPr>
                <w:i/>
                <w:iCs/>
                <w:color w:val="363534" w:themeColor="text1"/>
                <w:sz w:val="20"/>
                <w:szCs w:val="20"/>
              </w:rPr>
            </w:pPr>
            <w:r w:rsidRPr="003035E8">
              <w:rPr>
                <w:i/>
                <w:iCs/>
                <w:color w:val="363534" w:themeColor="text1"/>
                <w:sz w:val="20"/>
                <w:szCs w:val="20"/>
              </w:rPr>
              <w:t>0.0</w:t>
            </w:r>
            <w:r>
              <w:rPr>
                <w:i/>
                <w:iCs/>
                <w:color w:val="363534" w:themeColor="text1"/>
                <w:sz w:val="20"/>
                <w:szCs w:val="20"/>
              </w:rPr>
              <w:t>7</w:t>
            </w:r>
          </w:p>
        </w:tc>
        <w:tc>
          <w:tcPr>
            <w:tcW w:w="1275" w:type="dxa"/>
            <w:tcBorders>
              <w:top w:val="single" w:sz="4" w:space="0" w:color="0070C0"/>
              <w:bottom w:val="single" w:sz="4" w:space="0" w:color="0070C0"/>
            </w:tcBorders>
            <w:shd w:val="clear" w:color="auto" w:fill="FFFFFF"/>
            <w:tcMar>
              <w:top w:w="0" w:type="dxa"/>
              <w:left w:w="0" w:type="dxa"/>
              <w:bottom w:w="0" w:type="dxa"/>
              <w:right w:w="0" w:type="dxa"/>
            </w:tcMar>
            <w:vAlign w:val="center"/>
          </w:tcPr>
          <w:p w14:paraId="3CA74882"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0.79</w:t>
            </w:r>
          </w:p>
          <w:p w14:paraId="7895829B"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(0.</w:t>
            </w:r>
            <w:r>
              <w:rPr>
                <w:color w:val="363534" w:themeColor="text1"/>
                <w:sz w:val="20"/>
                <w:szCs w:val="20"/>
              </w:rPr>
              <w:t>63</w:t>
            </w:r>
            <w:r w:rsidRPr="003035E8">
              <w:rPr>
                <w:color w:val="363534" w:themeColor="text1"/>
                <w:sz w:val="20"/>
                <w:szCs w:val="20"/>
              </w:rPr>
              <w:t xml:space="preserve">, </w:t>
            </w:r>
            <w:r>
              <w:rPr>
                <w:color w:val="363534" w:themeColor="text1"/>
                <w:sz w:val="20"/>
                <w:szCs w:val="20"/>
              </w:rPr>
              <w:t>0.96</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1AC07D48"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7</w:t>
            </w:r>
            <w:r w:rsidRPr="003035E8">
              <w:rPr>
                <w:color w:val="363534" w:themeColor="text1"/>
                <w:sz w:val="20"/>
                <w:szCs w:val="20"/>
              </w:rPr>
              <w:t>.0</w:t>
            </w:r>
          </w:p>
          <w:p w14:paraId="6592E821" w14:textId="77777777" w:rsidR="00D57C2A" w:rsidRPr="003035E8" w:rsidRDefault="00D57C2A" w:rsidP="000F390E">
            <w:pPr>
              <w:pStyle w:val="Tablebodytext"/>
              <w:spacing w:before="60"/>
              <w:jc w:val="center"/>
              <w:rPr>
                <w:i/>
                <w:iCs/>
                <w:color w:val="363534" w:themeColor="text1"/>
                <w:sz w:val="20"/>
                <w:szCs w:val="20"/>
              </w:rPr>
            </w:pPr>
            <w:r w:rsidRPr="003035E8">
              <w:rPr>
                <w:i/>
                <w:iCs/>
                <w:color w:val="363534" w:themeColor="text1"/>
                <w:sz w:val="20"/>
                <w:szCs w:val="20"/>
              </w:rPr>
              <w:t>0.</w:t>
            </w:r>
            <w:r>
              <w:rPr>
                <w:i/>
                <w:iCs/>
                <w:color w:val="363534" w:themeColor="text1"/>
                <w:sz w:val="20"/>
                <w:szCs w:val="20"/>
              </w:rPr>
              <w:t>5</w:t>
            </w:r>
          </w:p>
        </w:tc>
        <w:tc>
          <w:tcPr>
            <w:tcW w:w="1276" w:type="dxa"/>
            <w:tcBorders>
              <w:top w:val="single" w:sz="4" w:space="0" w:color="0070C0"/>
              <w:bottom w:val="single" w:sz="4" w:space="0" w:color="0070C0"/>
            </w:tcBorders>
            <w:shd w:val="clear" w:color="auto" w:fill="FFFFFF"/>
            <w:vAlign w:val="center"/>
          </w:tcPr>
          <w:p w14:paraId="4FE023F0"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1.61</w:t>
            </w:r>
          </w:p>
          <w:p w14:paraId="64CF81E1"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w:t>
            </w:r>
            <w:r>
              <w:rPr>
                <w:color w:val="363534" w:themeColor="text1"/>
                <w:sz w:val="20"/>
                <w:szCs w:val="20"/>
              </w:rPr>
              <w:t>1.13</w:t>
            </w:r>
            <w:r w:rsidRPr="003035E8">
              <w:rPr>
                <w:color w:val="363534" w:themeColor="text1"/>
                <w:sz w:val="20"/>
                <w:szCs w:val="20"/>
              </w:rPr>
              <w:t xml:space="preserve">, </w:t>
            </w:r>
            <w:r>
              <w:rPr>
                <w:color w:val="363534" w:themeColor="text1"/>
                <w:sz w:val="20"/>
                <w:szCs w:val="20"/>
              </w:rPr>
              <w:t>2.36</w:t>
            </w:r>
            <w:r w:rsidRPr="003035E8">
              <w:rPr>
                <w:color w:val="363534" w:themeColor="text1"/>
                <w:sz w:val="20"/>
                <w:szCs w:val="20"/>
              </w:rPr>
              <w:t>)</w:t>
            </w:r>
          </w:p>
        </w:tc>
        <w:tc>
          <w:tcPr>
            <w:tcW w:w="709" w:type="dxa"/>
            <w:tcBorders>
              <w:top w:val="single" w:sz="4" w:space="0" w:color="0070C0"/>
              <w:bottom w:val="single" w:sz="4" w:space="0" w:color="0070C0"/>
            </w:tcBorders>
            <w:shd w:val="clear" w:color="auto" w:fill="CCDBEA"/>
            <w:vAlign w:val="center"/>
          </w:tcPr>
          <w:p w14:paraId="07B690D3"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2.4</w:t>
            </w:r>
          </w:p>
          <w:p w14:paraId="01DE9A57" w14:textId="77777777" w:rsidR="00D57C2A" w:rsidRPr="003035E8" w:rsidRDefault="00D57C2A" w:rsidP="000F390E">
            <w:pPr>
              <w:pStyle w:val="Tablebodytext"/>
              <w:spacing w:before="60"/>
              <w:jc w:val="center"/>
              <w:rPr>
                <w:i/>
                <w:iCs/>
                <w:color w:val="363534" w:themeColor="text1"/>
                <w:sz w:val="20"/>
                <w:szCs w:val="20"/>
              </w:rPr>
            </w:pPr>
            <w:r w:rsidRPr="003035E8">
              <w:rPr>
                <w:i/>
                <w:iCs/>
                <w:color w:val="363534" w:themeColor="text1"/>
                <w:sz w:val="20"/>
                <w:szCs w:val="20"/>
              </w:rPr>
              <w:t>0.8</w:t>
            </w:r>
          </w:p>
        </w:tc>
        <w:tc>
          <w:tcPr>
            <w:tcW w:w="1298" w:type="dxa"/>
            <w:tcBorders>
              <w:top w:val="single" w:sz="4" w:space="0" w:color="0070C0"/>
              <w:bottom w:val="single" w:sz="4" w:space="0" w:color="0070C0"/>
            </w:tcBorders>
            <w:shd w:val="clear" w:color="auto" w:fill="FFFFFF"/>
            <w:vAlign w:val="center"/>
          </w:tcPr>
          <w:p w14:paraId="53D3AB1C" w14:textId="77777777" w:rsidR="00D57C2A" w:rsidRPr="003035E8" w:rsidRDefault="00D57C2A" w:rsidP="000F390E">
            <w:pPr>
              <w:pStyle w:val="Tablebodytext"/>
              <w:spacing w:before="60"/>
              <w:jc w:val="center"/>
              <w:rPr>
                <w:color w:val="363534" w:themeColor="text1"/>
                <w:sz w:val="20"/>
                <w:szCs w:val="20"/>
              </w:rPr>
            </w:pPr>
            <w:r>
              <w:rPr>
                <w:color w:val="363534" w:themeColor="text1"/>
                <w:sz w:val="20"/>
                <w:szCs w:val="20"/>
              </w:rPr>
              <w:t>1.90</w:t>
            </w:r>
          </w:p>
          <w:p w14:paraId="7A583127" w14:textId="77777777" w:rsidR="00D57C2A" w:rsidRPr="003035E8" w:rsidRDefault="00D57C2A" w:rsidP="000F390E">
            <w:pPr>
              <w:pStyle w:val="Tablebodytext"/>
              <w:spacing w:before="60"/>
              <w:jc w:val="center"/>
              <w:rPr>
                <w:color w:val="363534" w:themeColor="text1"/>
                <w:sz w:val="20"/>
                <w:szCs w:val="20"/>
              </w:rPr>
            </w:pPr>
            <w:r w:rsidRPr="003035E8">
              <w:rPr>
                <w:color w:val="363534" w:themeColor="text1"/>
                <w:sz w:val="20"/>
                <w:szCs w:val="20"/>
              </w:rPr>
              <w:t>(</w:t>
            </w:r>
            <w:r>
              <w:rPr>
                <w:color w:val="363534" w:themeColor="text1"/>
                <w:sz w:val="20"/>
                <w:szCs w:val="20"/>
              </w:rPr>
              <w:t>1.01</w:t>
            </w:r>
            <w:r w:rsidRPr="003035E8">
              <w:rPr>
                <w:color w:val="363534" w:themeColor="text1"/>
                <w:sz w:val="20"/>
                <w:szCs w:val="20"/>
              </w:rPr>
              <w:t xml:space="preserve">, </w:t>
            </w:r>
            <w:r>
              <w:rPr>
                <w:color w:val="363534" w:themeColor="text1"/>
                <w:sz w:val="20"/>
                <w:szCs w:val="20"/>
              </w:rPr>
              <w:t>3.54</w:t>
            </w:r>
            <w:r w:rsidRPr="003035E8">
              <w:rPr>
                <w:color w:val="363534" w:themeColor="text1"/>
                <w:sz w:val="20"/>
                <w:szCs w:val="20"/>
              </w:rPr>
              <w:t>)</w:t>
            </w:r>
          </w:p>
        </w:tc>
      </w:tr>
    </w:tbl>
    <w:bookmarkEnd w:id="116"/>
    <w:p w14:paraId="790CECA2" w14:textId="77777777" w:rsidR="00D57C2A" w:rsidRPr="00E105E1" w:rsidRDefault="00D57C2A" w:rsidP="00D57C2A">
      <w:pPr>
        <w:rPr>
          <w:sz w:val="18"/>
          <w:szCs w:val="22"/>
        </w:rPr>
      </w:pPr>
      <w:r w:rsidRPr="00E105E1">
        <w:rPr>
          <w:sz w:val="18"/>
          <w:szCs w:val="22"/>
        </w:rPr>
        <w:t xml:space="preserve">Odds Ratios are derived from effect sizes estimated in the Best-supported Model and give the expected proportional change in the odds of occupancy associated with the observed mean changes in each variable (or product of variables in the case of the FAPAR x Baiting interaction). </w:t>
      </w:r>
      <w:r w:rsidRPr="00E105E1">
        <w:rPr>
          <w:color w:val="000000"/>
          <w:sz w:val="18"/>
          <w:szCs w:val="18"/>
        </w:rPr>
        <w:t>Δ = change in the mean value of each variable over long (Δ</w:t>
      </w:r>
      <w:r w:rsidRPr="00E105E1">
        <w:rPr>
          <w:color w:val="000000"/>
          <w:sz w:val="18"/>
          <w:szCs w:val="18"/>
          <w:vertAlign w:val="subscript"/>
        </w:rPr>
        <w:t>L</w:t>
      </w:r>
      <w:r w:rsidRPr="00E105E1">
        <w:rPr>
          <w:color w:val="000000"/>
          <w:sz w:val="18"/>
          <w:szCs w:val="18"/>
        </w:rPr>
        <w:t>) and short (Δ</w:t>
      </w:r>
      <w:r w:rsidRPr="00E105E1">
        <w:rPr>
          <w:color w:val="000000"/>
          <w:sz w:val="18"/>
          <w:szCs w:val="18"/>
          <w:vertAlign w:val="subscript"/>
        </w:rPr>
        <w:t>S</w:t>
      </w:r>
      <w:r w:rsidRPr="00E105E1">
        <w:rPr>
          <w:color w:val="000000"/>
          <w:sz w:val="18"/>
          <w:szCs w:val="18"/>
        </w:rPr>
        <w:t>) time frames.</w:t>
      </w:r>
    </w:p>
    <w:p w14:paraId="33C5549C" w14:textId="67071E40" w:rsidR="006B2C9D" w:rsidRPr="00D75024" w:rsidRDefault="006B2C9D" w:rsidP="006B2C9D">
      <w:pPr>
        <w:rPr>
          <w:b/>
          <w:bCs/>
        </w:rPr>
      </w:pPr>
      <w:bookmarkStart w:id="118" w:name="_Ref191897903"/>
      <w:bookmarkEnd w:id="117"/>
      <w:r>
        <w:rPr>
          <w:b/>
          <w:bCs/>
        </w:rPr>
        <w:br w:type="column"/>
      </w:r>
      <w:r w:rsidRPr="00D75024">
        <w:rPr>
          <w:b/>
          <w:bCs/>
        </w:rPr>
        <w:lastRenderedPageBreak/>
        <w:t xml:space="preserve">Table </w:t>
      </w:r>
      <w:bookmarkEnd w:id="118"/>
      <w:r w:rsidRPr="00D75024">
        <w:rPr>
          <w:b/>
          <w:bCs/>
        </w:rPr>
        <w:t xml:space="preserve">A3. Parameter estimates (posterior mean and 95% Credible Intervals) and corresponding conditional odds ratios for Long-nosed Bandicoot basic trend, best supported model and covariate-adjusted models. </w:t>
      </w:r>
    </w:p>
    <w:tbl>
      <w:tblPr>
        <w:tblStyle w:val="Table"/>
        <w:tblW w:w="9498" w:type="dxa"/>
        <w:tblBorders>
          <w:top w:val="single" w:sz="2" w:space="0" w:color="002060"/>
          <w:bottom w:val="single" w:sz="2" w:space="0" w:color="002060"/>
          <w:insideH w:val="single" w:sz="2" w:space="0" w:color="002060"/>
        </w:tblBorders>
        <w:tblLayout w:type="fixed"/>
        <w:tblLook w:val="0420" w:firstRow="1" w:lastRow="0" w:firstColumn="0" w:lastColumn="0" w:noHBand="0" w:noVBand="1"/>
      </w:tblPr>
      <w:tblGrid>
        <w:gridCol w:w="1701"/>
        <w:gridCol w:w="1418"/>
        <w:gridCol w:w="1843"/>
        <w:gridCol w:w="4536"/>
      </w:tblGrid>
      <w:tr w:rsidR="006B2C9D" w:rsidRPr="00D50CA1" w14:paraId="38D56A92" w14:textId="77777777" w:rsidTr="000F390E">
        <w:trPr>
          <w:cnfStyle w:val="100000000000" w:firstRow="1" w:lastRow="0" w:firstColumn="0" w:lastColumn="0" w:oddVBand="0" w:evenVBand="0" w:oddHBand="0" w:evenHBand="0" w:firstRowFirstColumn="0" w:firstRowLastColumn="0" w:lastRowFirstColumn="0" w:lastRowLastColumn="0"/>
          <w:tblHeader/>
        </w:trPr>
        <w:tc>
          <w:tcPr>
            <w:tcW w:w="1701" w:type="dxa"/>
            <w:tcBorders>
              <w:bottom w:val="none" w:sz="0" w:space="0" w:color="auto"/>
            </w:tcBorders>
            <w:shd w:val="clear" w:color="auto" w:fill="004C97"/>
            <w:tcMar>
              <w:top w:w="0" w:type="dxa"/>
              <w:left w:w="0" w:type="dxa"/>
              <w:bottom w:w="0" w:type="dxa"/>
              <w:right w:w="0" w:type="dxa"/>
            </w:tcMar>
            <w:vAlign w:val="center"/>
          </w:tcPr>
          <w:p w14:paraId="344BAAE1" w14:textId="77777777" w:rsidR="006B2C9D" w:rsidRPr="009A6091" w:rsidRDefault="006B2C9D" w:rsidP="000F390E">
            <w:pPr>
              <w:pStyle w:val="Tableheadingtext"/>
              <w:ind w:left="142"/>
              <w:rPr>
                <w:bCs/>
                <w:sz w:val="20"/>
                <w:szCs w:val="20"/>
              </w:rPr>
            </w:pPr>
            <w:r w:rsidRPr="009A6091">
              <w:rPr>
                <w:bCs/>
                <w:sz w:val="20"/>
                <w:szCs w:val="20"/>
              </w:rPr>
              <w:t>Param</w:t>
            </w:r>
            <w:r>
              <w:rPr>
                <w:bCs/>
                <w:sz w:val="20"/>
                <w:szCs w:val="20"/>
              </w:rPr>
              <w:t>eter</w:t>
            </w:r>
          </w:p>
        </w:tc>
        <w:tc>
          <w:tcPr>
            <w:tcW w:w="1418" w:type="dxa"/>
            <w:tcBorders>
              <w:bottom w:val="none" w:sz="0" w:space="0" w:color="auto"/>
            </w:tcBorders>
            <w:shd w:val="clear" w:color="auto" w:fill="004C97"/>
            <w:tcMar>
              <w:top w:w="0" w:type="dxa"/>
              <w:left w:w="0" w:type="dxa"/>
              <w:bottom w:w="0" w:type="dxa"/>
              <w:right w:w="0" w:type="dxa"/>
            </w:tcMar>
            <w:vAlign w:val="center"/>
          </w:tcPr>
          <w:p w14:paraId="55E75B25" w14:textId="77777777" w:rsidR="006B2C9D" w:rsidRDefault="006B2C9D" w:rsidP="000F390E">
            <w:pPr>
              <w:pStyle w:val="Tableheadingtext"/>
              <w:jc w:val="center"/>
              <w:rPr>
                <w:bCs/>
                <w:sz w:val="20"/>
                <w:szCs w:val="20"/>
              </w:rPr>
            </w:pPr>
            <w:r w:rsidRPr="009A6091">
              <w:rPr>
                <w:bCs/>
                <w:sz w:val="20"/>
                <w:szCs w:val="20"/>
              </w:rPr>
              <w:t>Estimate</w:t>
            </w:r>
          </w:p>
          <w:p w14:paraId="27A07961" w14:textId="77777777" w:rsidR="006B2C9D" w:rsidRPr="009A6091" w:rsidRDefault="006B2C9D" w:rsidP="000F390E">
            <w:pPr>
              <w:pStyle w:val="Tableheadingtext"/>
              <w:jc w:val="center"/>
              <w:rPr>
                <w:bCs/>
                <w:sz w:val="20"/>
                <w:szCs w:val="20"/>
              </w:rPr>
            </w:pPr>
            <w:r w:rsidRPr="009A6091">
              <w:rPr>
                <w:bCs/>
                <w:sz w:val="20"/>
                <w:szCs w:val="20"/>
              </w:rPr>
              <w:t>(95% CI)</w:t>
            </w:r>
          </w:p>
        </w:tc>
        <w:tc>
          <w:tcPr>
            <w:tcW w:w="1843" w:type="dxa"/>
            <w:tcBorders>
              <w:bottom w:val="none" w:sz="0" w:space="0" w:color="auto"/>
            </w:tcBorders>
            <w:shd w:val="clear" w:color="auto" w:fill="004C97"/>
            <w:tcMar>
              <w:top w:w="0" w:type="dxa"/>
              <w:left w:w="0" w:type="dxa"/>
              <w:bottom w:w="0" w:type="dxa"/>
              <w:right w:w="0" w:type="dxa"/>
            </w:tcMar>
            <w:vAlign w:val="center"/>
          </w:tcPr>
          <w:p w14:paraId="525D3708" w14:textId="77777777" w:rsidR="006B2C9D" w:rsidRDefault="006B2C9D" w:rsidP="000F390E">
            <w:pPr>
              <w:pStyle w:val="Tableheadingtext"/>
              <w:jc w:val="center"/>
              <w:rPr>
                <w:bCs/>
                <w:sz w:val="20"/>
                <w:szCs w:val="20"/>
              </w:rPr>
            </w:pPr>
            <w:r w:rsidRPr="009A6091">
              <w:rPr>
                <w:bCs/>
                <w:sz w:val="20"/>
                <w:szCs w:val="20"/>
              </w:rPr>
              <w:t>Odds Ratio</w:t>
            </w:r>
          </w:p>
          <w:p w14:paraId="5D1521F8" w14:textId="77777777" w:rsidR="006B2C9D" w:rsidRPr="009A6091" w:rsidRDefault="006B2C9D" w:rsidP="000F390E">
            <w:pPr>
              <w:pStyle w:val="Tableheadingtext"/>
              <w:jc w:val="center"/>
              <w:rPr>
                <w:bCs/>
                <w:sz w:val="20"/>
                <w:szCs w:val="20"/>
              </w:rPr>
            </w:pPr>
            <w:r w:rsidRPr="009A6091">
              <w:rPr>
                <w:bCs/>
                <w:sz w:val="20"/>
                <w:szCs w:val="20"/>
              </w:rPr>
              <w:t>(95% CI)</w:t>
            </w:r>
          </w:p>
        </w:tc>
        <w:tc>
          <w:tcPr>
            <w:tcW w:w="4536" w:type="dxa"/>
            <w:tcBorders>
              <w:bottom w:val="none" w:sz="0" w:space="0" w:color="auto"/>
            </w:tcBorders>
            <w:shd w:val="clear" w:color="auto" w:fill="004C97"/>
            <w:tcMar>
              <w:top w:w="0" w:type="dxa"/>
              <w:left w:w="0" w:type="dxa"/>
              <w:bottom w:w="0" w:type="dxa"/>
              <w:right w:w="0" w:type="dxa"/>
            </w:tcMar>
            <w:vAlign w:val="center"/>
          </w:tcPr>
          <w:p w14:paraId="0EC50ECC" w14:textId="77777777" w:rsidR="006B2C9D" w:rsidRPr="009A6091" w:rsidRDefault="006B2C9D" w:rsidP="000F390E">
            <w:pPr>
              <w:pStyle w:val="Tableheadingtext"/>
              <w:ind w:right="564"/>
              <w:jc w:val="center"/>
              <w:rPr>
                <w:bCs/>
                <w:sz w:val="20"/>
                <w:szCs w:val="20"/>
              </w:rPr>
            </w:pPr>
            <w:r w:rsidRPr="009A6091">
              <w:rPr>
                <w:bCs/>
                <w:sz w:val="20"/>
                <w:szCs w:val="20"/>
              </w:rPr>
              <w:t>Interpretation</w:t>
            </w:r>
          </w:p>
        </w:tc>
      </w:tr>
      <w:tr w:rsidR="006B2C9D" w:rsidRPr="00D50CA1" w14:paraId="63E3EDC7" w14:textId="77777777" w:rsidTr="000F390E">
        <w:trPr>
          <w:cantSplit/>
        </w:trPr>
        <w:tc>
          <w:tcPr>
            <w:tcW w:w="9498" w:type="dxa"/>
            <w:gridSpan w:val="4"/>
            <w:shd w:val="clear" w:color="auto" w:fill="FFFFFF"/>
            <w:noWrap/>
            <w:tcMar>
              <w:top w:w="0" w:type="dxa"/>
              <w:left w:w="0" w:type="dxa"/>
              <w:bottom w:w="0" w:type="dxa"/>
              <w:right w:w="0" w:type="dxa"/>
            </w:tcMar>
          </w:tcPr>
          <w:p w14:paraId="6E66414C" w14:textId="77777777" w:rsidR="006B2C9D" w:rsidRPr="008D1712" w:rsidRDefault="006B2C9D" w:rsidP="000F390E">
            <w:pPr>
              <w:pBdr>
                <w:top w:val="none" w:sz="0" w:space="0" w:color="000000"/>
                <w:left w:val="none" w:sz="0" w:space="0" w:color="000000"/>
                <w:bottom w:val="none" w:sz="0" w:space="0" w:color="000000"/>
                <w:right w:val="none" w:sz="0" w:space="0" w:color="000000"/>
              </w:pBdr>
              <w:spacing w:before="60" w:after="60"/>
              <w:ind w:left="142" w:right="564"/>
              <w:rPr>
                <w:rFonts w:eastAsia="Arial"/>
                <w:color w:val="000000"/>
                <w:sz w:val="20"/>
                <w:szCs w:val="20"/>
              </w:rPr>
            </w:pPr>
            <w:r>
              <w:rPr>
                <w:rFonts w:eastAsia="Times New Roman"/>
                <w:b/>
                <w:bCs/>
                <w:i/>
                <w:iCs/>
                <w:color w:val="000000"/>
                <w:sz w:val="20"/>
                <w:szCs w:val="20"/>
                <w:lang w:eastAsia="en-AU"/>
              </w:rPr>
              <w:t xml:space="preserve">A: </w:t>
            </w:r>
            <w:r w:rsidRPr="009A6091">
              <w:rPr>
                <w:rFonts w:eastAsia="Times New Roman"/>
                <w:b/>
                <w:bCs/>
                <w:i/>
                <w:iCs/>
                <w:color w:val="000000"/>
                <w:sz w:val="20"/>
                <w:szCs w:val="20"/>
                <w:lang w:eastAsia="en-AU"/>
              </w:rPr>
              <w:t>Basic Trend Model</w:t>
            </w:r>
          </w:p>
        </w:tc>
      </w:tr>
      <w:tr w:rsidR="006B2C9D" w:rsidRPr="00D50CA1" w14:paraId="7DF86FEF" w14:textId="77777777" w:rsidTr="000F390E">
        <w:tc>
          <w:tcPr>
            <w:tcW w:w="1701" w:type="dxa"/>
            <w:shd w:val="clear" w:color="auto" w:fill="FFFFFF"/>
            <w:tcMar>
              <w:top w:w="0" w:type="dxa"/>
              <w:left w:w="0" w:type="dxa"/>
              <w:bottom w:w="0" w:type="dxa"/>
              <w:right w:w="0" w:type="dxa"/>
            </w:tcMar>
            <w:vAlign w:val="center"/>
          </w:tcPr>
          <w:p w14:paraId="3A25DE29"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Occupancy - Core v Exp</w:t>
            </w:r>
          </w:p>
        </w:tc>
        <w:tc>
          <w:tcPr>
            <w:tcW w:w="1418" w:type="dxa"/>
            <w:shd w:val="clear" w:color="auto" w:fill="CCDBEA"/>
            <w:tcMar>
              <w:top w:w="0" w:type="dxa"/>
              <w:left w:w="0" w:type="dxa"/>
              <w:bottom w:w="0" w:type="dxa"/>
              <w:right w:w="0" w:type="dxa"/>
            </w:tcMar>
          </w:tcPr>
          <w:p w14:paraId="59C88FD4"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22030A">
              <w:rPr>
                <w:rFonts w:eastAsia="Times New Roman"/>
                <w:b/>
                <w:bCs/>
                <w:color w:val="000000"/>
                <w:sz w:val="20"/>
                <w:szCs w:val="20"/>
                <w:lang w:eastAsia="en-AU"/>
              </w:rPr>
              <w:t>-2.37</w:t>
            </w:r>
          </w:p>
          <w:p w14:paraId="7E42960C"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22030A">
              <w:rPr>
                <w:rFonts w:eastAsia="Times New Roman"/>
                <w:b/>
                <w:bCs/>
                <w:color w:val="000000"/>
                <w:sz w:val="20"/>
                <w:szCs w:val="20"/>
                <w:lang w:eastAsia="en-AU"/>
              </w:rPr>
              <w:t>(-5.99, -0.50)</w:t>
            </w:r>
          </w:p>
        </w:tc>
        <w:tc>
          <w:tcPr>
            <w:tcW w:w="1843" w:type="dxa"/>
            <w:shd w:val="clear" w:color="auto" w:fill="FFFFFF"/>
            <w:tcMar>
              <w:top w:w="0" w:type="dxa"/>
              <w:left w:w="0" w:type="dxa"/>
              <w:bottom w:w="0" w:type="dxa"/>
              <w:right w:w="0" w:type="dxa"/>
            </w:tcMar>
          </w:tcPr>
          <w:p w14:paraId="5B8348FD"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22030A">
              <w:rPr>
                <w:rFonts w:eastAsia="Times New Roman"/>
                <w:b/>
                <w:bCs/>
                <w:color w:val="000000"/>
                <w:sz w:val="20"/>
                <w:szCs w:val="20"/>
                <w:lang w:eastAsia="en-AU"/>
              </w:rPr>
              <w:t>0.04</w:t>
            </w:r>
          </w:p>
          <w:p w14:paraId="5693EAD9"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22030A">
              <w:rPr>
                <w:rFonts w:eastAsia="Times New Roman"/>
                <w:b/>
                <w:bCs/>
                <w:color w:val="000000"/>
                <w:sz w:val="20"/>
                <w:szCs w:val="20"/>
                <w:lang w:eastAsia="en-AU"/>
              </w:rPr>
              <w:t>(0.01, 0.08)</w:t>
            </w:r>
          </w:p>
        </w:tc>
        <w:tc>
          <w:tcPr>
            <w:tcW w:w="4536" w:type="dxa"/>
            <w:shd w:val="clear" w:color="auto" w:fill="CCDBEA"/>
            <w:tcMar>
              <w:top w:w="0" w:type="dxa"/>
              <w:left w:w="0" w:type="dxa"/>
              <w:bottom w:w="0" w:type="dxa"/>
              <w:right w:w="0" w:type="dxa"/>
            </w:tcMar>
          </w:tcPr>
          <w:p w14:paraId="03A577FA"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428" w:right="564"/>
              <w:rPr>
                <w:rFonts w:eastAsia="Arial"/>
                <w:b/>
                <w:bCs/>
                <w:color w:val="000000"/>
                <w:sz w:val="20"/>
                <w:szCs w:val="20"/>
              </w:rPr>
            </w:pPr>
            <w:r w:rsidRPr="0022030A">
              <w:rPr>
                <w:rFonts w:eastAsia="Times New Roman"/>
                <w:b/>
                <w:bCs/>
                <w:color w:val="000000"/>
                <w:sz w:val="20"/>
                <w:szCs w:val="20"/>
                <w:lang w:eastAsia="en-AU"/>
              </w:rPr>
              <w:t>Long-nosed Bandicoot occurrence lower in Core zone in 2020</w:t>
            </w:r>
          </w:p>
        </w:tc>
      </w:tr>
      <w:tr w:rsidR="006B2C9D" w:rsidRPr="00D50CA1" w14:paraId="2BAE1084" w14:textId="77777777" w:rsidTr="000F390E">
        <w:tc>
          <w:tcPr>
            <w:tcW w:w="1701" w:type="dxa"/>
            <w:shd w:val="clear" w:color="auto" w:fill="FFFFFF"/>
            <w:tcMar>
              <w:top w:w="0" w:type="dxa"/>
              <w:left w:w="0" w:type="dxa"/>
              <w:bottom w:w="0" w:type="dxa"/>
              <w:right w:w="0" w:type="dxa"/>
            </w:tcMar>
            <w:vAlign w:val="center"/>
          </w:tcPr>
          <w:p w14:paraId="3EEB13EB"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Trend in Core</w:t>
            </w:r>
          </w:p>
        </w:tc>
        <w:tc>
          <w:tcPr>
            <w:tcW w:w="1418" w:type="dxa"/>
            <w:shd w:val="clear" w:color="auto" w:fill="CCDBEA"/>
            <w:tcMar>
              <w:top w:w="0" w:type="dxa"/>
              <w:left w:w="0" w:type="dxa"/>
              <w:bottom w:w="0" w:type="dxa"/>
              <w:right w:w="0" w:type="dxa"/>
            </w:tcMar>
          </w:tcPr>
          <w:p w14:paraId="5B67EE05"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22030A">
              <w:rPr>
                <w:rFonts w:eastAsia="Times New Roman"/>
                <w:b/>
                <w:bCs/>
                <w:color w:val="000000"/>
                <w:sz w:val="20"/>
                <w:szCs w:val="20"/>
                <w:lang w:eastAsia="en-AU"/>
              </w:rPr>
              <w:t>3.83</w:t>
            </w:r>
          </w:p>
          <w:p w14:paraId="3D2312E1"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22030A">
              <w:rPr>
                <w:rFonts w:eastAsia="Times New Roman"/>
                <w:b/>
                <w:bCs/>
                <w:color w:val="000000"/>
                <w:sz w:val="20"/>
                <w:szCs w:val="20"/>
                <w:lang w:eastAsia="en-AU"/>
              </w:rPr>
              <w:t>(2.24, 6.27)</w:t>
            </w:r>
          </w:p>
        </w:tc>
        <w:tc>
          <w:tcPr>
            <w:tcW w:w="1843" w:type="dxa"/>
            <w:shd w:val="clear" w:color="auto" w:fill="FFFFFF"/>
            <w:tcMar>
              <w:top w:w="0" w:type="dxa"/>
              <w:left w:w="0" w:type="dxa"/>
              <w:bottom w:w="0" w:type="dxa"/>
              <w:right w:w="0" w:type="dxa"/>
            </w:tcMar>
          </w:tcPr>
          <w:p w14:paraId="05980C25"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22030A">
              <w:rPr>
                <w:rFonts w:eastAsia="Times New Roman"/>
                <w:b/>
                <w:bCs/>
                <w:color w:val="000000"/>
                <w:sz w:val="20"/>
                <w:szCs w:val="20"/>
                <w:lang w:eastAsia="en-AU"/>
              </w:rPr>
              <w:t>46.1</w:t>
            </w:r>
          </w:p>
          <w:p w14:paraId="3516A914"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22030A">
              <w:rPr>
                <w:rFonts w:eastAsia="Times New Roman"/>
                <w:b/>
                <w:bCs/>
                <w:color w:val="000000"/>
                <w:sz w:val="20"/>
                <w:szCs w:val="20"/>
                <w:lang w:eastAsia="en-AU"/>
              </w:rPr>
              <w:t>(9.40, 528)</w:t>
            </w:r>
          </w:p>
        </w:tc>
        <w:tc>
          <w:tcPr>
            <w:tcW w:w="4536" w:type="dxa"/>
            <w:shd w:val="clear" w:color="auto" w:fill="CCDBEA"/>
            <w:tcMar>
              <w:top w:w="0" w:type="dxa"/>
              <w:left w:w="0" w:type="dxa"/>
              <w:bottom w:w="0" w:type="dxa"/>
              <w:right w:w="0" w:type="dxa"/>
            </w:tcMar>
          </w:tcPr>
          <w:p w14:paraId="4161429A"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428" w:right="564"/>
              <w:rPr>
                <w:rFonts w:eastAsia="Arial"/>
                <w:b/>
                <w:bCs/>
                <w:color w:val="000000"/>
                <w:sz w:val="20"/>
                <w:szCs w:val="20"/>
              </w:rPr>
            </w:pPr>
            <w:r w:rsidRPr="0022030A">
              <w:rPr>
                <w:rFonts w:eastAsia="Times New Roman"/>
                <w:b/>
                <w:bCs/>
                <w:color w:val="000000"/>
                <w:sz w:val="20"/>
                <w:szCs w:val="20"/>
                <w:lang w:eastAsia="en-AU"/>
              </w:rPr>
              <w:t>Positive trend in Core zone</w:t>
            </w:r>
            <w:r w:rsidRPr="0022030A">
              <w:rPr>
                <w:rFonts w:eastAsia="Arial"/>
                <w:b/>
                <w:bCs/>
                <w:color w:val="000000"/>
                <w:sz w:val="20"/>
                <w:szCs w:val="20"/>
              </w:rPr>
              <w:t xml:space="preserve"> </w:t>
            </w:r>
          </w:p>
          <w:p w14:paraId="4B44DBB8"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428" w:right="564"/>
              <w:rPr>
                <w:rFonts w:eastAsia="Arial"/>
                <w:b/>
                <w:bCs/>
                <w:color w:val="000000"/>
                <w:sz w:val="20"/>
                <w:szCs w:val="20"/>
              </w:rPr>
            </w:pPr>
            <w:r w:rsidRPr="0022030A">
              <w:rPr>
                <w:rFonts w:eastAsia="Arial"/>
                <w:b/>
                <w:bCs/>
                <w:color w:val="000000"/>
                <w:sz w:val="20"/>
                <w:szCs w:val="20"/>
              </w:rPr>
              <w:t>(very high uncertainty)</w:t>
            </w:r>
          </w:p>
        </w:tc>
      </w:tr>
      <w:tr w:rsidR="006B2C9D" w:rsidRPr="00D50CA1" w14:paraId="01669C63" w14:textId="77777777" w:rsidTr="000F390E">
        <w:tc>
          <w:tcPr>
            <w:tcW w:w="1701" w:type="dxa"/>
            <w:shd w:val="clear" w:color="auto" w:fill="FFFFFF"/>
            <w:tcMar>
              <w:top w:w="0" w:type="dxa"/>
              <w:left w:w="0" w:type="dxa"/>
              <w:bottom w:w="0" w:type="dxa"/>
              <w:right w:w="0" w:type="dxa"/>
            </w:tcMar>
            <w:vAlign w:val="center"/>
          </w:tcPr>
          <w:p w14:paraId="4FBC564B"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 xml:space="preserve">Trend in </w:t>
            </w:r>
            <w:r>
              <w:rPr>
                <w:sz w:val="20"/>
                <w:szCs w:val="20"/>
              </w:rPr>
              <w:t>Exp</w:t>
            </w:r>
          </w:p>
        </w:tc>
        <w:tc>
          <w:tcPr>
            <w:tcW w:w="1418" w:type="dxa"/>
            <w:shd w:val="clear" w:color="auto" w:fill="CCDBEA"/>
            <w:tcMar>
              <w:top w:w="0" w:type="dxa"/>
              <w:left w:w="0" w:type="dxa"/>
              <w:bottom w:w="0" w:type="dxa"/>
              <w:right w:w="0" w:type="dxa"/>
            </w:tcMar>
          </w:tcPr>
          <w:p w14:paraId="074759E2"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22030A">
              <w:rPr>
                <w:rFonts w:eastAsia="Times New Roman"/>
                <w:b/>
                <w:bCs/>
                <w:color w:val="000000"/>
                <w:sz w:val="20"/>
                <w:szCs w:val="20"/>
                <w:lang w:eastAsia="en-AU"/>
              </w:rPr>
              <w:t>1.89</w:t>
            </w:r>
          </w:p>
          <w:p w14:paraId="574FF663"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22030A">
              <w:rPr>
                <w:rFonts w:eastAsia="Times New Roman"/>
                <w:b/>
                <w:bCs/>
                <w:color w:val="000000"/>
                <w:sz w:val="20"/>
                <w:szCs w:val="20"/>
                <w:lang w:eastAsia="en-AU"/>
              </w:rPr>
              <w:t>(0.60, 3.79)</w:t>
            </w:r>
          </w:p>
        </w:tc>
        <w:tc>
          <w:tcPr>
            <w:tcW w:w="1843" w:type="dxa"/>
            <w:shd w:val="clear" w:color="auto" w:fill="FFFFFF"/>
            <w:tcMar>
              <w:top w:w="0" w:type="dxa"/>
              <w:left w:w="0" w:type="dxa"/>
              <w:bottom w:w="0" w:type="dxa"/>
              <w:right w:w="0" w:type="dxa"/>
            </w:tcMar>
          </w:tcPr>
          <w:p w14:paraId="31AC1227"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22030A">
              <w:rPr>
                <w:rFonts w:eastAsia="Times New Roman"/>
                <w:b/>
                <w:bCs/>
                <w:color w:val="000000"/>
                <w:sz w:val="20"/>
                <w:szCs w:val="20"/>
                <w:lang w:eastAsia="en-AU"/>
              </w:rPr>
              <w:t>6.62</w:t>
            </w:r>
          </w:p>
          <w:p w14:paraId="31412202"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22030A">
              <w:rPr>
                <w:rFonts w:eastAsia="Times New Roman"/>
                <w:b/>
                <w:bCs/>
                <w:color w:val="000000"/>
                <w:sz w:val="20"/>
                <w:szCs w:val="20"/>
                <w:lang w:eastAsia="en-AU"/>
              </w:rPr>
              <w:t>(1.82, 44.3)</w:t>
            </w:r>
          </w:p>
        </w:tc>
        <w:tc>
          <w:tcPr>
            <w:tcW w:w="4536" w:type="dxa"/>
            <w:shd w:val="clear" w:color="auto" w:fill="CCDBEA"/>
            <w:tcMar>
              <w:top w:w="0" w:type="dxa"/>
              <w:left w:w="0" w:type="dxa"/>
              <w:bottom w:w="0" w:type="dxa"/>
              <w:right w:w="0" w:type="dxa"/>
            </w:tcMar>
          </w:tcPr>
          <w:p w14:paraId="2AC27747"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428" w:right="564"/>
              <w:rPr>
                <w:rFonts w:eastAsia="Arial"/>
                <w:b/>
                <w:bCs/>
                <w:color w:val="000000"/>
                <w:sz w:val="20"/>
                <w:szCs w:val="20"/>
              </w:rPr>
            </w:pPr>
            <w:r w:rsidRPr="0022030A">
              <w:rPr>
                <w:rFonts w:eastAsia="Times New Roman"/>
                <w:b/>
                <w:bCs/>
                <w:color w:val="000000"/>
                <w:sz w:val="20"/>
                <w:szCs w:val="20"/>
                <w:lang w:eastAsia="en-AU"/>
              </w:rPr>
              <w:t xml:space="preserve">Positive trend in Expansion zone </w:t>
            </w:r>
            <w:r w:rsidRPr="0022030A">
              <w:rPr>
                <w:rFonts w:eastAsia="Arial"/>
                <w:b/>
                <w:bCs/>
                <w:color w:val="000000"/>
                <w:sz w:val="20"/>
                <w:szCs w:val="20"/>
              </w:rPr>
              <w:t>(very high uncertainty)</w:t>
            </w:r>
          </w:p>
        </w:tc>
      </w:tr>
      <w:tr w:rsidR="006B2C9D" w:rsidRPr="00D50CA1" w14:paraId="59681FE2" w14:textId="77777777" w:rsidTr="000F390E">
        <w:tc>
          <w:tcPr>
            <w:tcW w:w="1701" w:type="dxa"/>
            <w:shd w:val="clear" w:color="auto" w:fill="FFFFFF"/>
            <w:tcMar>
              <w:top w:w="0" w:type="dxa"/>
              <w:left w:w="0" w:type="dxa"/>
              <w:bottom w:w="0" w:type="dxa"/>
              <w:right w:w="0" w:type="dxa"/>
            </w:tcMar>
            <w:vAlign w:val="center"/>
          </w:tcPr>
          <w:p w14:paraId="588A4147"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Pr>
                <w:rFonts w:eastAsia="Calibri"/>
                <w:sz w:val="20"/>
                <w:szCs w:val="20"/>
              </w:rPr>
              <w:t>Difference between Core and Exp</w:t>
            </w:r>
          </w:p>
        </w:tc>
        <w:tc>
          <w:tcPr>
            <w:tcW w:w="1418" w:type="dxa"/>
            <w:shd w:val="clear" w:color="auto" w:fill="CCDBEA"/>
            <w:tcMar>
              <w:top w:w="0" w:type="dxa"/>
              <w:left w:w="0" w:type="dxa"/>
              <w:bottom w:w="0" w:type="dxa"/>
              <w:right w:w="0" w:type="dxa"/>
            </w:tcMar>
          </w:tcPr>
          <w:p w14:paraId="4AF72D4A" w14:textId="77777777" w:rsidR="006B2C9D" w:rsidRPr="009A6091"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-0.98</w:t>
            </w:r>
          </w:p>
          <w:p w14:paraId="079155CA" w14:textId="77777777" w:rsidR="006B2C9D" w:rsidRPr="009A6091"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4.32</w:t>
            </w:r>
            <w:r w:rsidRPr="009A6091">
              <w:rPr>
                <w:rFonts w:eastAsia="Times New Roman"/>
                <w:color w:val="000000"/>
                <w:sz w:val="20"/>
                <w:szCs w:val="20"/>
                <w:lang w:eastAsia="en-AU"/>
              </w:rPr>
              <w:t xml:space="preserve">, </w:t>
            </w:r>
            <w:r>
              <w:rPr>
                <w:rFonts w:eastAsia="Times New Roman"/>
                <w:color w:val="000000"/>
                <w:sz w:val="20"/>
                <w:szCs w:val="20"/>
                <w:lang w:eastAsia="en-AU"/>
              </w:rPr>
              <w:t>1.26</w:t>
            </w:r>
            <w:r w:rsidRPr="009A6091">
              <w:rPr>
                <w:rFonts w:eastAsia="Times New Roman"/>
                <w:color w:val="000000"/>
                <w:sz w:val="20"/>
                <w:szCs w:val="20"/>
                <w:lang w:eastAsia="en-AU"/>
              </w:rPr>
              <w:t>)</w:t>
            </w:r>
          </w:p>
        </w:tc>
        <w:tc>
          <w:tcPr>
            <w:tcW w:w="1843" w:type="dxa"/>
            <w:shd w:val="clear" w:color="auto" w:fill="FFFFFF"/>
            <w:tcMar>
              <w:top w:w="0" w:type="dxa"/>
              <w:left w:w="0" w:type="dxa"/>
              <w:bottom w:w="0" w:type="dxa"/>
              <w:right w:w="0" w:type="dxa"/>
            </w:tcMar>
          </w:tcPr>
          <w:p w14:paraId="6D94DB0E" w14:textId="77777777" w:rsidR="006B2C9D" w:rsidRPr="009A6091"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0.38</w:t>
            </w:r>
          </w:p>
          <w:p w14:paraId="02A49C87" w14:textId="77777777" w:rsidR="006B2C9D" w:rsidRPr="009A6091"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0.01</w:t>
            </w:r>
            <w:r w:rsidRPr="009A6091">
              <w:rPr>
                <w:rFonts w:eastAsia="Times New Roman"/>
                <w:color w:val="000000"/>
                <w:sz w:val="20"/>
                <w:szCs w:val="20"/>
                <w:lang w:eastAsia="en-AU"/>
              </w:rPr>
              <w:t xml:space="preserve">, </w:t>
            </w:r>
            <w:r>
              <w:rPr>
                <w:rFonts w:eastAsia="Times New Roman"/>
                <w:color w:val="000000"/>
                <w:sz w:val="20"/>
                <w:szCs w:val="20"/>
                <w:lang w:eastAsia="en-AU"/>
              </w:rPr>
              <w:t>3.52</w:t>
            </w:r>
            <w:r w:rsidRPr="009A6091">
              <w:rPr>
                <w:rFonts w:eastAsia="Times New Roman"/>
                <w:color w:val="000000"/>
                <w:sz w:val="20"/>
                <w:szCs w:val="20"/>
                <w:lang w:eastAsia="en-AU"/>
              </w:rPr>
              <w:t>)</w:t>
            </w:r>
          </w:p>
        </w:tc>
        <w:tc>
          <w:tcPr>
            <w:tcW w:w="4536" w:type="dxa"/>
            <w:shd w:val="clear" w:color="auto" w:fill="CCDBEA"/>
            <w:tcMar>
              <w:top w:w="0" w:type="dxa"/>
              <w:left w:w="0" w:type="dxa"/>
              <w:bottom w:w="0" w:type="dxa"/>
              <w:right w:w="0" w:type="dxa"/>
            </w:tcMar>
          </w:tcPr>
          <w:p w14:paraId="0015A503" w14:textId="77777777" w:rsidR="006B2C9D" w:rsidRPr="009A6091" w:rsidRDefault="006B2C9D" w:rsidP="000F390E">
            <w:pPr>
              <w:pBdr>
                <w:top w:val="none" w:sz="0" w:space="0" w:color="000000"/>
                <w:left w:val="none" w:sz="0" w:space="0" w:color="000000"/>
                <w:bottom w:val="none" w:sz="0" w:space="0" w:color="000000"/>
                <w:right w:val="none" w:sz="0" w:space="0" w:color="000000"/>
              </w:pBdr>
              <w:spacing w:before="60" w:after="60"/>
              <w:ind w:left="428" w:right="564"/>
              <w:rPr>
                <w:rFonts w:eastAsia="Times New Roman"/>
                <w:color w:val="000000"/>
                <w:sz w:val="20"/>
                <w:szCs w:val="20"/>
              </w:rPr>
            </w:pPr>
            <w:r w:rsidRPr="009A6091">
              <w:rPr>
                <w:rFonts w:eastAsia="Times New Roman"/>
                <w:color w:val="000000"/>
                <w:sz w:val="20"/>
                <w:szCs w:val="20"/>
                <w:lang w:eastAsia="en-AU"/>
              </w:rPr>
              <w:t xml:space="preserve">No difference in </w:t>
            </w:r>
            <w:r w:rsidRPr="003578ED">
              <w:rPr>
                <w:rFonts w:eastAsia="Times New Roman"/>
                <w:i/>
                <w:iCs/>
                <w:color w:val="000000"/>
                <w:sz w:val="20"/>
                <w:szCs w:val="20"/>
                <w:lang w:eastAsia="en-AU"/>
              </w:rPr>
              <w:t>trends</w:t>
            </w:r>
            <w:r w:rsidRPr="009A6091">
              <w:rPr>
                <w:rFonts w:eastAsia="Times New Roman"/>
                <w:color w:val="000000"/>
                <w:sz w:val="20"/>
                <w:szCs w:val="20"/>
                <w:lang w:eastAsia="en-AU"/>
              </w:rPr>
              <w:t xml:space="preserve"> between Core and Expansion</w:t>
            </w:r>
            <w:r>
              <w:rPr>
                <w:rFonts w:eastAsia="Times New Roman"/>
                <w:color w:val="000000"/>
                <w:sz w:val="20"/>
                <w:szCs w:val="20"/>
                <w:lang w:eastAsia="en-AU"/>
              </w:rPr>
              <w:t xml:space="preserve"> zones</w:t>
            </w:r>
            <w:r w:rsidRPr="009A6091">
              <w:rPr>
                <w:rFonts w:eastAsia="Times New Roman"/>
                <w:color w:val="000000"/>
                <w:sz w:val="20"/>
                <w:szCs w:val="20"/>
                <w:lang w:eastAsia="en-AU"/>
              </w:rPr>
              <w:t xml:space="preserve"> </w:t>
            </w:r>
          </w:p>
        </w:tc>
      </w:tr>
    </w:tbl>
    <w:tbl>
      <w:tblPr>
        <w:tblStyle w:val="Table1"/>
        <w:tblW w:w="9562" w:type="dxa"/>
        <w:tblLayout w:type="fixed"/>
        <w:tblLook w:val="0420" w:firstRow="1" w:lastRow="0" w:firstColumn="0" w:lastColumn="0" w:noHBand="0" w:noVBand="1"/>
      </w:tblPr>
      <w:tblGrid>
        <w:gridCol w:w="107"/>
        <w:gridCol w:w="1594"/>
        <w:gridCol w:w="1418"/>
        <w:gridCol w:w="1843"/>
        <w:gridCol w:w="4536"/>
        <w:gridCol w:w="64"/>
      </w:tblGrid>
      <w:tr w:rsidR="006B2C9D" w:rsidRPr="009A6091" w14:paraId="201E4596" w14:textId="77777777" w:rsidTr="000F390E">
        <w:trPr>
          <w:gridBefore w:val="1"/>
          <w:gridAfter w:val="1"/>
          <w:cnfStyle w:val="100000000000" w:firstRow="1" w:lastRow="0" w:firstColumn="0" w:lastColumn="0" w:oddVBand="0" w:evenVBand="0" w:oddHBand="0" w:evenHBand="0" w:firstRowFirstColumn="0" w:firstRowLastColumn="0" w:lastRowFirstColumn="0" w:lastRowLastColumn="0"/>
          <w:wBefore w:w="107" w:type="dxa"/>
          <w:wAfter w:w="64" w:type="dxa"/>
        </w:trPr>
        <w:tc>
          <w:tcPr>
            <w:tcW w:w="9391" w:type="dxa"/>
            <w:gridSpan w:val="4"/>
            <w:tcBorders>
              <w:top w:val="single" w:sz="2" w:space="0" w:color="002060"/>
              <w:bottom w:val="single" w:sz="2" w:space="0" w:color="002060"/>
            </w:tcBorders>
            <w:shd w:val="clear" w:color="auto" w:fill="FFFFFF"/>
            <w:tcMar>
              <w:top w:w="0" w:type="dxa"/>
              <w:left w:w="0" w:type="dxa"/>
              <w:bottom w:w="0" w:type="dxa"/>
              <w:right w:w="0" w:type="dxa"/>
            </w:tcMar>
          </w:tcPr>
          <w:p w14:paraId="0A9C0FFE"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Times New Roman"/>
                <w:b/>
                <w:bCs/>
                <w:i/>
                <w:iCs/>
                <w:color w:val="000000"/>
                <w:sz w:val="20"/>
                <w:szCs w:val="20"/>
              </w:rPr>
            </w:pPr>
            <w:r>
              <w:rPr>
                <w:rFonts w:eastAsia="Times New Roman"/>
                <w:b/>
                <w:bCs/>
                <w:i/>
                <w:iCs/>
                <w:color w:val="000000"/>
                <w:sz w:val="20"/>
                <w:szCs w:val="20"/>
                <w:lang w:eastAsia="en-AU"/>
              </w:rPr>
              <w:t>B: Covariate</w:t>
            </w:r>
            <w:r w:rsidRPr="009A6091">
              <w:rPr>
                <w:rFonts w:eastAsia="Times New Roman"/>
                <w:b/>
                <w:bCs/>
                <w:i/>
                <w:iCs/>
                <w:color w:val="000000"/>
                <w:sz w:val="20"/>
                <w:szCs w:val="20"/>
                <w:lang w:eastAsia="en-AU"/>
              </w:rPr>
              <w:t xml:space="preserve"> Model</w:t>
            </w:r>
          </w:p>
        </w:tc>
      </w:tr>
      <w:tr w:rsidR="006B2C9D" w:rsidRPr="009A6091" w14:paraId="7D6FA9ED" w14:textId="77777777" w:rsidTr="000F390E">
        <w:trPr>
          <w:gridBefore w:val="1"/>
          <w:gridAfter w:val="1"/>
          <w:wBefore w:w="107" w:type="dxa"/>
          <w:wAfter w:w="64" w:type="dxa"/>
        </w:trPr>
        <w:tc>
          <w:tcPr>
            <w:tcW w:w="1594"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44605BD1"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Difference between baited and unbaited with TSF</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3FAF2FFA"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sidRPr="00993DF8">
              <w:rPr>
                <w:rFonts w:eastAsia="Times New Roman"/>
                <w:color w:val="000000"/>
                <w:sz w:val="20"/>
                <w:szCs w:val="20"/>
                <w:lang w:eastAsia="en-AU"/>
              </w:rPr>
              <w:t>0.</w:t>
            </w:r>
            <w:r>
              <w:rPr>
                <w:rFonts w:eastAsia="Times New Roman"/>
                <w:color w:val="000000"/>
                <w:sz w:val="20"/>
                <w:szCs w:val="20"/>
                <w:lang w:eastAsia="en-AU"/>
              </w:rPr>
              <w:t>20</w:t>
            </w:r>
            <w:r w:rsidRPr="00993DF8">
              <w:rPr>
                <w:rFonts w:eastAsia="Times New Roman"/>
                <w:color w:val="000000"/>
                <w:sz w:val="20"/>
                <w:szCs w:val="20"/>
                <w:lang w:eastAsia="en-AU"/>
              </w:rPr>
              <w:t xml:space="preserve"> </w:t>
            </w:r>
          </w:p>
          <w:p w14:paraId="3ED05580" w14:textId="77777777" w:rsidR="006B2C9D" w:rsidRPr="00F03A7E"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93DF8">
              <w:rPr>
                <w:rFonts w:eastAsia="Times New Roman"/>
                <w:color w:val="000000"/>
                <w:sz w:val="20"/>
                <w:szCs w:val="20"/>
                <w:lang w:eastAsia="en-AU"/>
              </w:rPr>
              <w:t>(-0.</w:t>
            </w:r>
            <w:r>
              <w:rPr>
                <w:rFonts w:eastAsia="Times New Roman"/>
                <w:color w:val="000000"/>
                <w:sz w:val="20"/>
                <w:szCs w:val="20"/>
                <w:lang w:eastAsia="en-AU"/>
              </w:rPr>
              <w:t>61</w:t>
            </w:r>
            <w:r w:rsidRPr="00993DF8">
              <w:rPr>
                <w:rFonts w:eastAsia="Times New Roman"/>
                <w:color w:val="000000"/>
                <w:sz w:val="20"/>
                <w:szCs w:val="20"/>
                <w:lang w:eastAsia="en-AU"/>
              </w:rPr>
              <w:t xml:space="preserve">, </w:t>
            </w:r>
            <w:r>
              <w:rPr>
                <w:rFonts w:eastAsia="Times New Roman"/>
                <w:color w:val="000000"/>
                <w:sz w:val="20"/>
                <w:szCs w:val="20"/>
                <w:lang w:eastAsia="en-AU"/>
              </w:rPr>
              <w:t>1.11</w:t>
            </w:r>
            <w:r w:rsidRPr="00993DF8">
              <w:rPr>
                <w:rFonts w:eastAsia="Times New Roman"/>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96CD482"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Pr>
                <w:rFonts w:eastAsia="Times New Roman"/>
                <w:color w:val="000000"/>
                <w:sz w:val="20"/>
                <w:szCs w:val="20"/>
                <w:lang w:eastAsia="en-AU"/>
              </w:rPr>
              <w:t>1.22</w:t>
            </w:r>
          </w:p>
          <w:p w14:paraId="3F21643B" w14:textId="77777777" w:rsidR="006B2C9D" w:rsidRPr="00F03A7E"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93DF8">
              <w:rPr>
                <w:rFonts w:eastAsia="Times New Roman"/>
                <w:color w:val="000000"/>
                <w:sz w:val="20"/>
                <w:szCs w:val="20"/>
                <w:lang w:eastAsia="en-AU"/>
              </w:rPr>
              <w:t>(0.</w:t>
            </w:r>
            <w:r>
              <w:rPr>
                <w:rFonts w:eastAsia="Times New Roman"/>
                <w:color w:val="000000"/>
                <w:sz w:val="20"/>
                <w:szCs w:val="20"/>
                <w:lang w:eastAsia="en-AU"/>
              </w:rPr>
              <w:t>54</w:t>
            </w:r>
            <w:r w:rsidRPr="00993DF8">
              <w:rPr>
                <w:rFonts w:eastAsia="Times New Roman"/>
                <w:color w:val="000000"/>
                <w:sz w:val="20"/>
                <w:szCs w:val="20"/>
                <w:lang w:eastAsia="en-AU"/>
              </w:rPr>
              <w:t xml:space="preserve">, </w:t>
            </w:r>
            <w:r>
              <w:rPr>
                <w:rFonts w:eastAsia="Times New Roman"/>
                <w:color w:val="000000"/>
                <w:sz w:val="20"/>
                <w:szCs w:val="20"/>
                <w:lang w:eastAsia="en-AU"/>
              </w:rPr>
              <w:t>3</w:t>
            </w:r>
            <w:r w:rsidRPr="00993DF8">
              <w:rPr>
                <w:rFonts w:eastAsia="Times New Roman"/>
                <w:color w:val="000000"/>
                <w:sz w:val="20"/>
                <w:szCs w:val="20"/>
                <w:lang w:eastAsia="en-AU"/>
              </w:rPr>
              <w:t>.</w:t>
            </w:r>
            <w:r>
              <w:rPr>
                <w:rFonts w:eastAsia="Times New Roman"/>
                <w:color w:val="000000"/>
                <w:sz w:val="20"/>
                <w:szCs w:val="20"/>
                <w:lang w:eastAsia="en-AU"/>
              </w:rPr>
              <w:t>03</w:t>
            </w:r>
            <w:r w:rsidRPr="00993DF8">
              <w:rPr>
                <w:rFonts w:eastAsia="Times New Roman"/>
                <w:color w:val="000000"/>
                <w:sz w:val="20"/>
                <w:szCs w:val="20"/>
                <w:lang w:eastAsia="en-AU"/>
              </w:rPr>
              <w:t>)</w:t>
            </w:r>
          </w:p>
        </w:tc>
        <w:tc>
          <w:tcPr>
            <w:tcW w:w="4536" w:type="dxa"/>
            <w:tcBorders>
              <w:top w:val="single" w:sz="2" w:space="0" w:color="002060"/>
              <w:bottom w:val="single" w:sz="2" w:space="0" w:color="002060"/>
            </w:tcBorders>
            <w:shd w:val="clear" w:color="auto" w:fill="CCDBEA"/>
            <w:tcMar>
              <w:top w:w="0" w:type="dxa"/>
              <w:left w:w="0" w:type="dxa"/>
              <w:bottom w:w="0" w:type="dxa"/>
              <w:right w:w="0" w:type="dxa"/>
            </w:tcMar>
          </w:tcPr>
          <w:p w14:paraId="7F0EFF93" w14:textId="77777777" w:rsidR="006B2C9D" w:rsidRPr="009A6091" w:rsidRDefault="006B2C9D" w:rsidP="000F390E">
            <w:pPr>
              <w:pBdr>
                <w:top w:val="none" w:sz="0" w:space="0" w:color="000000"/>
                <w:left w:val="none" w:sz="0" w:space="0" w:color="000000"/>
                <w:bottom w:val="none" w:sz="0" w:space="0" w:color="000000"/>
                <w:right w:val="none" w:sz="0" w:space="0" w:color="000000"/>
              </w:pBdr>
              <w:spacing w:before="60" w:after="60"/>
              <w:ind w:left="313" w:right="564"/>
              <w:rPr>
                <w:rFonts w:eastAsia="Arial"/>
                <w:color w:val="000000"/>
                <w:sz w:val="20"/>
                <w:szCs w:val="20"/>
              </w:rPr>
            </w:pPr>
            <w:r>
              <w:rPr>
                <w:rFonts w:eastAsia="Times New Roman"/>
                <w:color w:val="000000"/>
                <w:sz w:val="20"/>
                <w:szCs w:val="20"/>
                <w:lang w:eastAsia="en-AU"/>
              </w:rPr>
              <w:t>No substantive difference in bandicoot occurrence between baited and unbated sites at mean time-since-fire (4.8 years)</w:t>
            </w:r>
          </w:p>
        </w:tc>
      </w:tr>
      <w:tr w:rsidR="006B2C9D" w:rsidRPr="009A6091" w14:paraId="5541B007" w14:textId="77777777" w:rsidTr="000F390E">
        <w:trPr>
          <w:gridBefore w:val="1"/>
          <w:gridAfter w:val="1"/>
          <w:wBefore w:w="107" w:type="dxa"/>
          <w:wAfter w:w="64" w:type="dxa"/>
        </w:trPr>
        <w:tc>
          <w:tcPr>
            <w:tcW w:w="1594"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FD6EF4B"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Time since fire and baited sites</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33A6F660"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Pr>
                <w:rFonts w:eastAsia="Times New Roman"/>
                <w:color w:val="000000"/>
                <w:sz w:val="20"/>
                <w:szCs w:val="20"/>
                <w:lang w:eastAsia="en-AU"/>
              </w:rPr>
              <w:t>0.51</w:t>
            </w:r>
          </w:p>
          <w:p w14:paraId="27468A75" w14:textId="77777777" w:rsidR="006B2C9D" w:rsidRPr="00F03A7E"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sz w:val="20"/>
                <w:szCs w:val="20"/>
              </w:rPr>
            </w:pPr>
            <w:r w:rsidRPr="00993DF8">
              <w:rPr>
                <w:rFonts w:eastAsia="Times New Roman"/>
                <w:color w:val="000000"/>
                <w:sz w:val="20"/>
                <w:szCs w:val="20"/>
                <w:lang w:eastAsia="en-AU"/>
              </w:rPr>
              <w:t>(</w:t>
            </w:r>
            <w:r>
              <w:rPr>
                <w:rFonts w:eastAsia="Times New Roman"/>
                <w:color w:val="000000"/>
                <w:sz w:val="20"/>
                <w:szCs w:val="20"/>
                <w:lang w:eastAsia="en-AU"/>
              </w:rPr>
              <w:t>-0.02</w:t>
            </w:r>
            <w:r w:rsidRPr="00993DF8">
              <w:rPr>
                <w:rFonts w:eastAsia="Times New Roman"/>
                <w:color w:val="000000"/>
                <w:sz w:val="20"/>
                <w:szCs w:val="20"/>
                <w:lang w:eastAsia="en-AU"/>
              </w:rPr>
              <w:t xml:space="preserve">, </w:t>
            </w:r>
            <w:r>
              <w:rPr>
                <w:rFonts w:eastAsia="Times New Roman"/>
                <w:color w:val="000000"/>
                <w:sz w:val="20"/>
                <w:szCs w:val="20"/>
                <w:lang w:eastAsia="en-AU"/>
              </w:rPr>
              <w:t>1.10</w:t>
            </w:r>
            <w:r w:rsidRPr="00993DF8">
              <w:rPr>
                <w:rFonts w:eastAsia="Times New Roman"/>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83A6C37"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Pr>
                <w:rFonts w:eastAsia="Times New Roman"/>
                <w:color w:val="000000"/>
                <w:sz w:val="20"/>
                <w:szCs w:val="20"/>
                <w:lang w:eastAsia="en-AU"/>
              </w:rPr>
              <w:t>1.67</w:t>
            </w:r>
          </w:p>
          <w:p w14:paraId="54565F48" w14:textId="77777777" w:rsidR="006B2C9D" w:rsidRPr="00F03A7E"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Pr>
                <w:rFonts w:eastAsia="Times New Roman"/>
                <w:color w:val="000000"/>
                <w:sz w:val="20"/>
                <w:szCs w:val="20"/>
                <w:lang w:eastAsia="en-AU"/>
              </w:rPr>
              <w:t>(0.98</w:t>
            </w:r>
            <w:r w:rsidRPr="00993DF8">
              <w:rPr>
                <w:rFonts w:eastAsia="Times New Roman"/>
                <w:color w:val="000000"/>
                <w:sz w:val="20"/>
                <w:szCs w:val="20"/>
                <w:lang w:eastAsia="en-AU"/>
              </w:rPr>
              <w:t xml:space="preserve">, </w:t>
            </w:r>
            <w:r>
              <w:rPr>
                <w:rFonts w:eastAsia="Times New Roman"/>
                <w:color w:val="000000"/>
                <w:sz w:val="20"/>
                <w:szCs w:val="20"/>
                <w:lang w:eastAsia="en-AU"/>
              </w:rPr>
              <w:t>3.00</w:t>
            </w:r>
            <w:r w:rsidRPr="00993DF8">
              <w:rPr>
                <w:rFonts w:eastAsia="Times New Roman"/>
                <w:color w:val="000000"/>
                <w:sz w:val="20"/>
                <w:szCs w:val="20"/>
                <w:lang w:eastAsia="en-AU"/>
              </w:rPr>
              <w:t>)</w:t>
            </w:r>
          </w:p>
        </w:tc>
        <w:tc>
          <w:tcPr>
            <w:tcW w:w="4536" w:type="dxa"/>
            <w:tcBorders>
              <w:top w:val="single" w:sz="2" w:space="0" w:color="002060"/>
              <w:bottom w:val="single" w:sz="2" w:space="0" w:color="002060"/>
            </w:tcBorders>
            <w:shd w:val="clear" w:color="auto" w:fill="CCDBEA"/>
            <w:tcMar>
              <w:top w:w="0" w:type="dxa"/>
              <w:left w:w="0" w:type="dxa"/>
              <w:bottom w:w="0" w:type="dxa"/>
              <w:right w:w="0" w:type="dxa"/>
            </w:tcMar>
          </w:tcPr>
          <w:p w14:paraId="10923D2D" w14:textId="77777777" w:rsidR="006B2C9D" w:rsidRPr="009A6091" w:rsidRDefault="006B2C9D" w:rsidP="000F390E">
            <w:pPr>
              <w:pBdr>
                <w:top w:val="none" w:sz="0" w:space="0" w:color="000000"/>
                <w:left w:val="none" w:sz="0" w:space="0" w:color="000000"/>
                <w:bottom w:val="none" w:sz="0" w:space="0" w:color="000000"/>
                <w:right w:val="none" w:sz="0" w:space="0" w:color="000000"/>
              </w:pBdr>
              <w:spacing w:before="60" w:after="60"/>
              <w:ind w:left="313" w:right="564"/>
              <w:rPr>
                <w:sz w:val="20"/>
                <w:szCs w:val="20"/>
              </w:rPr>
            </w:pPr>
            <w:r>
              <w:rPr>
                <w:rFonts w:eastAsia="Times New Roman"/>
                <w:color w:val="000000"/>
                <w:sz w:val="20"/>
                <w:szCs w:val="20"/>
                <w:lang w:eastAsia="en-AU"/>
              </w:rPr>
              <w:t>No or weakly-positive association between bandicoot occurrence and time-since-fire at baited sites.</w:t>
            </w:r>
          </w:p>
        </w:tc>
      </w:tr>
      <w:tr w:rsidR="006B2C9D" w:rsidRPr="009A6091" w14:paraId="45F006D3" w14:textId="77777777" w:rsidTr="000F390E">
        <w:trPr>
          <w:gridBefore w:val="1"/>
          <w:gridAfter w:val="1"/>
          <w:wBefore w:w="107" w:type="dxa"/>
          <w:wAfter w:w="64" w:type="dxa"/>
        </w:trPr>
        <w:tc>
          <w:tcPr>
            <w:tcW w:w="1594"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40ADDB9" w14:textId="77777777" w:rsidR="006B2C9D"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Cs w:val="20"/>
              </w:rPr>
            </w:pPr>
            <w:r>
              <w:rPr>
                <w:sz w:val="20"/>
                <w:szCs w:val="20"/>
              </w:rPr>
              <w:t>Time since fire and unbaited sites</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3FE8F29A"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Pr>
                <w:rFonts w:eastAsia="Times New Roman"/>
                <w:color w:val="000000"/>
                <w:sz w:val="20"/>
                <w:szCs w:val="20"/>
                <w:lang w:eastAsia="en-AU"/>
              </w:rPr>
              <w:t>0.08</w:t>
            </w:r>
          </w:p>
          <w:p w14:paraId="66AFC31A"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993DF8">
              <w:rPr>
                <w:rFonts w:eastAsia="Times New Roman"/>
                <w:color w:val="000000"/>
                <w:sz w:val="20"/>
                <w:szCs w:val="20"/>
                <w:lang w:eastAsia="en-AU"/>
              </w:rPr>
              <w:t>(</w:t>
            </w:r>
            <w:r>
              <w:rPr>
                <w:rFonts w:eastAsia="Times New Roman"/>
                <w:color w:val="000000"/>
                <w:sz w:val="20"/>
                <w:szCs w:val="20"/>
                <w:lang w:eastAsia="en-AU"/>
              </w:rPr>
              <w:t>-0</w:t>
            </w:r>
            <w:r w:rsidRPr="00993DF8">
              <w:rPr>
                <w:rFonts w:eastAsia="Times New Roman"/>
                <w:color w:val="000000"/>
                <w:sz w:val="20"/>
                <w:szCs w:val="20"/>
                <w:lang w:eastAsia="en-AU"/>
              </w:rPr>
              <w:t>.</w:t>
            </w:r>
            <w:r>
              <w:rPr>
                <w:rFonts w:eastAsia="Times New Roman"/>
                <w:color w:val="000000"/>
                <w:sz w:val="20"/>
                <w:szCs w:val="20"/>
                <w:lang w:eastAsia="en-AU"/>
              </w:rPr>
              <w:t>65</w:t>
            </w:r>
            <w:r w:rsidRPr="00993DF8">
              <w:rPr>
                <w:rFonts w:eastAsia="Times New Roman"/>
                <w:color w:val="000000"/>
                <w:sz w:val="20"/>
                <w:szCs w:val="20"/>
                <w:lang w:eastAsia="en-AU"/>
              </w:rPr>
              <w:t xml:space="preserve">, </w:t>
            </w:r>
            <w:r>
              <w:rPr>
                <w:rFonts w:eastAsia="Times New Roman"/>
                <w:color w:val="000000"/>
                <w:sz w:val="20"/>
                <w:szCs w:val="20"/>
                <w:lang w:eastAsia="en-AU"/>
              </w:rPr>
              <w:t>0.83</w:t>
            </w:r>
            <w:r w:rsidRPr="00993DF8">
              <w:rPr>
                <w:rFonts w:eastAsia="Times New Roman"/>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FDCAF62"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Pr>
                <w:rFonts w:eastAsia="Times New Roman"/>
                <w:color w:val="000000"/>
                <w:sz w:val="20"/>
                <w:szCs w:val="20"/>
                <w:lang w:eastAsia="en-AU"/>
              </w:rPr>
              <w:t>1.08</w:t>
            </w:r>
          </w:p>
          <w:p w14:paraId="504134DE"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993DF8">
              <w:rPr>
                <w:rFonts w:eastAsia="Times New Roman"/>
                <w:color w:val="000000"/>
                <w:sz w:val="20"/>
                <w:szCs w:val="20"/>
                <w:lang w:eastAsia="en-AU"/>
              </w:rPr>
              <w:t>(</w:t>
            </w:r>
            <w:r>
              <w:rPr>
                <w:rFonts w:eastAsia="Times New Roman"/>
                <w:color w:val="000000"/>
                <w:sz w:val="20"/>
                <w:szCs w:val="20"/>
                <w:lang w:eastAsia="en-AU"/>
              </w:rPr>
              <w:t>0.52</w:t>
            </w:r>
            <w:r w:rsidRPr="00993DF8">
              <w:rPr>
                <w:rFonts w:eastAsia="Times New Roman"/>
                <w:color w:val="000000"/>
                <w:sz w:val="20"/>
                <w:szCs w:val="20"/>
                <w:lang w:eastAsia="en-AU"/>
              </w:rPr>
              <w:t xml:space="preserve">, </w:t>
            </w:r>
            <w:r>
              <w:rPr>
                <w:rFonts w:eastAsia="Times New Roman"/>
                <w:color w:val="000000"/>
                <w:sz w:val="20"/>
                <w:szCs w:val="20"/>
                <w:lang w:eastAsia="en-AU"/>
              </w:rPr>
              <w:t>2.29</w:t>
            </w:r>
            <w:r w:rsidRPr="00993DF8">
              <w:rPr>
                <w:rFonts w:eastAsia="Times New Roman"/>
                <w:color w:val="000000"/>
                <w:sz w:val="20"/>
                <w:szCs w:val="20"/>
                <w:lang w:eastAsia="en-AU"/>
              </w:rPr>
              <w:t>)</w:t>
            </w:r>
          </w:p>
        </w:tc>
        <w:tc>
          <w:tcPr>
            <w:tcW w:w="4536" w:type="dxa"/>
            <w:tcBorders>
              <w:top w:val="single" w:sz="2" w:space="0" w:color="002060"/>
              <w:bottom w:val="single" w:sz="2" w:space="0" w:color="002060"/>
            </w:tcBorders>
            <w:shd w:val="clear" w:color="auto" w:fill="CCDBEA"/>
            <w:tcMar>
              <w:top w:w="0" w:type="dxa"/>
              <w:left w:w="0" w:type="dxa"/>
              <w:bottom w:w="0" w:type="dxa"/>
              <w:right w:w="0" w:type="dxa"/>
            </w:tcMar>
          </w:tcPr>
          <w:p w14:paraId="709602A2" w14:textId="77777777" w:rsidR="006B2C9D" w:rsidRDefault="006B2C9D" w:rsidP="000F390E">
            <w:pPr>
              <w:pBdr>
                <w:top w:val="none" w:sz="0" w:space="0" w:color="000000"/>
                <w:left w:val="none" w:sz="0" w:space="0" w:color="000000"/>
                <w:bottom w:val="none" w:sz="0" w:space="0" w:color="000000"/>
                <w:right w:val="none" w:sz="0" w:space="0" w:color="000000"/>
              </w:pBdr>
              <w:spacing w:before="60" w:after="60"/>
              <w:ind w:left="313" w:right="564"/>
              <w:rPr>
                <w:color w:val="000000"/>
                <w:szCs w:val="20"/>
                <w:lang w:eastAsia="en-AU"/>
              </w:rPr>
            </w:pPr>
            <w:r>
              <w:rPr>
                <w:rFonts w:eastAsia="Times New Roman"/>
                <w:color w:val="000000"/>
                <w:sz w:val="20"/>
                <w:szCs w:val="20"/>
                <w:lang w:eastAsia="en-AU"/>
              </w:rPr>
              <w:t>No association between bandicoot occurrence and time-since-fire at un-baited sites.</w:t>
            </w:r>
          </w:p>
        </w:tc>
      </w:tr>
      <w:tr w:rsidR="006B2C9D" w:rsidRPr="009A6091" w14:paraId="2AAC9073" w14:textId="77777777" w:rsidTr="000F390E">
        <w:trPr>
          <w:gridBefore w:val="1"/>
          <w:gridAfter w:val="1"/>
          <w:wBefore w:w="107" w:type="dxa"/>
          <w:wAfter w:w="64" w:type="dxa"/>
        </w:trPr>
        <w:tc>
          <w:tcPr>
            <w:tcW w:w="9391" w:type="dxa"/>
            <w:gridSpan w:val="4"/>
            <w:tcBorders>
              <w:top w:val="single" w:sz="2" w:space="0" w:color="002060"/>
              <w:bottom w:val="single" w:sz="2" w:space="0" w:color="002060"/>
            </w:tcBorders>
            <w:shd w:val="clear" w:color="auto" w:fill="FFFFFF"/>
            <w:tcMar>
              <w:top w:w="0" w:type="dxa"/>
              <w:left w:w="0" w:type="dxa"/>
              <w:bottom w:w="0" w:type="dxa"/>
              <w:right w:w="0" w:type="dxa"/>
            </w:tcMar>
            <w:vAlign w:val="center"/>
          </w:tcPr>
          <w:p w14:paraId="24429DCD" w14:textId="77777777" w:rsidR="006B2C9D" w:rsidRPr="009A6091"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sz w:val="20"/>
                <w:szCs w:val="20"/>
              </w:rPr>
            </w:pPr>
            <w:r>
              <w:rPr>
                <w:rFonts w:eastAsia="Times New Roman"/>
                <w:b/>
                <w:bCs/>
                <w:i/>
                <w:iCs/>
                <w:color w:val="000000"/>
                <w:sz w:val="20"/>
                <w:szCs w:val="20"/>
                <w:lang w:eastAsia="en-AU"/>
              </w:rPr>
              <w:t>C: Conditional Trends</w:t>
            </w:r>
          </w:p>
        </w:tc>
      </w:tr>
      <w:tr w:rsidR="006B2C9D" w:rsidRPr="009A6091" w14:paraId="1225A91F" w14:textId="77777777" w:rsidTr="000F390E">
        <w:tc>
          <w:tcPr>
            <w:tcW w:w="1701" w:type="dxa"/>
            <w:gridSpan w:val="2"/>
            <w:tcBorders>
              <w:top w:val="single" w:sz="2" w:space="0" w:color="002060"/>
              <w:bottom w:val="single" w:sz="2" w:space="0" w:color="002060"/>
            </w:tcBorders>
            <w:shd w:val="clear" w:color="auto" w:fill="FFFFFF"/>
            <w:tcMar>
              <w:top w:w="0" w:type="dxa"/>
              <w:left w:w="0" w:type="dxa"/>
              <w:bottom w:w="0" w:type="dxa"/>
              <w:right w:w="0" w:type="dxa"/>
            </w:tcMar>
            <w:vAlign w:val="center"/>
          </w:tcPr>
          <w:p w14:paraId="392E507D" w14:textId="77777777" w:rsidR="006B2C9D" w:rsidRPr="00263BC0"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Cs w:val="20"/>
              </w:rPr>
            </w:pPr>
            <w:r>
              <w:rPr>
                <w:sz w:val="20"/>
                <w:szCs w:val="20"/>
              </w:rPr>
              <w:t>Trend in Core</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40D2948A"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22030A">
              <w:rPr>
                <w:b/>
                <w:bCs/>
                <w:color w:val="000000"/>
                <w:sz w:val="20"/>
                <w:szCs w:val="20"/>
                <w:lang w:eastAsia="en-AU"/>
              </w:rPr>
              <w:t>3.80</w:t>
            </w:r>
          </w:p>
          <w:p w14:paraId="699956C2"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Cs w:val="20"/>
                <w:lang w:eastAsia="en-AU"/>
              </w:rPr>
            </w:pPr>
            <w:r w:rsidRPr="0022030A">
              <w:rPr>
                <w:b/>
                <w:bCs/>
                <w:color w:val="000000"/>
                <w:sz w:val="20"/>
                <w:szCs w:val="20"/>
                <w:lang w:eastAsia="en-AU"/>
              </w:rPr>
              <w:t>(1.95, 7.04)</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AA24E82"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22030A">
              <w:rPr>
                <w:b/>
                <w:bCs/>
                <w:color w:val="000000"/>
                <w:sz w:val="20"/>
                <w:szCs w:val="20"/>
                <w:lang w:eastAsia="en-AU"/>
              </w:rPr>
              <w:t>44.7</w:t>
            </w:r>
          </w:p>
          <w:p w14:paraId="7FAA98A1"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Cs w:val="20"/>
                <w:lang w:eastAsia="en-AU"/>
              </w:rPr>
            </w:pPr>
            <w:r w:rsidRPr="0022030A">
              <w:rPr>
                <w:b/>
                <w:bCs/>
                <w:color w:val="000000"/>
                <w:sz w:val="20"/>
                <w:szCs w:val="20"/>
                <w:lang w:eastAsia="en-AU"/>
              </w:rPr>
              <w:t>(7.03, 1141)</w:t>
            </w:r>
          </w:p>
        </w:tc>
        <w:tc>
          <w:tcPr>
            <w:tcW w:w="4600" w:type="dxa"/>
            <w:gridSpan w:val="2"/>
            <w:tcBorders>
              <w:top w:val="single" w:sz="2" w:space="0" w:color="002060"/>
              <w:bottom w:val="single" w:sz="2" w:space="0" w:color="002060"/>
            </w:tcBorders>
            <w:shd w:val="clear" w:color="auto" w:fill="CCDBEA"/>
            <w:tcMar>
              <w:top w:w="0" w:type="dxa"/>
              <w:left w:w="0" w:type="dxa"/>
              <w:bottom w:w="0" w:type="dxa"/>
              <w:right w:w="0" w:type="dxa"/>
            </w:tcMar>
          </w:tcPr>
          <w:p w14:paraId="4EAE5CA9"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307" w:right="564"/>
              <w:rPr>
                <w:b/>
                <w:bCs/>
                <w:color w:val="000000"/>
                <w:szCs w:val="20"/>
                <w:lang w:eastAsia="en-AU"/>
              </w:rPr>
            </w:pPr>
            <w:r w:rsidRPr="0022030A">
              <w:rPr>
                <w:rFonts w:eastAsia="Times New Roman"/>
                <w:b/>
                <w:bCs/>
                <w:color w:val="000000"/>
                <w:sz w:val="20"/>
                <w:szCs w:val="20"/>
                <w:lang w:eastAsia="en-AU"/>
              </w:rPr>
              <w:t xml:space="preserve">Positive trend in </w:t>
            </w:r>
            <w:r w:rsidRPr="0022030A">
              <w:rPr>
                <w:rFonts w:eastAsia="Times New Roman"/>
                <w:b/>
                <w:bCs/>
                <w:i/>
                <w:iCs/>
                <w:color w:val="000000"/>
                <w:sz w:val="20"/>
                <w:szCs w:val="20"/>
                <w:lang w:eastAsia="en-AU"/>
              </w:rPr>
              <w:t>Core</w:t>
            </w:r>
            <w:r w:rsidRPr="0022030A">
              <w:rPr>
                <w:rFonts w:eastAsia="Times New Roman"/>
                <w:b/>
                <w:bCs/>
                <w:color w:val="000000"/>
                <w:sz w:val="20"/>
                <w:szCs w:val="20"/>
                <w:lang w:eastAsia="en-AU"/>
              </w:rPr>
              <w:t xml:space="preserve"> zone after controlling for covariates (very high uncertainty)</w:t>
            </w:r>
          </w:p>
        </w:tc>
      </w:tr>
      <w:tr w:rsidR="006B2C9D" w:rsidRPr="009A6091" w14:paraId="545036C4" w14:textId="77777777" w:rsidTr="000F390E">
        <w:tc>
          <w:tcPr>
            <w:tcW w:w="1701" w:type="dxa"/>
            <w:gridSpan w:val="2"/>
            <w:tcBorders>
              <w:top w:val="single" w:sz="2" w:space="0" w:color="002060"/>
              <w:bottom w:val="single" w:sz="2" w:space="0" w:color="002060"/>
            </w:tcBorders>
            <w:shd w:val="clear" w:color="auto" w:fill="FFFFFF"/>
            <w:tcMar>
              <w:top w:w="0" w:type="dxa"/>
              <w:left w:w="0" w:type="dxa"/>
              <w:bottom w:w="0" w:type="dxa"/>
              <w:right w:w="0" w:type="dxa"/>
            </w:tcMar>
            <w:vAlign w:val="center"/>
          </w:tcPr>
          <w:p w14:paraId="49D5C90D" w14:textId="77777777" w:rsidR="006B2C9D" w:rsidRPr="00263BC0" w:rsidRDefault="006B2C9D"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Cs w:val="20"/>
              </w:rPr>
            </w:pPr>
            <w:r>
              <w:rPr>
                <w:sz w:val="20"/>
                <w:szCs w:val="20"/>
              </w:rPr>
              <w:t>Trend in Exp</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298ED9CE"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22030A">
              <w:rPr>
                <w:b/>
                <w:bCs/>
                <w:color w:val="000000"/>
                <w:sz w:val="20"/>
                <w:szCs w:val="20"/>
                <w:lang w:eastAsia="en-AU"/>
              </w:rPr>
              <w:t>1.55</w:t>
            </w:r>
          </w:p>
          <w:p w14:paraId="684684C2"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Cs w:val="20"/>
                <w:lang w:eastAsia="en-AU"/>
              </w:rPr>
            </w:pPr>
            <w:r w:rsidRPr="0022030A">
              <w:rPr>
                <w:b/>
                <w:bCs/>
                <w:color w:val="000000"/>
                <w:sz w:val="20"/>
                <w:szCs w:val="20"/>
                <w:lang w:eastAsia="en-AU"/>
              </w:rPr>
              <w:t>(-0.18, 3.56)</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45FE6E8"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22030A">
              <w:rPr>
                <w:b/>
                <w:bCs/>
                <w:color w:val="000000"/>
                <w:sz w:val="20"/>
                <w:szCs w:val="20"/>
                <w:lang w:eastAsia="en-AU"/>
              </w:rPr>
              <w:t>4.71</w:t>
            </w:r>
          </w:p>
          <w:p w14:paraId="1E2A49B8"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Cs w:val="20"/>
                <w:lang w:eastAsia="en-AU"/>
              </w:rPr>
            </w:pPr>
            <w:r w:rsidRPr="0022030A">
              <w:rPr>
                <w:b/>
                <w:bCs/>
                <w:color w:val="000000"/>
                <w:sz w:val="20"/>
                <w:szCs w:val="20"/>
                <w:lang w:eastAsia="en-AU"/>
              </w:rPr>
              <w:t>(0.84, 35.2)</w:t>
            </w:r>
          </w:p>
        </w:tc>
        <w:tc>
          <w:tcPr>
            <w:tcW w:w="4600" w:type="dxa"/>
            <w:gridSpan w:val="2"/>
            <w:tcBorders>
              <w:top w:val="single" w:sz="2" w:space="0" w:color="002060"/>
              <w:bottom w:val="single" w:sz="2" w:space="0" w:color="002060"/>
            </w:tcBorders>
            <w:shd w:val="clear" w:color="auto" w:fill="CCDBEA"/>
            <w:tcMar>
              <w:top w:w="0" w:type="dxa"/>
              <w:left w:w="0" w:type="dxa"/>
              <w:bottom w:w="0" w:type="dxa"/>
              <w:right w:w="0" w:type="dxa"/>
            </w:tcMar>
          </w:tcPr>
          <w:p w14:paraId="575AE000" w14:textId="77777777" w:rsidR="006B2C9D" w:rsidRPr="0022030A" w:rsidRDefault="006B2C9D" w:rsidP="000F390E">
            <w:pPr>
              <w:pBdr>
                <w:top w:val="none" w:sz="0" w:space="0" w:color="000000"/>
                <w:left w:val="none" w:sz="0" w:space="0" w:color="000000"/>
                <w:bottom w:val="none" w:sz="0" w:space="0" w:color="000000"/>
                <w:right w:val="none" w:sz="0" w:space="0" w:color="000000"/>
              </w:pBdr>
              <w:spacing w:before="60" w:after="60"/>
              <w:ind w:left="307" w:right="564"/>
              <w:rPr>
                <w:b/>
                <w:bCs/>
                <w:color w:val="000000"/>
                <w:szCs w:val="20"/>
                <w:lang w:eastAsia="en-AU"/>
              </w:rPr>
            </w:pPr>
            <w:r w:rsidRPr="0022030A">
              <w:rPr>
                <w:rFonts w:eastAsia="Times New Roman"/>
                <w:b/>
                <w:bCs/>
                <w:color w:val="000000"/>
                <w:sz w:val="20"/>
                <w:szCs w:val="20"/>
                <w:lang w:eastAsia="en-AU"/>
              </w:rPr>
              <w:t xml:space="preserve">Marginally positive trend in </w:t>
            </w:r>
            <w:r w:rsidRPr="0022030A">
              <w:rPr>
                <w:rFonts w:eastAsia="Times New Roman"/>
                <w:b/>
                <w:bCs/>
                <w:i/>
                <w:iCs/>
                <w:color w:val="000000"/>
                <w:sz w:val="20"/>
                <w:szCs w:val="20"/>
                <w:lang w:eastAsia="en-AU"/>
              </w:rPr>
              <w:t>Expansion</w:t>
            </w:r>
            <w:r w:rsidRPr="0022030A">
              <w:rPr>
                <w:rFonts w:eastAsia="Times New Roman"/>
                <w:b/>
                <w:bCs/>
                <w:color w:val="000000"/>
                <w:sz w:val="20"/>
                <w:szCs w:val="20"/>
                <w:lang w:eastAsia="en-AU"/>
              </w:rPr>
              <w:t xml:space="preserve"> zone after controlling for covariates (very high uncertainty)</w:t>
            </w:r>
          </w:p>
        </w:tc>
      </w:tr>
    </w:tbl>
    <w:p w14:paraId="2E3DBD3A" w14:textId="7FDEF796" w:rsidR="000C630A" w:rsidRDefault="000C630A" w:rsidP="00C87A5A"/>
    <w:p w14:paraId="1EF47F44" w14:textId="77777777" w:rsidR="007B0A45" w:rsidRPr="007B0A45" w:rsidRDefault="007B0A45" w:rsidP="007B0A45">
      <w:pPr>
        <w:rPr>
          <w:b/>
          <w:bCs/>
        </w:rPr>
      </w:pPr>
      <w:r>
        <w:br w:type="column"/>
      </w:r>
      <w:bookmarkStart w:id="119" w:name="_Ref191897977"/>
      <w:r w:rsidRPr="007B0A45">
        <w:rPr>
          <w:b/>
          <w:bCs/>
        </w:rPr>
        <w:lastRenderedPageBreak/>
        <w:t xml:space="preserve">Table </w:t>
      </w:r>
      <w:bookmarkEnd w:id="119"/>
      <w:r w:rsidRPr="007B0A45">
        <w:rPr>
          <w:b/>
          <w:bCs/>
        </w:rPr>
        <w:t xml:space="preserve">A4. </w:t>
      </w:r>
      <w:r w:rsidRPr="007B0A45">
        <w:rPr>
          <w:b/>
          <w:bCs/>
          <w:color w:val="000000"/>
        </w:rPr>
        <w:t>Parameter</w:t>
      </w:r>
      <w:r w:rsidRPr="007B0A45">
        <w:rPr>
          <w:b/>
          <w:bCs/>
        </w:rPr>
        <w:t xml:space="preserve"> estimates (posterior mean and 95% Credible Intervals) and corresponding conditional odds ratios for Superb Lyrebird models). </w:t>
      </w:r>
    </w:p>
    <w:tbl>
      <w:tblPr>
        <w:tblStyle w:val="Table"/>
        <w:tblW w:w="9498" w:type="dxa"/>
        <w:tblBorders>
          <w:top w:val="single" w:sz="2" w:space="0" w:color="002060"/>
          <w:bottom w:val="single" w:sz="2" w:space="0" w:color="002060"/>
          <w:insideH w:val="single" w:sz="2" w:space="0" w:color="002060"/>
        </w:tblBorders>
        <w:tblLayout w:type="fixed"/>
        <w:tblLook w:val="0420" w:firstRow="1" w:lastRow="0" w:firstColumn="0" w:lastColumn="0" w:noHBand="0" w:noVBand="1"/>
      </w:tblPr>
      <w:tblGrid>
        <w:gridCol w:w="1701"/>
        <w:gridCol w:w="1418"/>
        <w:gridCol w:w="1843"/>
        <w:gridCol w:w="4536"/>
      </w:tblGrid>
      <w:tr w:rsidR="007B0A45" w:rsidRPr="00D50CA1" w14:paraId="0291991F" w14:textId="77777777" w:rsidTr="000F390E">
        <w:trPr>
          <w:cnfStyle w:val="100000000000" w:firstRow="1" w:lastRow="0" w:firstColumn="0" w:lastColumn="0" w:oddVBand="0" w:evenVBand="0" w:oddHBand="0" w:evenHBand="0" w:firstRowFirstColumn="0" w:firstRowLastColumn="0" w:lastRowFirstColumn="0" w:lastRowLastColumn="0"/>
          <w:tblHeader/>
        </w:trPr>
        <w:tc>
          <w:tcPr>
            <w:tcW w:w="1701" w:type="dxa"/>
            <w:tcBorders>
              <w:bottom w:val="none" w:sz="0" w:space="0" w:color="auto"/>
            </w:tcBorders>
            <w:shd w:val="clear" w:color="auto" w:fill="004C97"/>
            <w:tcMar>
              <w:top w:w="0" w:type="dxa"/>
              <w:left w:w="0" w:type="dxa"/>
              <w:bottom w:w="0" w:type="dxa"/>
              <w:right w:w="0" w:type="dxa"/>
            </w:tcMar>
            <w:vAlign w:val="center"/>
          </w:tcPr>
          <w:p w14:paraId="24C31D0F" w14:textId="77777777" w:rsidR="007B0A45" w:rsidRPr="009A6091" w:rsidRDefault="007B0A45" w:rsidP="000F390E">
            <w:pPr>
              <w:pStyle w:val="Tableheadingtext"/>
              <w:ind w:left="142"/>
              <w:rPr>
                <w:bCs/>
                <w:sz w:val="20"/>
                <w:szCs w:val="20"/>
              </w:rPr>
            </w:pPr>
            <w:r w:rsidRPr="009A6091">
              <w:rPr>
                <w:bCs/>
                <w:sz w:val="20"/>
                <w:szCs w:val="20"/>
              </w:rPr>
              <w:t>Param</w:t>
            </w:r>
            <w:r>
              <w:rPr>
                <w:bCs/>
                <w:sz w:val="20"/>
                <w:szCs w:val="20"/>
              </w:rPr>
              <w:t>eter</w:t>
            </w:r>
          </w:p>
        </w:tc>
        <w:tc>
          <w:tcPr>
            <w:tcW w:w="1418" w:type="dxa"/>
            <w:tcBorders>
              <w:bottom w:val="none" w:sz="0" w:space="0" w:color="auto"/>
            </w:tcBorders>
            <w:shd w:val="clear" w:color="auto" w:fill="004C97"/>
            <w:tcMar>
              <w:top w:w="0" w:type="dxa"/>
              <w:left w:w="0" w:type="dxa"/>
              <w:bottom w:w="0" w:type="dxa"/>
              <w:right w:w="0" w:type="dxa"/>
            </w:tcMar>
            <w:vAlign w:val="center"/>
          </w:tcPr>
          <w:p w14:paraId="6C3E9B9E" w14:textId="77777777" w:rsidR="007B0A45" w:rsidRDefault="007B0A45" w:rsidP="000F390E">
            <w:pPr>
              <w:pStyle w:val="Tableheadingtext"/>
              <w:jc w:val="center"/>
              <w:rPr>
                <w:bCs/>
                <w:sz w:val="20"/>
                <w:szCs w:val="20"/>
              </w:rPr>
            </w:pPr>
            <w:r w:rsidRPr="009A6091">
              <w:rPr>
                <w:bCs/>
                <w:sz w:val="20"/>
                <w:szCs w:val="20"/>
              </w:rPr>
              <w:t>Estimate</w:t>
            </w:r>
          </w:p>
          <w:p w14:paraId="38E4EE11" w14:textId="77777777" w:rsidR="007B0A45" w:rsidRPr="009A6091" w:rsidRDefault="007B0A45" w:rsidP="000F390E">
            <w:pPr>
              <w:pStyle w:val="Tableheadingtext"/>
              <w:jc w:val="center"/>
              <w:rPr>
                <w:bCs/>
                <w:sz w:val="20"/>
                <w:szCs w:val="20"/>
              </w:rPr>
            </w:pPr>
            <w:r w:rsidRPr="009A6091">
              <w:rPr>
                <w:bCs/>
                <w:sz w:val="20"/>
                <w:szCs w:val="20"/>
              </w:rPr>
              <w:t>(95% CI)</w:t>
            </w:r>
          </w:p>
        </w:tc>
        <w:tc>
          <w:tcPr>
            <w:tcW w:w="1843" w:type="dxa"/>
            <w:tcBorders>
              <w:bottom w:val="none" w:sz="0" w:space="0" w:color="auto"/>
            </w:tcBorders>
            <w:shd w:val="clear" w:color="auto" w:fill="004C97"/>
            <w:tcMar>
              <w:top w:w="0" w:type="dxa"/>
              <w:left w:w="0" w:type="dxa"/>
              <w:bottom w:w="0" w:type="dxa"/>
              <w:right w:w="0" w:type="dxa"/>
            </w:tcMar>
            <w:vAlign w:val="center"/>
          </w:tcPr>
          <w:p w14:paraId="418DCAC8" w14:textId="77777777" w:rsidR="007B0A45" w:rsidRDefault="007B0A45" w:rsidP="000F390E">
            <w:pPr>
              <w:pStyle w:val="Tableheadingtext"/>
              <w:jc w:val="center"/>
              <w:rPr>
                <w:bCs/>
                <w:sz w:val="20"/>
                <w:szCs w:val="20"/>
              </w:rPr>
            </w:pPr>
            <w:r w:rsidRPr="009A6091">
              <w:rPr>
                <w:bCs/>
                <w:sz w:val="20"/>
                <w:szCs w:val="20"/>
              </w:rPr>
              <w:t>Odds Ratio</w:t>
            </w:r>
          </w:p>
          <w:p w14:paraId="77A934DE" w14:textId="77777777" w:rsidR="007B0A45" w:rsidRPr="009A6091" w:rsidRDefault="007B0A45" w:rsidP="000F390E">
            <w:pPr>
              <w:pStyle w:val="Tableheadingtext"/>
              <w:jc w:val="center"/>
              <w:rPr>
                <w:bCs/>
                <w:sz w:val="20"/>
                <w:szCs w:val="20"/>
              </w:rPr>
            </w:pPr>
            <w:r w:rsidRPr="009A6091">
              <w:rPr>
                <w:bCs/>
                <w:sz w:val="20"/>
                <w:szCs w:val="20"/>
              </w:rPr>
              <w:t>(95% CI)</w:t>
            </w:r>
          </w:p>
        </w:tc>
        <w:tc>
          <w:tcPr>
            <w:tcW w:w="4536" w:type="dxa"/>
            <w:tcBorders>
              <w:bottom w:val="none" w:sz="0" w:space="0" w:color="auto"/>
            </w:tcBorders>
            <w:shd w:val="clear" w:color="auto" w:fill="004C97"/>
            <w:tcMar>
              <w:top w:w="0" w:type="dxa"/>
              <w:left w:w="0" w:type="dxa"/>
              <w:bottom w:w="0" w:type="dxa"/>
              <w:right w:w="0" w:type="dxa"/>
            </w:tcMar>
            <w:vAlign w:val="center"/>
          </w:tcPr>
          <w:p w14:paraId="315E1D2A" w14:textId="77777777" w:rsidR="007B0A45" w:rsidRPr="009A6091" w:rsidRDefault="007B0A45" w:rsidP="000F390E">
            <w:pPr>
              <w:pStyle w:val="Tableheadingtext"/>
              <w:ind w:right="564"/>
              <w:jc w:val="center"/>
              <w:rPr>
                <w:bCs/>
                <w:sz w:val="20"/>
                <w:szCs w:val="20"/>
              </w:rPr>
            </w:pPr>
            <w:r w:rsidRPr="009A6091">
              <w:rPr>
                <w:bCs/>
                <w:sz w:val="20"/>
                <w:szCs w:val="20"/>
              </w:rPr>
              <w:t>Interpretation</w:t>
            </w:r>
          </w:p>
        </w:tc>
      </w:tr>
      <w:tr w:rsidR="007B0A45" w:rsidRPr="00D50CA1" w14:paraId="6BDA5044" w14:textId="77777777" w:rsidTr="000F390E">
        <w:tc>
          <w:tcPr>
            <w:tcW w:w="1701" w:type="dxa"/>
            <w:shd w:val="clear" w:color="auto" w:fill="FFFFFF"/>
            <w:tcMar>
              <w:top w:w="0" w:type="dxa"/>
              <w:left w:w="0" w:type="dxa"/>
              <w:bottom w:w="0" w:type="dxa"/>
              <w:right w:w="0" w:type="dxa"/>
            </w:tcMar>
            <w:vAlign w:val="center"/>
          </w:tcPr>
          <w:p w14:paraId="26ABEAF8" w14:textId="77777777" w:rsidR="007B0A45" w:rsidRPr="009A6091"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Occupancy - Core v Exp</w:t>
            </w:r>
          </w:p>
        </w:tc>
        <w:tc>
          <w:tcPr>
            <w:tcW w:w="1418" w:type="dxa"/>
            <w:shd w:val="clear" w:color="auto" w:fill="CCDBEA"/>
            <w:tcMar>
              <w:top w:w="0" w:type="dxa"/>
              <w:left w:w="0" w:type="dxa"/>
              <w:bottom w:w="0" w:type="dxa"/>
              <w:right w:w="0" w:type="dxa"/>
            </w:tcMar>
          </w:tcPr>
          <w:p w14:paraId="2C61E21F"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7B0A45">
              <w:rPr>
                <w:rFonts w:eastAsia="Times New Roman"/>
                <w:b/>
                <w:bCs/>
                <w:color w:val="000000"/>
                <w:sz w:val="20"/>
                <w:szCs w:val="20"/>
                <w:lang w:eastAsia="en-AU"/>
              </w:rPr>
              <w:t>1.73</w:t>
            </w:r>
          </w:p>
          <w:p w14:paraId="422C8851"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7B0A45">
              <w:rPr>
                <w:rFonts w:eastAsia="Times New Roman"/>
                <w:b/>
                <w:bCs/>
                <w:color w:val="000000"/>
                <w:sz w:val="20"/>
                <w:szCs w:val="20"/>
                <w:lang w:eastAsia="en-AU"/>
              </w:rPr>
              <w:t>(0.17, 3.51)</w:t>
            </w:r>
          </w:p>
        </w:tc>
        <w:tc>
          <w:tcPr>
            <w:tcW w:w="1843" w:type="dxa"/>
            <w:shd w:val="clear" w:color="auto" w:fill="FFFFFF"/>
            <w:tcMar>
              <w:top w:w="0" w:type="dxa"/>
              <w:left w:w="0" w:type="dxa"/>
              <w:bottom w:w="0" w:type="dxa"/>
              <w:right w:w="0" w:type="dxa"/>
            </w:tcMar>
          </w:tcPr>
          <w:p w14:paraId="41766916"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7B0A45">
              <w:rPr>
                <w:rFonts w:eastAsia="Times New Roman"/>
                <w:b/>
                <w:bCs/>
                <w:color w:val="000000"/>
                <w:sz w:val="20"/>
                <w:szCs w:val="20"/>
                <w:lang w:eastAsia="en-AU"/>
              </w:rPr>
              <w:t>5.64</w:t>
            </w:r>
          </w:p>
          <w:p w14:paraId="76AA4CC7"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7B0A45">
              <w:rPr>
                <w:rFonts w:eastAsia="Times New Roman"/>
                <w:b/>
                <w:bCs/>
                <w:color w:val="000000"/>
                <w:sz w:val="20"/>
                <w:szCs w:val="20"/>
                <w:lang w:eastAsia="en-AU"/>
              </w:rPr>
              <w:t>(1.19, 33.4)</w:t>
            </w:r>
          </w:p>
        </w:tc>
        <w:tc>
          <w:tcPr>
            <w:tcW w:w="4536" w:type="dxa"/>
            <w:shd w:val="clear" w:color="auto" w:fill="CCDBEA"/>
            <w:tcMar>
              <w:top w:w="0" w:type="dxa"/>
              <w:left w:w="0" w:type="dxa"/>
              <w:bottom w:w="0" w:type="dxa"/>
              <w:right w:w="0" w:type="dxa"/>
            </w:tcMar>
          </w:tcPr>
          <w:p w14:paraId="7E505BAF"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45" w:right="564"/>
              <w:rPr>
                <w:rFonts w:eastAsia="Arial"/>
                <w:b/>
                <w:bCs/>
                <w:color w:val="000000"/>
                <w:sz w:val="20"/>
                <w:szCs w:val="20"/>
              </w:rPr>
            </w:pPr>
            <w:r w:rsidRPr="007B0A45">
              <w:rPr>
                <w:rFonts w:eastAsia="Times New Roman"/>
                <w:b/>
                <w:bCs/>
                <w:color w:val="000000"/>
                <w:sz w:val="20"/>
                <w:szCs w:val="20"/>
                <w:lang w:eastAsia="en-AU"/>
              </w:rPr>
              <w:t xml:space="preserve">Superb Lyrebird occurrence higher in Core zone </w:t>
            </w:r>
          </w:p>
        </w:tc>
      </w:tr>
      <w:tr w:rsidR="007B0A45" w:rsidRPr="00D50CA1" w14:paraId="6C0A4D9B" w14:textId="77777777" w:rsidTr="000F390E">
        <w:tc>
          <w:tcPr>
            <w:tcW w:w="1701" w:type="dxa"/>
            <w:shd w:val="clear" w:color="auto" w:fill="FFFFFF"/>
            <w:tcMar>
              <w:top w:w="0" w:type="dxa"/>
              <w:left w:w="0" w:type="dxa"/>
              <w:bottom w:w="0" w:type="dxa"/>
              <w:right w:w="0" w:type="dxa"/>
            </w:tcMar>
            <w:vAlign w:val="center"/>
          </w:tcPr>
          <w:p w14:paraId="31463F1C" w14:textId="77777777" w:rsidR="007B0A45" w:rsidRPr="00287FAD"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Trend in Core</w:t>
            </w:r>
          </w:p>
        </w:tc>
        <w:tc>
          <w:tcPr>
            <w:tcW w:w="1418" w:type="dxa"/>
            <w:shd w:val="clear" w:color="auto" w:fill="CCDBEA"/>
            <w:tcMar>
              <w:top w:w="0" w:type="dxa"/>
              <w:left w:w="0" w:type="dxa"/>
              <w:bottom w:w="0" w:type="dxa"/>
              <w:right w:w="0" w:type="dxa"/>
            </w:tcMar>
          </w:tcPr>
          <w:p w14:paraId="6EEFD921"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0.13</w:t>
            </w:r>
          </w:p>
          <w:p w14:paraId="0269BD87"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287FAD">
              <w:rPr>
                <w:rFonts w:eastAsia="Times New Roman"/>
                <w:color w:val="000000"/>
                <w:sz w:val="20"/>
                <w:szCs w:val="20"/>
                <w:lang w:eastAsia="en-AU"/>
              </w:rPr>
              <w:t>(-1. 48, 1.54)</w:t>
            </w:r>
          </w:p>
        </w:tc>
        <w:tc>
          <w:tcPr>
            <w:tcW w:w="1843" w:type="dxa"/>
            <w:shd w:val="clear" w:color="auto" w:fill="FFFFFF"/>
            <w:tcMar>
              <w:top w:w="0" w:type="dxa"/>
              <w:left w:w="0" w:type="dxa"/>
              <w:bottom w:w="0" w:type="dxa"/>
              <w:right w:w="0" w:type="dxa"/>
            </w:tcMar>
          </w:tcPr>
          <w:p w14:paraId="2D98A54F"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1.14</w:t>
            </w:r>
          </w:p>
          <w:p w14:paraId="540A8332"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280"/>
              <w:jc w:val="center"/>
              <w:rPr>
                <w:rFonts w:eastAsia="Arial"/>
                <w:color w:val="000000"/>
                <w:sz w:val="20"/>
                <w:szCs w:val="20"/>
              </w:rPr>
            </w:pPr>
            <w:r w:rsidRPr="00287FAD">
              <w:rPr>
                <w:rFonts w:eastAsia="Times New Roman"/>
                <w:color w:val="000000"/>
                <w:sz w:val="20"/>
                <w:szCs w:val="20"/>
                <w:lang w:eastAsia="en-AU"/>
              </w:rPr>
              <w:t>(0.23, 4.66)</w:t>
            </w:r>
          </w:p>
        </w:tc>
        <w:tc>
          <w:tcPr>
            <w:tcW w:w="4536" w:type="dxa"/>
            <w:shd w:val="clear" w:color="auto" w:fill="CCDBEA"/>
            <w:tcMar>
              <w:top w:w="0" w:type="dxa"/>
              <w:left w:w="0" w:type="dxa"/>
              <w:bottom w:w="0" w:type="dxa"/>
              <w:right w:w="0" w:type="dxa"/>
            </w:tcMar>
          </w:tcPr>
          <w:p w14:paraId="3257E830"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45" w:right="564"/>
              <w:rPr>
                <w:rFonts w:eastAsia="Arial"/>
                <w:color w:val="000000"/>
                <w:sz w:val="20"/>
                <w:szCs w:val="20"/>
              </w:rPr>
            </w:pPr>
            <w:r w:rsidRPr="00287FAD">
              <w:rPr>
                <w:rFonts w:eastAsia="Times New Roman"/>
                <w:color w:val="000000"/>
                <w:sz w:val="20"/>
                <w:szCs w:val="20"/>
                <w:lang w:eastAsia="en-AU"/>
              </w:rPr>
              <w:t>No trend in occurrence in Core zone (high uncertainty)</w:t>
            </w:r>
          </w:p>
          <w:p w14:paraId="717336CD"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45" w:right="564"/>
              <w:rPr>
                <w:rFonts w:eastAsia="Arial"/>
                <w:color w:val="000000"/>
                <w:sz w:val="20"/>
                <w:szCs w:val="20"/>
              </w:rPr>
            </w:pPr>
          </w:p>
        </w:tc>
      </w:tr>
      <w:tr w:rsidR="007B0A45" w:rsidRPr="00D50CA1" w14:paraId="372FB41E" w14:textId="77777777" w:rsidTr="000F390E">
        <w:tc>
          <w:tcPr>
            <w:tcW w:w="1701" w:type="dxa"/>
            <w:shd w:val="clear" w:color="auto" w:fill="FFFFFF"/>
            <w:tcMar>
              <w:top w:w="0" w:type="dxa"/>
              <w:left w:w="0" w:type="dxa"/>
              <w:bottom w:w="0" w:type="dxa"/>
              <w:right w:w="0" w:type="dxa"/>
            </w:tcMar>
            <w:vAlign w:val="center"/>
          </w:tcPr>
          <w:p w14:paraId="62502C51" w14:textId="77777777" w:rsidR="007B0A45" w:rsidRPr="00287FAD"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 xml:space="preserve">Trend in </w:t>
            </w:r>
            <w:r>
              <w:rPr>
                <w:sz w:val="20"/>
                <w:szCs w:val="20"/>
              </w:rPr>
              <w:t>Exp</w:t>
            </w:r>
          </w:p>
        </w:tc>
        <w:tc>
          <w:tcPr>
            <w:tcW w:w="1418" w:type="dxa"/>
            <w:shd w:val="clear" w:color="auto" w:fill="CCDBEA"/>
            <w:tcMar>
              <w:top w:w="0" w:type="dxa"/>
              <w:left w:w="0" w:type="dxa"/>
              <w:bottom w:w="0" w:type="dxa"/>
              <w:right w:w="0" w:type="dxa"/>
            </w:tcMar>
          </w:tcPr>
          <w:p w14:paraId="38C106C1"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0.57</w:t>
            </w:r>
          </w:p>
          <w:p w14:paraId="602CE018"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287FAD">
              <w:rPr>
                <w:rFonts w:eastAsia="Times New Roman"/>
                <w:color w:val="000000"/>
                <w:sz w:val="20"/>
                <w:szCs w:val="20"/>
                <w:lang w:eastAsia="en-AU"/>
              </w:rPr>
              <w:t>(-0.98, 1.75)</w:t>
            </w:r>
          </w:p>
        </w:tc>
        <w:tc>
          <w:tcPr>
            <w:tcW w:w="1843" w:type="dxa"/>
            <w:shd w:val="clear" w:color="auto" w:fill="FFFFFF"/>
            <w:tcMar>
              <w:top w:w="0" w:type="dxa"/>
              <w:left w:w="0" w:type="dxa"/>
              <w:bottom w:w="0" w:type="dxa"/>
              <w:right w:w="0" w:type="dxa"/>
            </w:tcMar>
          </w:tcPr>
          <w:p w14:paraId="349DEB96"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1.77</w:t>
            </w:r>
          </w:p>
          <w:p w14:paraId="29639E6E"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287FAD">
              <w:rPr>
                <w:rFonts w:eastAsia="Times New Roman"/>
                <w:color w:val="000000"/>
                <w:sz w:val="20"/>
                <w:szCs w:val="20"/>
                <w:lang w:eastAsia="en-AU"/>
              </w:rPr>
              <w:t>(0.38, 5.75)</w:t>
            </w:r>
          </w:p>
        </w:tc>
        <w:tc>
          <w:tcPr>
            <w:tcW w:w="4536" w:type="dxa"/>
            <w:shd w:val="clear" w:color="auto" w:fill="CCDBEA"/>
            <w:tcMar>
              <w:top w:w="0" w:type="dxa"/>
              <w:left w:w="0" w:type="dxa"/>
              <w:bottom w:w="0" w:type="dxa"/>
              <w:right w:w="0" w:type="dxa"/>
            </w:tcMar>
          </w:tcPr>
          <w:p w14:paraId="6DC199A1"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45" w:right="564"/>
              <w:rPr>
                <w:rFonts w:eastAsia="Arial"/>
                <w:color w:val="000000"/>
                <w:sz w:val="20"/>
                <w:szCs w:val="20"/>
              </w:rPr>
            </w:pPr>
            <w:r w:rsidRPr="00287FAD">
              <w:rPr>
                <w:rFonts w:eastAsia="Times New Roman"/>
                <w:color w:val="000000"/>
                <w:sz w:val="20"/>
                <w:szCs w:val="20"/>
                <w:lang w:eastAsia="en-AU"/>
              </w:rPr>
              <w:t>No trend in occupancy in Expansion zone (high uncertainty)</w:t>
            </w:r>
          </w:p>
        </w:tc>
      </w:tr>
      <w:tr w:rsidR="007B0A45" w:rsidRPr="00D50CA1" w14:paraId="194C1BD8" w14:textId="77777777" w:rsidTr="000F390E">
        <w:tc>
          <w:tcPr>
            <w:tcW w:w="1701" w:type="dxa"/>
            <w:shd w:val="clear" w:color="auto" w:fill="FFFFFF"/>
            <w:tcMar>
              <w:top w:w="0" w:type="dxa"/>
              <w:left w:w="0" w:type="dxa"/>
              <w:bottom w:w="0" w:type="dxa"/>
              <w:right w:w="0" w:type="dxa"/>
            </w:tcMar>
            <w:vAlign w:val="center"/>
          </w:tcPr>
          <w:p w14:paraId="3C1DBBD7" w14:textId="77777777" w:rsidR="007B0A45" w:rsidRPr="00287FAD"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Pr>
                <w:rFonts w:eastAsia="Calibri"/>
                <w:sz w:val="20"/>
                <w:szCs w:val="20"/>
              </w:rPr>
              <w:t>Difference between Core and Exp</w:t>
            </w:r>
          </w:p>
        </w:tc>
        <w:tc>
          <w:tcPr>
            <w:tcW w:w="1418" w:type="dxa"/>
            <w:shd w:val="clear" w:color="auto" w:fill="CCDBEA"/>
            <w:tcMar>
              <w:top w:w="0" w:type="dxa"/>
              <w:left w:w="0" w:type="dxa"/>
              <w:bottom w:w="0" w:type="dxa"/>
              <w:right w:w="0" w:type="dxa"/>
            </w:tcMar>
          </w:tcPr>
          <w:p w14:paraId="5BBBF1E2"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0.44</w:t>
            </w:r>
          </w:p>
          <w:p w14:paraId="543B4F94"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(-0.52, 1.48)</w:t>
            </w:r>
          </w:p>
        </w:tc>
        <w:tc>
          <w:tcPr>
            <w:tcW w:w="1843" w:type="dxa"/>
            <w:shd w:val="clear" w:color="auto" w:fill="FFFFFF"/>
            <w:tcMar>
              <w:top w:w="0" w:type="dxa"/>
              <w:left w:w="0" w:type="dxa"/>
              <w:bottom w:w="0" w:type="dxa"/>
              <w:right w:w="0" w:type="dxa"/>
            </w:tcMar>
          </w:tcPr>
          <w:p w14:paraId="0268D0DD"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1.55</w:t>
            </w:r>
          </w:p>
          <w:p w14:paraId="0A215793"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287FAD">
              <w:rPr>
                <w:rFonts w:eastAsia="Times New Roman"/>
                <w:color w:val="000000"/>
                <w:sz w:val="20"/>
                <w:szCs w:val="20"/>
                <w:lang w:eastAsia="en-AU"/>
              </w:rPr>
              <w:t>(0.59, 4.26)</w:t>
            </w:r>
          </w:p>
        </w:tc>
        <w:tc>
          <w:tcPr>
            <w:tcW w:w="4536" w:type="dxa"/>
            <w:shd w:val="clear" w:color="auto" w:fill="CCDBEA"/>
            <w:tcMar>
              <w:top w:w="0" w:type="dxa"/>
              <w:left w:w="0" w:type="dxa"/>
              <w:bottom w:w="0" w:type="dxa"/>
              <w:right w:w="0" w:type="dxa"/>
            </w:tcMar>
          </w:tcPr>
          <w:p w14:paraId="3C29591A" w14:textId="77777777" w:rsidR="007B0A45" w:rsidRPr="00287FAD" w:rsidRDefault="007B0A45" w:rsidP="000F390E">
            <w:pPr>
              <w:pBdr>
                <w:top w:val="none" w:sz="0" w:space="0" w:color="000000"/>
                <w:left w:val="none" w:sz="0" w:space="0" w:color="000000"/>
                <w:bottom w:val="none" w:sz="0" w:space="0" w:color="000000"/>
                <w:right w:val="none" w:sz="0" w:space="0" w:color="000000"/>
              </w:pBdr>
              <w:spacing w:before="60" w:after="60"/>
              <w:ind w:left="145" w:right="564"/>
              <w:rPr>
                <w:rFonts w:eastAsia="Times New Roman"/>
                <w:color w:val="000000"/>
                <w:sz w:val="20"/>
                <w:szCs w:val="20"/>
              </w:rPr>
            </w:pPr>
            <w:r w:rsidRPr="00287FAD">
              <w:rPr>
                <w:rFonts w:eastAsia="Times New Roman"/>
                <w:color w:val="000000"/>
                <w:sz w:val="20"/>
                <w:szCs w:val="20"/>
                <w:lang w:eastAsia="en-AU"/>
              </w:rPr>
              <w:t xml:space="preserve">No difference in </w:t>
            </w:r>
            <w:r w:rsidRPr="00287FAD">
              <w:rPr>
                <w:rFonts w:eastAsia="Times New Roman"/>
                <w:i/>
                <w:iCs/>
                <w:color w:val="000000"/>
                <w:sz w:val="20"/>
                <w:szCs w:val="20"/>
                <w:lang w:eastAsia="en-AU"/>
              </w:rPr>
              <w:t>trends</w:t>
            </w:r>
            <w:r w:rsidRPr="00287FAD">
              <w:rPr>
                <w:rFonts w:eastAsia="Times New Roman"/>
                <w:color w:val="000000"/>
                <w:sz w:val="20"/>
                <w:szCs w:val="20"/>
                <w:lang w:eastAsia="en-AU"/>
              </w:rPr>
              <w:t xml:space="preserve"> in occurrence between Core and Expansion zones </w:t>
            </w:r>
          </w:p>
        </w:tc>
      </w:tr>
    </w:tbl>
    <w:tbl>
      <w:tblPr>
        <w:tblStyle w:val="Table1"/>
        <w:tblW w:w="9498" w:type="dxa"/>
        <w:tblLayout w:type="fixed"/>
        <w:tblLook w:val="0420" w:firstRow="1" w:lastRow="0" w:firstColumn="0" w:lastColumn="0" w:noHBand="0" w:noVBand="1"/>
      </w:tblPr>
      <w:tblGrid>
        <w:gridCol w:w="1701"/>
        <w:gridCol w:w="1418"/>
        <w:gridCol w:w="1843"/>
        <w:gridCol w:w="4536"/>
      </w:tblGrid>
      <w:tr w:rsidR="007B0A45" w:rsidRPr="009A6091" w14:paraId="60FF44F5" w14:textId="77777777" w:rsidTr="000F390E">
        <w:trPr>
          <w:cnfStyle w:val="100000000000" w:firstRow="1" w:lastRow="0" w:firstColumn="0" w:lastColumn="0" w:oddVBand="0" w:evenVBand="0" w:oddHBand="0" w:evenHBand="0" w:firstRowFirstColumn="0" w:firstRowLastColumn="0" w:lastRowFirstColumn="0" w:lastRowLastColumn="0"/>
        </w:trPr>
        <w:tc>
          <w:tcPr>
            <w:tcW w:w="9498" w:type="dxa"/>
            <w:gridSpan w:val="4"/>
            <w:tcBorders>
              <w:top w:val="single" w:sz="2" w:space="0" w:color="002060"/>
              <w:bottom w:val="single" w:sz="2" w:space="0" w:color="002060"/>
            </w:tcBorders>
            <w:shd w:val="clear" w:color="auto" w:fill="FFFFFF"/>
            <w:tcMar>
              <w:top w:w="0" w:type="dxa"/>
              <w:left w:w="0" w:type="dxa"/>
              <w:bottom w:w="0" w:type="dxa"/>
              <w:right w:w="0" w:type="dxa"/>
            </w:tcMar>
          </w:tcPr>
          <w:p w14:paraId="17D4FD1F" w14:textId="77777777" w:rsidR="007B0A45" w:rsidRPr="009A6091"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564"/>
              <w:rPr>
                <w:rFonts w:eastAsia="Times New Roman"/>
                <w:b/>
                <w:bCs/>
                <w:i/>
                <w:iCs/>
                <w:color w:val="000000"/>
                <w:sz w:val="20"/>
                <w:szCs w:val="20"/>
              </w:rPr>
            </w:pPr>
            <w:r>
              <w:rPr>
                <w:rFonts w:eastAsia="Times New Roman"/>
                <w:b/>
                <w:bCs/>
                <w:i/>
                <w:iCs/>
                <w:color w:val="000000"/>
                <w:sz w:val="20"/>
                <w:szCs w:val="20"/>
                <w:lang w:eastAsia="en-AU"/>
              </w:rPr>
              <w:t>B: Covariate</w:t>
            </w:r>
            <w:r w:rsidRPr="009A6091">
              <w:rPr>
                <w:rFonts w:eastAsia="Times New Roman"/>
                <w:b/>
                <w:bCs/>
                <w:i/>
                <w:iCs/>
                <w:color w:val="000000"/>
                <w:sz w:val="20"/>
                <w:szCs w:val="20"/>
                <w:lang w:eastAsia="en-AU"/>
              </w:rPr>
              <w:t xml:space="preserve"> Model</w:t>
            </w:r>
          </w:p>
        </w:tc>
      </w:tr>
      <w:tr w:rsidR="007B0A45" w:rsidRPr="009A6091" w14:paraId="534ED08C"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C055BC6" w14:textId="77777777" w:rsidR="007B0A45" w:rsidRPr="009A6091"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FAPAR</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349E7C91" w14:textId="77777777" w:rsid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sidRPr="00E06AF8">
              <w:rPr>
                <w:rFonts w:eastAsia="Times New Roman"/>
                <w:color w:val="000000"/>
                <w:sz w:val="20"/>
                <w:szCs w:val="20"/>
                <w:lang w:eastAsia="en-AU"/>
              </w:rPr>
              <w:t>0.</w:t>
            </w:r>
            <w:r>
              <w:rPr>
                <w:rFonts w:eastAsia="Times New Roman"/>
                <w:color w:val="000000"/>
                <w:sz w:val="20"/>
                <w:szCs w:val="20"/>
                <w:lang w:eastAsia="en-AU"/>
              </w:rPr>
              <w:t>34</w:t>
            </w:r>
          </w:p>
          <w:p w14:paraId="3F1DA503" w14:textId="77777777" w:rsidR="007B0A45" w:rsidRPr="009A6091"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E06AF8">
              <w:rPr>
                <w:rFonts w:eastAsia="Times New Roman"/>
                <w:color w:val="000000"/>
                <w:sz w:val="20"/>
                <w:szCs w:val="20"/>
                <w:lang w:eastAsia="en-AU"/>
              </w:rPr>
              <w:t>(</w:t>
            </w:r>
            <w:r>
              <w:rPr>
                <w:rFonts w:eastAsia="Times New Roman"/>
                <w:color w:val="000000"/>
                <w:sz w:val="20"/>
                <w:szCs w:val="20"/>
                <w:lang w:eastAsia="en-AU"/>
              </w:rPr>
              <w:t>-</w:t>
            </w:r>
            <w:r w:rsidRPr="00E06AF8">
              <w:rPr>
                <w:rFonts w:eastAsia="Times New Roman"/>
                <w:color w:val="000000"/>
                <w:sz w:val="20"/>
                <w:szCs w:val="20"/>
                <w:lang w:eastAsia="en-AU"/>
              </w:rPr>
              <w:t>0</w:t>
            </w:r>
            <w:r>
              <w:rPr>
                <w:rFonts w:eastAsia="Times New Roman"/>
                <w:color w:val="000000"/>
                <w:sz w:val="20"/>
                <w:szCs w:val="20"/>
                <w:lang w:eastAsia="en-AU"/>
              </w:rPr>
              <w:t>.11</w:t>
            </w:r>
            <w:r w:rsidRPr="00E06AF8">
              <w:rPr>
                <w:rFonts w:eastAsia="Times New Roman"/>
                <w:color w:val="000000"/>
                <w:sz w:val="20"/>
                <w:szCs w:val="20"/>
                <w:lang w:eastAsia="en-AU"/>
              </w:rPr>
              <w:t xml:space="preserve">, </w:t>
            </w:r>
            <w:r>
              <w:rPr>
                <w:rFonts w:eastAsia="Times New Roman"/>
                <w:color w:val="000000"/>
                <w:sz w:val="20"/>
                <w:szCs w:val="20"/>
                <w:lang w:eastAsia="en-AU"/>
              </w:rPr>
              <w:t>0.80</w:t>
            </w:r>
            <w:r w:rsidRPr="00E06AF8">
              <w:rPr>
                <w:rFonts w:eastAsia="Times New Roman"/>
                <w:color w:val="000000"/>
                <w:sz w:val="20"/>
                <w:szCs w:val="20"/>
                <w:lang w:eastAsia="en-AU"/>
              </w:rPr>
              <w:t>)</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6F5031DD" w14:textId="77777777" w:rsid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lang w:eastAsia="en-AU"/>
              </w:rPr>
            </w:pPr>
            <w:r w:rsidRPr="00E06AF8">
              <w:rPr>
                <w:rFonts w:eastAsia="Times New Roman"/>
                <w:color w:val="000000"/>
                <w:sz w:val="20"/>
                <w:szCs w:val="20"/>
                <w:lang w:eastAsia="en-AU"/>
              </w:rPr>
              <w:t>1.</w:t>
            </w:r>
            <w:r>
              <w:rPr>
                <w:rFonts w:eastAsia="Times New Roman"/>
                <w:color w:val="000000"/>
                <w:sz w:val="20"/>
                <w:szCs w:val="20"/>
                <w:lang w:eastAsia="en-AU"/>
              </w:rPr>
              <w:t>40</w:t>
            </w:r>
          </w:p>
          <w:p w14:paraId="7295D9F4" w14:textId="77777777" w:rsidR="007B0A45" w:rsidRPr="009A6091"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E06AF8">
              <w:rPr>
                <w:rFonts w:eastAsia="Times New Roman"/>
                <w:color w:val="000000"/>
                <w:sz w:val="20"/>
                <w:szCs w:val="20"/>
                <w:lang w:eastAsia="en-AU"/>
              </w:rPr>
              <w:t>(</w:t>
            </w:r>
            <w:r>
              <w:rPr>
                <w:rFonts w:eastAsia="Times New Roman"/>
                <w:color w:val="000000"/>
                <w:sz w:val="20"/>
                <w:szCs w:val="20"/>
                <w:lang w:eastAsia="en-AU"/>
              </w:rPr>
              <w:t>0.90</w:t>
            </w:r>
            <w:r w:rsidRPr="00E06AF8">
              <w:rPr>
                <w:rFonts w:eastAsia="Times New Roman"/>
                <w:color w:val="000000"/>
                <w:sz w:val="20"/>
                <w:szCs w:val="20"/>
                <w:lang w:eastAsia="en-AU"/>
              </w:rPr>
              <w:t>, 2.</w:t>
            </w:r>
            <w:r>
              <w:rPr>
                <w:rFonts w:eastAsia="Times New Roman"/>
                <w:color w:val="000000"/>
                <w:sz w:val="20"/>
                <w:szCs w:val="20"/>
                <w:lang w:eastAsia="en-AU"/>
              </w:rPr>
              <w:t>23</w:t>
            </w:r>
            <w:r w:rsidRPr="00E06AF8">
              <w:rPr>
                <w:rFonts w:eastAsia="Times New Roman"/>
                <w:color w:val="000000"/>
                <w:sz w:val="20"/>
                <w:szCs w:val="20"/>
                <w:lang w:eastAsia="en-AU"/>
              </w:rPr>
              <w:t>)</w:t>
            </w:r>
          </w:p>
        </w:tc>
        <w:tc>
          <w:tcPr>
            <w:tcW w:w="4536" w:type="dxa"/>
            <w:tcBorders>
              <w:top w:val="single" w:sz="2" w:space="0" w:color="002060"/>
              <w:bottom w:val="single" w:sz="2" w:space="0" w:color="002060"/>
            </w:tcBorders>
            <w:shd w:val="clear" w:color="auto" w:fill="CCDBEA"/>
            <w:tcMar>
              <w:top w:w="0" w:type="dxa"/>
              <w:left w:w="0" w:type="dxa"/>
              <w:bottom w:w="0" w:type="dxa"/>
              <w:right w:w="0" w:type="dxa"/>
            </w:tcMar>
          </w:tcPr>
          <w:p w14:paraId="79D74A6A" w14:textId="77777777" w:rsidR="007B0A45" w:rsidRPr="009A6091" w:rsidRDefault="007B0A45" w:rsidP="007B0A45">
            <w:pPr>
              <w:pBdr>
                <w:top w:val="none" w:sz="0" w:space="0" w:color="000000"/>
                <w:left w:val="none" w:sz="0" w:space="0" w:color="000000"/>
                <w:bottom w:val="none" w:sz="0" w:space="0" w:color="000000"/>
                <w:right w:val="none" w:sz="0" w:space="0" w:color="000000"/>
              </w:pBdr>
              <w:spacing w:before="60" w:after="60"/>
              <w:ind w:left="144" w:right="564"/>
              <w:rPr>
                <w:rFonts w:eastAsia="Arial"/>
                <w:color w:val="000000"/>
                <w:sz w:val="20"/>
                <w:szCs w:val="20"/>
              </w:rPr>
            </w:pPr>
            <w:r>
              <w:rPr>
                <w:rFonts w:eastAsia="Times New Roman"/>
                <w:color w:val="000000"/>
                <w:sz w:val="20"/>
                <w:szCs w:val="20"/>
                <w:lang w:eastAsia="en-AU"/>
              </w:rPr>
              <w:t>Weak p</w:t>
            </w:r>
            <w:r w:rsidRPr="009A6091">
              <w:rPr>
                <w:rFonts w:eastAsia="Times New Roman"/>
                <w:color w:val="000000"/>
                <w:sz w:val="20"/>
                <w:szCs w:val="20"/>
                <w:lang w:eastAsia="en-AU"/>
              </w:rPr>
              <w:t>ositive relationship b</w:t>
            </w:r>
            <w:r>
              <w:rPr>
                <w:rFonts w:eastAsia="Times New Roman"/>
                <w:color w:val="000000"/>
                <w:sz w:val="20"/>
                <w:szCs w:val="20"/>
                <w:lang w:eastAsia="en-AU"/>
              </w:rPr>
              <w:t>etween</w:t>
            </w:r>
            <w:r w:rsidRPr="009A6091">
              <w:rPr>
                <w:rFonts w:eastAsia="Times New Roman"/>
                <w:color w:val="000000"/>
                <w:sz w:val="20"/>
                <w:szCs w:val="20"/>
                <w:lang w:eastAsia="en-AU"/>
              </w:rPr>
              <w:t xml:space="preserve"> </w:t>
            </w:r>
            <w:r>
              <w:rPr>
                <w:rFonts w:eastAsia="Times New Roman"/>
                <w:color w:val="000000"/>
                <w:sz w:val="20"/>
                <w:szCs w:val="20"/>
                <w:lang w:eastAsia="en-AU"/>
              </w:rPr>
              <w:t>Superb Lyrebird</w:t>
            </w:r>
            <w:r w:rsidRPr="009A6091">
              <w:rPr>
                <w:rFonts w:eastAsia="Times New Roman"/>
                <w:color w:val="000000"/>
                <w:sz w:val="20"/>
                <w:szCs w:val="20"/>
                <w:lang w:eastAsia="en-AU"/>
              </w:rPr>
              <w:t xml:space="preserve"> occurrence and </w:t>
            </w:r>
            <w:r>
              <w:rPr>
                <w:rFonts w:eastAsia="Times New Roman"/>
                <w:color w:val="000000"/>
                <w:sz w:val="20"/>
                <w:szCs w:val="20"/>
                <w:lang w:eastAsia="en-AU"/>
              </w:rPr>
              <w:t>FAPAR</w:t>
            </w:r>
          </w:p>
        </w:tc>
      </w:tr>
      <w:tr w:rsidR="007B0A45" w:rsidRPr="009A6091" w14:paraId="4DDED449"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11A3776F" w14:textId="77777777" w:rsidR="007B0A45" w:rsidRPr="009A6091"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HDM</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4729985E"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7B0A45">
              <w:rPr>
                <w:rFonts w:eastAsia="Times New Roman"/>
                <w:b/>
                <w:bCs/>
                <w:color w:val="000000"/>
                <w:sz w:val="20"/>
                <w:szCs w:val="20"/>
                <w:lang w:eastAsia="en-AU"/>
              </w:rPr>
              <w:t>1.13</w:t>
            </w:r>
          </w:p>
          <w:p w14:paraId="21C72D16"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sz w:val="20"/>
                <w:szCs w:val="20"/>
              </w:rPr>
            </w:pPr>
            <w:r w:rsidRPr="007B0A45">
              <w:rPr>
                <w:rFonts w:eastAsia="Times New Roman"/>
                <w:b/>
                <w:bCs/>
                <w:color w:val="000000"/>
                <w:sz w:val="20"/>
                <w:szCs w:val="20"/>
                <w:lang w:eastAsia="en-AU"/>
              </w:rPr>
              <w:t>(0.69, 1.65)</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1195DC9"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7B0A45">
              <w:rPr>
                <w:rFonts w:eastAsia="Times New Roman"/>
                <w:b/>
                <w:bCs/>
                <w:color w:val="000000"/>
                <w:sz w:val="20"/>
                <w:szCs w:val="20"/>
                <w:lang w:eastAsia="en-AU"/>
              </w:rPr>
              <w:t>3.10</w:t>
            </w:r>
          </w:p>
          <w:p w14:paraId="752FDC15"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7B0A45">
              <w:rPr>
                <w:rFonts w:eastAsia="Times New Roman"/>
                <w:b/>
                <w:bCs/>
                <w:color w:val="000000"/>
                <w:sz w:val="20"/>
                <w:szCs w:val="20"/>
                <w:lang w:eastAsia="en-AU"/>
              </w:rPr>
              <w:t>(1.99, 5.21)</w:t>
            </w:r>
          </w:p>
        </w:tc>
        <w:tc>
          <w:tcPr>
            <w:tcW w:w="4536" w:type="dxa"/>
            <w:tcBorders>
              <w:top w:val="single" w:sz="2" w:space="0" w:color="002060"/>
              <w:bottom w:val="single" w:sz="2" w:space="0" w:color="002060"/>
            </w:tcBorders>
            <w:shd w:val="clear" w:color="auto" w:fill="CCDBEA"/>
            <w:tcMar>
              <w:top w:w="0" w:type="dxa"/>
              <w:left w:w="0" w:type="dxa"/>
              <w:bottom w:w="0" w:type="dxa"/>
              <w:right w:w="0" w:type="dxa"/>
            </w:tcMar>
          </w:tcPr>
          <w:p w14:paraId="481AF968" w14:textId="77777777" w:rsidR="007B0A45" w:rsidRPr="007B0A45" w:rsidRDefault="007B0A45" w:rsidP="007B0A45">
            <w:pPr>
              <w:pBdr>
                <w:top w:val="none" w:sz="0" w:space="0" w:color="000000"/>
                <w:left w:val="none" w:sz="0" w:space="0" w:color="000000"/>
                <w:bottom w:val="none" w:sz="0" w:space="0" w:color="000000"/>
                <w:right w:val="none" w:sz="0" w:space="0" w:color="000000"/>
              </w:pBdr>
              <w:spacing w:before="60" w:after="60"/>
              <w:ind w:left="144" w:right="564"/>
              <w:rPr>
                <w:b/>
                <w:bCs/>
                <w:sz w:val="20"/>
                <w:szCs w:val="20"/>
              </w:rPr>
            </w:pPr>
            <w:r w:rsidRPr="007B0A45">
              <w:rPr>
                <w:rFonts w:eastAsia="Times New Roman"/>
                <w:b/>
                <w:bCs/>
                <w:color w:val="000000"/>
                <w:sz w:val="20"/>
                <w:szCs w:val="20"/>
                <w:lang w:eastAsia="en-AU"/>
              </w:rPr>
              <w:t>Positive relationship between Superb Lyrebird occurrence and LFP-HDM value</w:t>
            </w:r>
          </w:p>
        </w:tc>
      </w:tr>
      <w:tr w:rsidR="007B0A45" w:rsidRPr="009A6091" w14:paraId="678D9594"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882D5A0" w14:textId="77777777" w:rsidR="007B0A45" w:rsidRPr="009A6091" w:rsidRDefault="007B0A4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Pr>
                <w:sz w:val="20"/>
                <w:szCs w:val="20"/>
              </w:rPr>
              <w:t>Time since fire</w:t>
            </w:r>
          </w:p>
        </w:tc>
        <w:tc>
          <w:tcPr>
            <w:tcW w:w="1418"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4E4A448C"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7B0A45">
              <w:rPr>
                <w:rFonts w:eastAsia="Times New Roman"/>
                <w:b/>
                <w:bCs/>
                <w:color w:val="000000"/>
                <w:sz w:val="20"/>
                <w:szCs w:val="20"/>
                <w:lang w:eastAsia="en-AU"/>
              </w:rPr>
              <w:t>0.54</w:t>
            </w:r>
          </w:p>
          <w:p w14:paraId="12349E95"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sz w:val="20"/>
                <w:szCs w:val="20"/>
              </w:rPr>
            </w:pPr>
            <w:r w:rsidRPr="007B0A45">
              <w:rPr>
                <w:rFonts w:eastAsia="Times New Roman"/>
                <w:b/>
                <w:bCs/>
                <w:color w:val="000000"/>
                <w:sz w:val="20"/>
                <w:szCs w:val="20"/>
                <w:lang w:eastAsia="en-AU"/>
              </w:rPr>
              <w:t>(0.03, 1.06)</w:t>
            </w:r>
          </w:p>
        </w:tc>
        <w:tc>
          <w:tcPr>
            <w:tcW w:w="1843"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07B466F1"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7B0A45">
              <w:rPr>
                <w:rFonts w:eastAsia="Times New Roman"/>
                <w:b/>
                <w:bCs/>
                <w:color w:val="000000"/>
                <w:sz w:val="20"/>
                <w:szCs w:val="20"/>
                <w:lang w:eastAsia="en-AU"/>
              </w:rPr>
              <w:t>1.72</w:t>
            </w:r>
          </w:p>
          <w:p w14:paraId="2EDDD07E" w14:textId="77777777" w:rsidR="007B0A45" w:rsidRPr="007B0A45" w:rsidRDefault="007B0A4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7B0A45">
              <w:rPr>
                <w:rFonts w:eastAsia="Times New Roman"/>
                <w:b/>
                <w:bCs/>
                <w:color w:val="000000"/>
                <w:sz w:val="20"/>
                <w:szCs w:val="20"/>
                <w:lang w:eastAsia="en-AU"/>
              </w:rPr>
              <w:t>(1.03, 2.89)</w:t>
            </w:r>
          </w:p>
        </w:tc>
        <w:tc>
          <w:tcPr>
            <w:tcW w:w="4536" w:type="dxa"/>
            <w:tcBorders>
              <w:top w:val="single" w:sz="2" w:space="0" w:color="002060"/>
              <w:bottom w:val="single" w:sz="2" w:space="0" w:color="002060"/>
            </w:tcBorders>
            <w:shd w:val="clear" w:color="auto" w:fill="CCDBEA"/>
            <w:tcMar>
              <w:top w:w="0" w:type="dxa"/>
              <w:left w:w="0" w:type="dxa"/>
              <w:bottom w:w="0" w:type="dxa"/>
              <w:right w:w="0" w:type="dxa"/>
            </w:tcMar>
          </w:tcPr>
          <w:p w14:paraId="0E943A4F" w14:textId="77777777" w:rsidR="007B0A45" w:rsidRPr="007B0A45" w:rsidRDefault="007B0A45" w:rsidP="007B0A45">
            <w:pPr>
              <w:pBdr>
                <w:top w:val="none" w:sz="0" w:space="0" w:color="000000"/>
                <w:left w:val="none" w:sz="0" w:space="0" w:color="000000"/>
                <w:bottom w:val="none" w:sz="0" w:space="0" w:color="000000"/>
                <w:right w:val="none" w:sz="0" w:space="0" w:color="000000"/>
              </w:pBdr>
              <w:spacing w:before="60" w:after="60"/>
              <w:ind w:left="144" w:right="564"/>
              <w:rPr>
                <w:b/>
                <w:bCs/>
                <w:sz w:val="20"/>
                <w:szCs w:val="20"/>
              </w:rPr>
            </w:pPr>
            <w:r w:rsidRPr="007B0A45">
              <w:rPr>
                <w:rFonts w:eastAsia="Times New Roman"/>
                <w:b/>
                <w:bCs/>
                <w:color w:val="000000"/>
                <w:sz w:val="20"/>
                <w:szCs w:val="20"/>
                <w:lang w:eastAsia="en-AU"/>
              </w:rPr>
              <w:t xml:space="preserve">Positive relationship between Superb Lyrebird occurrence and time-since-fire </w:t>
            </w:r>
          </w:p>
        </w:tc>
      </w:tr>
    </w:tbl>
    <w:p w14:paraId="383A8C63" w14:textId="3DB04767" w:rsidR="007B0A45" w:rsidRDefault="007B0A45" w:rsidP="00C87A5A"/>
    <w:p w14:paraId="3EE46999" w14:textId="77777777" w:rsidR="00F44B95" w:rsidRPr="00F44B95" w:rsidRDefault="00F44B95" w:rsidP="00F44B95">
      <w:pPr>
        <w:rPr>
          <w:b/>
          <w:bCs/>
        </w:rPr>
      </w:pPr>
      <w:r>
        <w:br w:type="column"/>
      </w:r>
      <w:bookmarkStart w:id="120" w:name="_Ref191897579"/>
      <w:r w:rsidRPr="00F44B95">
        <w:rPr>
          <w:b/>
          <w:bCs/>
        </w:rPr>
        <w:lastRenderedPageBreak/>
        <w:t xml:space="preserve">Table </w:t>
      </w:r>
      <w:bookmarkEnd w:id="120"/>
      <w:r w:rsidRPr="00F44B95">
        <w:rPr>
          <w:b/>
          <w:bCs/>
        </w:rPr>
        <w:t>A5</w:t>
      </w:r>
      <w:r w:rsidRPr="00F44B95">
        <w:rPr>
          <w:b/>
          <w:bCs/>
          <w:color w:val="000000"/>
        </w:rPr>
        <w:t>. Paramet</w:t>
      </w:r>
      <w:r w:rsidRPr="00F44B95">
        <w:rPr>
          <w:b/>
          <w:bCs/>
        </w:rPr>
        <w:t xml:space="preserve">er estimates (posterior mean and 95% credible intervals) and corresponding conditional odds ratios for three models for foxes: Basic trend model, Best-supported model (based on Bayesian variable selection), and covariate-adjusted trends (trends not explained by supported predictors). </w:t>
      </w:r>
    </w:p>
    <w:tbl>
      <w:tblPr>
        <w:tblStyle w:val="Table"/>
        <w:tblW w:w="9782" w:type="dxa"/>
        <w:tblLayout w:type="fixed"/>
        <w:tblLook w:val="0420" w:firstRow="1" w:lastRow="0" w:firstColumn="0" w:lastColumn="0" w:noHBand="0" w:noVBand="1"/>
      </w:tblPr>
      <w:tblGrid>
        <w:gridCol w:w="1701"/>
        <w:gridCol w:w="1560"/>
        <w:gridCol w:w="1842"/>
        <w:gridCol w:w="4679"/>
      </w:tblGrid>
      <w:tr w:rsidR="00F44B95" w:rsidRPr="00D50CA1" w14:paraId="1B928F81" w14:textId="77777777" w:rsidTr="000F390E">
        <w:trPr>
          <w:cnfStyle w:val="100000000000" w:firstRow="1" w:lastRow="0" w:firstColumn="0" w:lastColumn="0" w:oddVBand="0" w:evenVBand="0" w:oddHBand="0" w:evenHBand="0" w:firstRowFirstColumn="0" w:firstRowLastColumn="0" w:lastRowFirstColumn="0" w:lastRowLastColumn="0"/>
          <w:tblHeader/>
        </w:trPr>
        <w:tc>
          <w:tcPr>
            <w:tcW w:w="1701" w:type="dxa"/>
            <w:shd w:val="clear" w:color="auto" w:fill="004C97"/>
            <w:tcMar>
              <w:top w:w="0" w:type="dxa"/>
              <w:left w:w="0" w:type="dxa"/>
              <w:bottom w:w="0" w:type="dxa"/>
              <w:right w:w="0" w:type="dxa"/>
            </w:tcMar>
            <w:vAlign w:val="top"/>
          </w:tcPr>
          <w:p w14:paraId="5BB3E500" w14:textId="77777777" w:rsidR="00F44B95" w:rsidRPr="009A6091" w:rsidRDefault="00F44B95" w:rsidP="000F390E">
            <w:pPr>
              <w:pStyle w:val="Tableheadingtext"/>
              <w:ind w:left="142"/>
              <w:jc w:val="center"/>
              <w:rPr>
                <w:bCs/>
                <w:sz w:val="20"/>
                <w:szCs w:val="20"/>
              </w:rPr>
            </w:pPr>
            <w:r w:rsidRPr="009A6091">
              <w:rPr>
                <w:bCs/>
                <w:sz w:val="20"/>
                <w:szCs w:val="20"/>
              </w:rPr>
              <w:t>Param</w:t>
            </w:r>
            <w:r>
              <w:rPr>
                <w:bCs/>
                <w:sz w:val="20"/>
                <w:szCs w:val="20"/>
              </w:rPr>
              <w:t>eter</w:t>
            </w:r>
          </w:p>
        </w:tc>
        <w:tc>
          <w:tcPr>
            <w:tcW w:w="1560" w:type="dxa"/>
            <w:shd w:val="clear" w:color="auto" w:fill="004C97"/>
            <w:tcMar>
              <w:top w:w="0" w:type="dxa"/>
              <w:left w:w="0" w:type="dxa"/>
              <w:bottom w:w="0" w:type="dxa"/>
              <w:right w:w="0" w:type="dxa"/>
            </w:tcMar>
            <w:vAlign w:val="top"/>
          </w:tcPr>
          <w:p w14:paraId="1F6529B6" w14:textId="77777777" w:rsidR="00F44B95" w:rsidRDefault="00F44B95" w:rsidP="000F390E">
            <w:pPr>
              <w:pStyle w:val="Tableheadingtext"/>
              <w:jc w:val="center"/>
              <w:rPr>
                <w:bCs/>
                <w:sz w:val="20"/>
                <w:szCs w:val="20"/>
              </w:rPr>
            </w:pPr>
            <w:r w:rsidRPr="009A6091">
              <w:rPr>
                <w:bCs/>
                <w:sz w:val="20"/>
                <w:szCs w:val="20"/>
              </w:rPr>
              <w:t>Estimate</w:t>
            </w:r>
          </w:p>
          <w:p w14:paraId="06FDF680" w14:textId="77777777" w:rsidR="00F44B95" w:rsidRPr="009A6091" w:rsidRDefault="00F44B95" w:rsidP="000F390E">
            <w:pPr>
              <w:pStyle w:val="Tableheadingtext"/>
              <w:jc w:val="center"/>
              <w:rPr>
                <w:bCs/>
                <w:sz w:val="20"/>
                <w:szCs w:val="20"/>
              </w:rPr>
            </w:pPr>
            <w:r w:rsidRPr="009A6091">
              <w:rPr>
                <w:bCs/>
                <w:sz w:val="20"/>
                <w:szCs w:val="20"/>
              </w:rPr>
              <w:t>(95% CI)</w:t>
            </w:r>
          </w:p>
        </w:tc>
        <w:tc>
          <w:tcPr>
            <w:tcW w:w="1842" w:type="dxa"/>
            <w:shd w:val="clear" w:color="auto" w:fill="004C97"/>
            <w:tcMar>
              <w:top w:w="0" w:type="dxa"/>
              <w:left w:w="0" w:type="dxa"/>
              <w:bottom w:w="0" w:type="dxa"/>
              <w:right w:w="0" w:type="dxa"/>
            </w:tcMar>
            <w:vAlign w:val="top"/>
          </w:tcPr>
          <w:p w14:paraId="57E635A2" w14:textId="77777777" w:rsidR="00F44B95" w:rsidRDefault="00F44B95" w:rsidP="000F390E">
            <w:pPr>
              <w:pStyle w:val="Tableheadingtext"/>
              <w:jc w:val="center"/>
              <w:rPr>
                <w:bCs/>
                <w:sz w:val="20"/>
                <w:szCs w:val="20"/>
              </w:rPr>
            </w:pPr>
            <w:r w:rsidRPr="009A6091">
              <w:rPr>
                <w:bCs/>
                <w:sz w:val="20"/>
                <w:szCs w:val="20"/>
              </w:rPr>
              <w:t xml:space="preserve">Odds </w:t>
            </w:r>
            <w:r>
              <w:rPr>
                <w:bCs/>
                <w:sz w:val="20"/>
                <w:szCs w:val="20"/>
              </w:rPr>
              <w:t>r</w:t>
            </w:r>
            <w:r w:rsidRPr="009A6091">
              <w:rPr>
                <w:bCs/>
                <w:sz w:val="20"/>
                <w:szCs w:val="20"/>
              </w:rPr>
              <w:t>atio</w:t>
            </w:r>
            <w:r w:rsidRPr="002D7F2C">
              <w:rPr>
                <w:bCs/>
                <w:sz w:val="20"/>
                <w:szCs w:val="20"/>
                <w:vertAlign w:val="superscript"/>
              </w:rPr>
              <w:t>1</w:t>
            </w:r>
          </w:p>
          <w:p w14:paraId="35A47D57" w14:textId="77777777" w:rsidR="00F44B95" w:rsidRPr="009A6091" w:rsidRDefault="00F44B95" w:rsidP="000F390E">
            <w:pPr>
              <w:pStyle w:val="Tableheadingtext"/>
              <w:jc w:val="center"/>
              <w:rPr>
                <w:bCs/>
                <w:sz w:val="20"/>
                <w:szCs w:val="20"/>
              </w:rPr>
            </w:pPr>
            <w:r w:rsidRPr="009A6091">
              <w:rPr>
                <w:bCs/>
                <w:sz w:val="20"/>
                <w:szCs w:val="20"/>
              </w:rPr>
              <w:t>(95% CI)</w:t>
            </w:r>
          </w:p>
        </w:tc>
        <w:tc>
          <w:tcPr>
            <w:tcW w:w="4679" w:type="dxa"/>
            <w:shd w:val="clear" w:color="auto" w:fill="004C97"/>
            <w:tcMar>
              <w:top w:w="0" w:type="dxa"/>
              <w:left w:w="0" w:type="dxa"/>
              <w:bottom w:w="0" w:type="dxa"/>
              <w:right w:w="0" w:type="dxa"/>
            </w:tcMar>
            <w:vAlign w:val="top"/>
          </w:tcPr>
          <w:p w14:paraId="02694541" w14:textId="77777777" w:rsidR="00F44B95" w:rsidRPr="009A6091" w:rsidRDefault="00F44B95" w:rsidP="000F390E">
            <w:pPr>
              <w:pStyle w:val="Tableheadingtext"/>
              <w:ind w:right="564"/>
              <w:jc w:val="center"/>
              <w:rPr>
                <w:bCs/>
                <w:sz w:val="20"/>
                <w:szCs w:val="20"/>
              </w:rPr>
            </w:pPr>
            <w:r w:rsidRPr="009A6091">
              <w:rPr>
                <w:bCs/>
                <w:sz w:val="20"/>
                <w:szCs w:val="20"/>
              </w:rPr>
              <w:t>Interpretation</w:t>
            </w:r>
          </w:p>
        </w:tc>
      </w:tr>
      <w:tr w:rsidR="00F44B95" w:rsidRPr="00D50CA1" w14:paraId="434CCD5D" w14:textId="77777777" w:rsidTr="000F390E">
        <w:trPr>
          <w:cantSplit/>
        </w:trPr>
        <w:tc>
          <w:tcPr>
            <w:tcW w:w="9782" w:type="dxa"/>
            <w:gridSpan w:val="4"/>
            <w:tcBorders>
              <w:top w:val="single" w:sz="2" w:space="0" w:color="002060"/>
              <w:bottom w:val="single" w:sz="2" w:space="0" w:color="002060"/>
            </w:tcBorders>
            <w:shd w:val="clear" w:color="auto" w:fill="FFFFFF"/>
            <w:noWrap/>
            <w:tcMar>
              <w:top w:w="0" w:type="dxa"/>
              <w:left w:w="0" w:type="dxa"/>
              <w:bottom w:w="0" w:type="dxa"/>
              <w:right w:w="0" w:type="dxa"/>
            </w:tcMar>
          </w:tcPr>
          <w:p w14:paraId="609806E1" w14:textId="77777777" w:rsidR="00F44B95" w:rsidRPr="008D1712" w:rsidRDefault="00F44B95" w:rsidP="000F390E">
            <w:pPr>
              <w:pBdr>
                <w:top w:val="none" w:sz="0" w:space="0" w:color="000000"/>
                <w:left w:val="none" w:sz="0" w:space="0" w:color="000000"/>
                <w:bottom w:val="none" w:sz="0" w:space="0" w:color="000000"/>
                <w:right w:val="none" w:sz="0" w:space="0" w:color="000000"/>
              </w:pBdr>
              <w:spacing w:before="60" w:after="60"/>
              <w:ind w:left="142" w:right="564"/>
              <w:rPr>
                <w:rFonts w:eastAsia="Arial"/>
                <w:color w:val="000000"/>
                <w:sz w:val="20"/>
                <w:szCs w:val="20"/>
              </w:rPr>
            </w:pPr>
            <w:r>
              <w:rPr>
                <w:rFonts w:eastAsia="Times New Roman"/>
                <w:b/>
                <w:bCs/>
                <w:i/>
                <w:iCs/>
                <w:color w:val="000000"/>
                <w:sz w:val="20"/>
                <w:szCs w:val="20"/>
                <w:lang w:eastAsia="en-AU"/>
              </w:rPr>
              <w:t xml:space="preserve">A: </w:t>
            </w:r>
            <w:r w:rsidRPr="009A6091">
              <w:rPr>
                <w:rFonts w:eastAsia="Times New Roman"/>
                <w:b/>
                <w:bCs/>
                <w:i/>
                <w:iCs/>
                <w:color w:val="000000"/>
                <w:sz w:val="20"/>
                <w:szCs w:val="20"/>
                <w:lang w:eastAsia="en-AU"/>
              </w:rPr>
              <w:t>Basic Trend Model</w:t>
            </w:r>
          </w:p>
        </w:tc>
      </w:tr>
      <w:tr w:rsidR="00F44B95" w:rsidRPr="00D50CA1" w14:paraId="098C01F9"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46F4AA3"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Occupancy - Core v Exp</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tcPr>
          <w:p w14:paraId="6C8F57F5"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-1.95</w:t>
            </w:r>
          </w:p>
          <w:p w14:paraId="522E3EE0"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F44B95">
              <w:rPr>
                <w:rFonts w:eastAsia="Times New Roman"/>
                <w:b/>
                <w:bCs/>
                <w:color w:val="000000"/>
                <w:sz w:val="20"/>
                <w:szCs w:val="20"/>
                <w:lang w:eastAsia="en-AU"/>
              </w:rPr>
              <w:t>(-3.54, -0.46)</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tcPr>
          <w:p w14:paraId="532EEE5E"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0.14</w:t>
            </w:r>
          </w:p>
          <w:p w14:paraId="4A7B6191"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F44B95">
              <w:rPr>
                <w:rFonts w:eastAsia="Times New Roman"/>
                <w:b/>
                <w:bCs/>
                <w:color w:val="000000"/>
                <w:sz w:val="20"/>
                <w:szCs w:val="20"/>
                <w:lang w:eastAsia="en-AU"/>
              </w:rPr>
              <w:t>(0.03, 0.63)</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7A5AD436"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428" w:right="564"/>
              <w:rPr>
                <w:rFonts w:eastAsia="Arial"/>
                <w:b/>
                <w:bCs/>
                <w:color w:val="000000"/>
                <w:sz w:val="20"/>
                <w:szCs w:val="20"/>
              </w:rPr>
            </w:pPr>
            <w:r w:rsidRPr="00F44B95">
              <w:rPr>
                <w:rFonts w:eastAsia="Times New Roman"/>
                <w:b/>
                <w:bCs/>
                <w:color w:val="000000"/>
                <w:sz w:val="20"/>
                <w:szCs w:val="20"/>
                <w:lang w:eastAsia="en-AU"/>
              </w:rPr>
              <w:t xml:space="preserve">Fox occurrence lower in </w:t>
            </w:r>
            <w:r w:rsidRPr="00F44B95">
              <w:rPr>
                <w:rFonts w:eastAsia="Times New Roman"/>
                <w:b/>
                <w:bCs/>
                <w:i/>
                <w:iCs/>
                <w:color w:val="000000"/>
                <w:sz w:val="20"/>
                <w:szCs w:val="20"/>
                <w:lang w:eastAsia="en-AU"/>
              </w:rPr>
              <w:t>Core</w:t>
            </w:r>
            <w:r w:rsidRPr="00F44B95">
              <w:rPr>
                <w:rFonts w:eastAsia="Times New Roman"/>
                <w:b/>
                <w:bCs/>
                <w:color w:val="000000"/>
                <w:sz w:val="20"/>
                <w:szCs w:val="20"/>
                <w:lang w:eastAsia="en-AU"/>
              </w:rPr>
              <w:t xml:space="preserve"> zone than </w:t>
            </w:r>
            <w:r w:rsidRPr="00F44B95">
              <w:rPr>
                <w:rFonts w:eastAsia="Times New Roman"/>
                <w:b/>
                <w:bCs/>
                <w:i/>
                <w:iCs/>
                <w:color w:val="000000"/>
                <w:sz w:val="20"/>
                <w:szCs w:val="20"/>
                <w:lang w:eastAsia="en-AU"/>
              </w:rPr>
              <w:t>Expansion</w:t>
            </w:r>
            <w:r w:rsidRPr="00F44B95">
              <w:rPr>
                <w:rFonts w:eastAsia="Times New Roman"/>
                <w:b/>
                <w:bCs/>
                <w:color w:val="000000"/>
                <w:sz w:val="20"/>
                <w:szCs w:val="20"/>
                <w:lang w:eastAsia="en-AU"/>
              </w:rPr>
              <w:t xml:space="preserve"> zone (82% lower odds in Core)</w:t>
            </w:r>
          </w:p>
        </w:tc>
      </w:tr>
      <w:tr w:rsidR="00F44B95" w:rsidRPr="00D50CA1" w14:paraId="38109958"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B3465BA"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Trend in Core</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tcPr>
          <w:p w14:paraId="042F7A39"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-0.22</w:t>
            </w:r>
          </w:p>
          <w:p w14:paraId="2C709488"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F44B95">
              <w:rPr>
                <w:rFonts w:eastAsia="Times New Roman"/>
                <w:b/>
                <w:bCs/>
                <w:color w:val="000000"/>
                <w:sz w:val="20"/>
                <w:szCs w:val="20"/>
                <w:lang w:eastAsia="en-AU"/>
              </w:rPr>
              <w:t>(-0.39, -0.05)</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tcPr>
          <w:p w14:paraId="75FEE53E"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0.80</w:t>
            </w:r>
          </w:p>
          <w:p w14:paraId="4EAD726F"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b/>
                <w:bCs/>
                <w:color w:val="000000"/>
                <w:sz w:val="20"/>
                <w:szCs w:val="20"/>
              </w:rPr>
            </w:pPr>
            <w:r w:rsidRPr="00F44B95">
              <w:rPr>
                <w:rFonts w:eastAsia="Times New Roman"/>
                <w:b/>
                <w:bCs/>
                <w:color w:val="000000"/>
                <w:sz w:val="20"/>
                <w:szCs w:val="20"/>
                <w:lang w:eastAsia="en-AU"/>
              </w:rPr>
              <w:t>(0.67, 0.95)</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6F0BF05A"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Arial"/>
                <w:b/>
                <w:bCs/>
                <w:color w:val="000000"/>
                <w:sz w:val="20"/>
                <w:szCs w:val="20"/>
              </w:rPr>
            </w:pPr>
            <w:r w:rsidRPr="00F44B95">
              <w:rPr>
                <w:rFonts w:eastAsia="Times New Roman"/>
                <w:b/>
                <w:bCs/>
                <w:color w:val="000000"/>
                <w:sz w:val="20"/>
                <w:szCs w:val="20"/>
                <w:lang w:eastAsia="en-AU"/>
              </w:rPr>
              <w:t xml:space="preserve">Negative trend (-22% p.a.) in occurrence in the </w:t>
            </w:r>
            <w:r w:rsidRPr="00F44B95">
              <w:rPr>
                <w:rFonts w:eastAsia="Times New Roman"/>
                <w:b/>
                <w:bCs/>
                <w:i/>
                <w:iCs/>
                <w:color w:val="000000"/>
                <w:sz w:val="20"/>
                <w:szCs w:val="20"/>
                <w:lang w:eastAsia="en-AU"/>
              </w:rPr>
              <w:t>Core</w:t>
            </w:r>
            <w:r w:rsidRPr="00F44B95">
              <w:rPr>
                <w:rFonts w:eastAsia="Times New Roman"/>
                <w:b/>
                <w:bCs/>
                <w:color w:val="000000"/>
                <w:sz w:val="20"/>
                <w:szCs w:val="20"/>
                <w:lang w:eastAsia="en-AU"/>
              </w:rPr>
              <w:t xml:space="preserve"> zone</w:t>
            </w:r>
          </w:p>
        </w:tc>
      </w:tr>
      <w:tr w:rsidR="00F44B95" w:rsidRPr="00D50CA1" w14:paraId="5E1C1842"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6FD78721"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sidRPr="00EB2558">
              <w:rPr>
                <w:sz w:val="20"/>
                <w:szCs w:val="20"/>
              </w:rPr>
              <w:t xml:space="preserve">Trend in </w:t>
            </w:r>
            <w:r>
              <w:rPr>
                <w:sz w:val="20"/>
                <w:szCs w:val="20"/>
              </w:rPr>
              <w:t>Exp</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tcPr>
          <w:p w14:paraId="3A67E5BD"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-0.13</w:t>
            </w:r>
          </w:p>
          <w:p w14:paraId="3EE55B1A"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(-0.24, -0.03)</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tcPr>
          <w:p w14:paraId="7FE4CD4F"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0.88</w:t>
            </w:r>
          </w:p>
          <w:p w14:paraId="07A539E0"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rPr>
            </w:pPr>
            <w:r w:rsidRPr="00F44B95">
              <w:rPr>
                <w:rFonts w:eastAsia="Times New Roman"/>
                <w:b/>
                <w:bCs/>
                <w:color w:val="000000"/>
                <w:sz w:val="20"/>
                <w:szCs w:val="20"/>
                <w:lang w:eastAsia="en-AU"/>
              </w:rPr>
              <w:t>(0.79, 0.97)</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68AA08AF"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Times New Roman"/>
                <w:b/>
                <w:bCs/>
                <w:color w:val="000000"/>
                <w:sz w:val="20"/>
                <w:szCs w:val="20"/>
              </w:rPr>
            </w:pPr>
            <w:r w:rsidRPr="00F44B95">
              <w:rPr>
                <w:rFonts w:eastAsia="Times New Roman"/>
                <w:b/>
                <w:bCs/>
                <w:color w:val="000000"/>
                <w:sz w:val="20"/>
                <w:szCs w:val="20"/>
                <w:lang w:eastAsia="en-AU"/>
              </w:rPr>
              <w:t xml:space="preserve">Negative trend (-13% p.a.) in occurrence in the </w:t>
            </w:r>
            <w:r w:rsidRPr="00F44B95">
              <w:rPr>
                <w:rFonts w:eastAsia="Times New Roman"/>
                <w:b/>
                <w:bCs/>
                <w:i/>
                <w:iCs/>
                <w:color w:val="000000"/>
                <w:sz w:val="20"/>
                <w:szCs w:val="20"/>
                <w:lang w:eastAsia="en-AU"/>
              </w:rPr>
              <w:t>Expansion</w:t>
            </w:r>
            <w:r w:rsidRPr="00F44B95">
              <w:rPr>
                <w:rFonts w:eastAsia="Times New Roman"/>
                <w:b/>
                <w:bCs/>
                <w:color w:val="000000"/>
                <w:sz w:val="20"/>
                <w:szCs w:val="20"/>
                <w:lang w:eastAsia="en-AU"/>
              </w:rPr>
              <w:t xml:space="preserve"> zone</w:t>
            </w:r>
          </w:p>
        </w:tc>
      </w:tr>
      <w:tr w:rsidR="00F44B95" w:rsidRPr="00D50CA1" w14:paraId="53A6413C"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76DB9163"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Pr>
                <w:rFonts w:eastAsia="Calibri"/>
                <w:sz w:val="20"/>
                <w:szCs w:val="20"/>
              </w:rPr>
              <w:t>Difference between Core and Exp</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tcPr>
          <w:p w14:paraId="60657501"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09</w:t>
            </w:r>
          </w:p>
          <w:p w14:paraId="2F4692E3"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07</w:t>
            </w:r>
            <w:r w:rsidRPr="009A6091">
              <w:rPr>
                <w:rFonts w:eastAsia="Times New Roman"/>
                <w:color w:val="000000"/>
                <w:sz w:val="20"/>
                <w:szCs w:val="20"/>
                <w:lang w:eastAsia="en-AU"/>
              </w:rPr>
              <w:t>, 0.</w:t>
            </w:r>
            <w:r>
              <w:rPr>
                <w:rFonts w:eastAsia="Times New Roman"/>
                <w:color w:val="000000"/>
                <w:sz w:val="20"/>
                <w:szCs w:val="20"/>
                <w:lang w:eastAsia="en-AU"/>
              </w:rPr>
              <w:t>26</w:t>
            </w:r>
            <w:r w:rsidRPr="009A6091">
              <w:rPr>
                <w:rFonts w:eastAsia="Times New Roman"/>
                <w:color w:val="000000"/>
                <w:sz w:val="20"/>
                <w:szCs w:val="20"/>
                <w:lang w:eastAsia="en-AU"/>
              </w:rPr>
              <w:t>)</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tcPr>
          <w:p w14:paraId="417DDB0B"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1.0</w:t>
            </w:r>
            <w:r>
              <w:rPr>
                <w:rFonts w:eastAsia="Times New Roman"/>
                <w:color w:val="000000"/>
                <w:sz w:val="20"/>
                <w:szCs w:val="20"/>
                <w:lang w:eastAsia="en-AU"/>
              </w:rPr>
              <w:t>9</w:t>
            </w:r>
          </w:p>
          <w:p w14:paraId="144900E7"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93</w:t>
            </w:r>
            <w:r w:rsidRPr="009A6091">
              <w:rPr>
                <w:rFonts w:eastAsia="Times New Roman"/>
                <w:color w:val="000000"/>
                <w:sz w:val="20"/>
                <w:szCs w:val="20"/>
                <w:lang w:eastAsia="en-AU"/>
              </w:rPr>
              <w:t>, 1.</w:t>
            </w:r>
            <w:r>
              <w:rPr>
                <w:rFonts w:eastAsia="Times New Roman"/>
                <w:color w:val="000000"/>
                <w:sz w:val="20"/>
                <w:szCs w:val="20"/>
                <w:lang w:eastAsia="en-AU"/>
              </w:rPr>
              <w:t>29</w:t>
            </w:r>
            <w:r w:rsidRPr="009A6091">
              <w:rPr>
                <w:rFonts w:eastAsia="Times New Roman"/>
                <w:color w:val="000000"/>
                <w:sz w:val="20"/>
                <w:szCs w:val="20"/>
                <w:lang w:eastAsia="en-AU"/>
              </w:rPr>
              <w:t>)</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4FB45178"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Times New Roman"/>
                <w:color w:val="000000"/>
                <w:sz w:val="20"/>
                <w:szCs w:val="20"/>
              </w:rPr>
            </w:pPr>
            <w:r w:rsidRPr="009A6091">
              <w:rPr>
                <w:rFonts w:eastAsia="Times New Roman"/>
                <w:color w:val="000000"/>
                <w:sz w:val="20"/>
                <w:szCs w:val="20"/>
                <w:lang w:eastAsia="en-AU"/>
              </w:rPr>
              <w:t xml:space="preserve">No clear difference in trends </w:t>
            </w:r>
            <w:r>
              <w:rPr>
                <w:rFonts w:eastAsia="Times New Roman"/>
                <w:color w:val="000000"/>
                <w:sz w:val="20"/>
                <w:szCs w:val="20"/>
                <w:lang w:eastAsia="en-AU"/>
              </w:rPr>
              <w:t xml:space="preserve">in occurrence </w:t>
            </w:r>
            <w:r w:rsidRPr="009A6091">
              <w:rPr>
                <w:rFonts w:eastAsia="Times New Roman"/>
                <w:color w:val="000000"/>
                <w:sz w:val="20"/>
                <w:szCs w:val="20"/>
                <w:lang w:eastAsia="en-AU"/>
              </w:rPr>
              <w:t xml:space="preserve">between </w:t>
            </w:r>
            <w:r w:rsidRPr="003400D1">
              <w:rPr>
                <w:rFonts w:eastAsia="Times New Roman"/>
                <w:i/>
                <w:iCs/>
                <w:color w:val="000000"/>
                <w:sz w:val="20"/>
                <w:szCs w:val="20"/>
                <w:lang w:eastAsia="en-AU"/>
              </w:rPr>
              <w:t>Core</w:t>
            </w:r>
            <w:r w:rsidRPr="009A6091">
              <w:rPr>
                <w:rFonts w:eastAsia="Times New Roman"/>
                <w:color w:val="000000"/>
                <w:sz w:val="20"/>
                <w:szCs w:val="20"/>
                <w:lang w:eastAsia="en-AU"/>
              </w:rPr>
              <w:t xml:space="preserve"> and </w:t>
            </w:r>
            <w:r w:rsidRPr="003400D1">
              <w:rPr>
                <w:rFonts w:eastAsia="Times New Roman"/>
                <w:i/>
                <w:iCs/>
                <w:color w:val="000000"/>
                <w:sz w:val="20"/>
                <w:szCs w:val="20"/>
                <w:lang w:eastAsia="en-AU"/>
              </w:rPr>
              <w:t>Expansion</w:t>
            </w:r>
            <w:r>
              <w:rPr>
                <w:rFonts w:eastAsia="Times New Roman"/>
                <w:color w:val="000000"/>
                <w:sz w:val="20"/>
                <w:szCs w:val="20"/>
                <w:lang w:eastAsia="en-AU"/>
              </w:rPr>
              <w:t xml:space="preserve"> zones</w:t>
            </w:r>
            <w:r w:rsidRPr="009A6091">
              <w:rPr>
                <w:rFonts w:eastAsia="Times New Roman"/>
                <w:color w:val="000000"/>
                <w:sz w:val="20"/>
                <w:szCs w:val="20"/>
                <w:lang w:eastAsia="en-AU"/>
              </w:rPr>
              <w:t xml:space="preserve"> </w:t>
            </w:r>
          </w:p>
        </w:tc>
      </w:tr>
      <w:tr w:rsidR="00F44B95" w:rsidRPr="00D50CA1" w14:paraId="529912BE"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2C217011" w14:textId="77777777" w:rsidR="00F44B95"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Cs w:val="20"/>
              </w:rPr>
            </w:pPr>
            <w:r>
              <w:rPr>
                <w:rFonts w:eastAsia="Calibri"/>
                <w:sz w:val="20"/>
                <w:szCs w:val="20"/>
              </w:rPr>
              <w:t>Change after baiting in Exp</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tcPr>
          <w:p w14:paraId="19D50AC7"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24</w:t>
            </w:r>
          </w:p>
          <w:p w14:paraId="1D0B3C87"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9A6091">
              <w:rPr>
                <w:rFonts w:eastAsia="Times New Roman"/>
                <w:color w:val="000000"/>
                <w:sz w:val="20"/>
                <w:szCs w:val="20"/>
                <w:lang w:eastAsia="en-AU"/>
              </w:rPr>
              <w:t>(-</w:t>
            </w:r>
            <w:r>
              <w:rPr>
                <w:rFonts w:eastAsia="Times New Roman"/>
                <w:color w:val="000000"/>
                <w:sz w:val="20"/>
                <w:szCs w:val="20"/>
                <w:lang w:eastAsia="en-AU"/>
              </w:rPr>
              <w:t>0.43</w:t>
            </w:r>
            <w:r w:rsidRPr="009A6091">
              <w:rPr>
                <w:rFonts w:eastAsia="Times New Roman"/>
                <w:color w:val="000000"/>
                <w:sz w:val="20"/>
                <w:szCs w:val="20"/>
                <w:lang w:eastAsia="en-AU"/>
              </w:rPr>
              <w:t xml:space="preserve">, </w:t>
            </w:r>
            <w:r>
              <w:rPr>
                <w:rFonts w:eastAsia="Times New Roman"/>
                <w:color w:val="000000"/>
                <w:sz w:val="20"/>
                <w:szCs w:val="20"/>
                <w:lang w:eastAsia="en-AU"/>
              </w:rPr>
              <w:t>1.10</w:t>
            </w:r>
            <w:r w:rsidRPr="009A6091">
              <w:rPr>
                <w:rFonts w:eastAsia="Times New Roman"/>
                <w:color w:val="000000"/>
                <w:sz w:val="20"/>
                <w:szCs w:val="20"/>
                <w:lang w:eastAsia="en-AU"/>
              </w:rPr>
              <w:t>)</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tcPr>
          <w:p w14:paraId="531DBE6A"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1.27</w:t>
            </w:r>
          </w:p>
          <w:p w14:paraId="371ECB44"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9A6091">
              <w:rPr>
                <w:rFonts w:eastAsia="Times New Roman"/>
                <w:color w:val="000000"/>
                <w:sz w:val="20"/>
                <w:szCs w:val="20"/>
                <w:lang w:eastAsia="en-AU"/>
              </w:rPr>
              <w:t>(0.</w:t>
            </w:r>
            <w:r>
              <w:rPr>
                <w:rFonts w:eastAsia="Times New Roman"/>
                <w:color w:val="000000"/>
                <w:sz w:val="20"/>
                <w:szCs w:val="20"/>
                <w:lang w:eastAsia="en-AU"/>
              </w:rPr>
              <w:t>65</w:t>
            </w:r>
            <w:r w:rsidRPr="009A6091">
              <w:rPr>
                <w:rFonts w:eastAsia="Times New Roman"/>
                <w:color w:val="000000"/>
                <w:sz w:val="20"/>
                <w:szCs w:val="20"/>
                <w:lang w:eastAsia="en-AU"/>
              </w:rPr>
              <w:t xml:space="preserve">, </w:t>
            </w:r>
            <w:r>
              <w:rPr>
                <w:rFonts w:eastAsia="Times New Roman"/>
                <w:color w:val="000000"/>
                <w:sz w:val="20"/>
                <w:szCs w:val="20"/>
                <w:lang w:eastAsia="en-AU"/>
              </w:rPr>
              <w:t>3.00</w:t>
            </w:r>
            <w:r w:rsidRPr="009A6091">
              <w:rPr>
                <w:rFonts w:eastAsia="Times New Roman"/>
                <w:color w:val="000000"/>
                <w:sz w:val="20"/>
                <w:szCs w:val="20"/>
                <w:lang w:eastAsia="en-AU"/>
              </w:rPr>
              <w:t>)</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3368B29D"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418" w:right="564"/>
              <w:rPr>
                <w:color w:val="000000"/>
                <w:szCs w:val="20"/>
                <w:lang w:eastAsia="en-AU"/>
              </w:rPr>
            </w:pPr>
            <w:r w:rsidRPr="009A6091">
              <w:rPr>
                <w:rFonts w:eastAsia="Times New Roman"/>
                <w:color w:val="000000"/>
                <w:sz w:val="20"/>
                <w:szCs w:val="20"/>
                <w:lang w:eastAsia="en-AU"/>
              </w:rPr>
              <w:t xml:space="preserve">No </w:t>
            </w:r>
            <w:r>
              <w:rPr>
                <w:rFonts w:eastAsia="Times New Roman"/>
                <w:color w:val="000000"/>
                <w:sz w:val="20"/>
                <w:szCs w:val="20"/>
                <w:lang w:eastAsia="en-AU"/>
              </w:rPr>
              <w:t>clear change in Expansion zone trend after 2021.</w:t>
            </w:r>
          </w:p>
        </w:tc>
      </w:tr>
      <w:tr w:rsidR="00F44B95" w:rsidRPr="00D50CA1" w14:paraId="6506E544" w14:textId="77777777" w:rsidTr="000F390E">
        <w:tc>
          <w:tcPr>
            <w:tcW w:w="9782" w:type="dxa"/>
            <w:gridSpan w:val="4"/>
            <w:tcBorders>
              <w:top w:val="single" w:sz="2" w:space="0" w:color="002060"/>
              <w:bottom w:val="single" w:sz="2" w:space="0" w:color="002060"/>
            </w:tcBorders>
            <w:shd w:val="clear" w:color="auto" w:fill="FFFFFF"/>
            <w:tcMar>
              <w:top w:w="0" w:type="dxa"/>
              <w:left w:w="0" w:type="dxa"/>
              <w:bottom w:w="0" w:type="dxa"/>
              <w:right w:w="0" w:type="dxa"/>
            </w:tcMar>
          </w:tcPr>
          <w:p w14:paraId="5570D777"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42" w:right="564"/>
              <w:rPr>
                <w:color w:val="000000"/>
                <w:szCs w:val="20"/>
                <w:lang w:eastAsia="en-AU"/>
              </w:rPr>
            </w:pPr>
            <w:r>
              <w:rPr>
                <w:rFonts w:eastAsia="Times New Roman"/>
                <w:b/>
                <w:bCs/>
                <w:i/>
                <w:iCs/>
                <w:color w:val="000000"/>
                <w:sz w:val="20"/>
                <w:szCs w:val="20"/>
                <w:lang w:eastAsia="en-AU"/>
              </w:rPr>
              <w:t xml:space="preserve">B: </w:t>
            </w:r>
            <w:r w:rsidRPr="009A6091">
              <w:rPr>
                <w:rFonts w:eastAsia="Times New Roman"/>
                <w:b/>
                <w:bCs/>
                <w:i/>
                <w:iCs/>
                <w:color w:val="000000"/>
                <w:sz w:val="20"/>
                <w:szCs w:val="20"/>
                <w:lang w:eastAsia="en-AU"/>
              </w:rPr>
              <w:t>Best-supported Model</w:t>
            </w:r>
            <w:r w:rsidRPr="002D7F2C">
              <w:rPr>
                <w:rFonts w:eastAsia="Times New Roman"/>
                <w:b/>
                <w:bCs/>
                <w:i/>
                <w:iCs/>
                <w:color w:val="000000"/>
                <w:sz w:val="20"/>
                <w:szCs w:val="20"/>
                <w:vertAlign w:val="superscript"/>
                <w:lang w:eastAsia="en-AU"/>
              </w:rPr>
              <w:t>2</w:t>
            </w:r>
          </w:p>
        </w:tc>
      </w:tr>
      <w:tr w:rsidR="00F44B95" w:rsidRPr="00D50CA1" w14:paraId="161481F9"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4965744" w14:textId="77777777" w:rsidR="00F44B95" w:rsidRPr="00030A9F"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030A9F">
              <w:rPr>
                <w:sz w:val="20"/>
                <w:szCs w:val="20"/>
              </w:rPr>
              <w:t>Difference between baited &amp; unbaited</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269EA552"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F44B95">
              <w:rPr>
                <w:rFonts w:eastAsia="Times New Roman"/>
                <w:b/>
                <w:bCs/>
                <w:color w:val="000000"/>
                <w:sz w:val="20"/>
                <w:szCs w:val="20"/>
                <w:lang w:eastAsia="en-AU"/>
              </w:rPr>
              <w:t xml:space="preserve">-2.12 </w:t>
            </w:r>
          </w:p>
          <w:p w14:paraId="2F38F78F"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F44B95">
              <w:rPr>
                <w:rFonts w:eastAsia="Times New Roman"/>
                <w:b/>
                <w:bCs/>
                <w:color w:val="000000"/>
                <w:sz w:val="20"/>
                <w:szCs w:val="20"/>
                <w:lang w:eastAsia="en-AU"/>
              </w:rPr>
              <w:t>(-3.39, -0.98)</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77DE857"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F44B95">
              <w:rPr>
                <w:rFonts w:eastAsia="Times New Roman"/>
                <w:b/>
                <w:bCs/>
                <w:color w:val="000000"/>
                <w:sz w:val="20"/>
                <w:szCs w:val="20"/>
                <w:lang w:eastAsia="en-AU"/>
              </w:rPr>
              <w:t>0.12</w:t>
            </w:r>
          </w:p>
          <w:p w14:paraId="74471EB4"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F44B95">
              <w:rPr>
                <w:rFonts w:eastAsia="Times New Roman"/>
                <w:b/>
                <w:bCs/>
                <w:color w:val="000000"/>
                <w:sz w:val="20"/>
                <w:szCs w:val="20"/>
                <w:lang w:eastAsia="en-AU"/>
              </w:rPr>
              <w:t>(0.03, 0.38)</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6771DC12"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428" w:right="564"/>
              <w:rPr>
                <w:rFonts w:eastAsia="Arial"/>
                <w:b/>
                <w:bCs/>
                <w:color w:val="000000"/>
                <w:sz w:val="20"/>
                <w:szCs w:val="20"/>
              </w:rPr>
            </w:pPr>
            <w:r w:rsidRPr="00F44B95">
              <w:rPr>
                <w:rFonts w:eastAsia="Times New Roman"/>
                <w:b/>
                <w:bCs/>
                <w:color w:val="000000"/>
                <w:sz w:val="20"/>
                <w:szCs w:val="20"/>
                <w:lang w:eastAsia="en-AU"/>
              </w:rPr>
              <w:t>Fox occurrence lower at baited sites (90% lower at mean FAPAR value).</w:t>
            </w:r>
          </w:p>
        </w:tc>
      </w:tr>
      <w:tr w:rsidR="00F44B95" w:rsidRPr="00D50CA1" w14:paraId="3C1A7298"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2BCAE25C" w14:textId="77777777" w:rsidR="00F44B95" w:rsidRPr="00030A9F"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030A9F">
              <w:rPr>
                <w:sz w:val="20"/>
                <w:szCs w:val="20"/>
              </w:rPr>
              <w:t>FAPAR and baited sites</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215AA00B"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F44B95">
              <w:rPr>
                <w:rFonts w:eastAsia="Times New Roman"/>
                <w:b/>
                <w:bCs/>
                <w:color w:val="000000"/>
                <w:sz w:val="20"/>
                <w:szCs w:val="20"/>
                <w:lang w:eastAsia="en-AU"/>
              </w:rPr>
              <w:t>-2.03</w:t>
            </w:r>
          </w:p>
          <w:p w14:paraId="2CBA7773"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F44B95">
              <w:rPr>
                <w:rFonts w:eastAsia="Times New Roman"/>
                <w:b/>
                <w:bCs/>
                <w:color w:val="000000"/>
                <w:sz w:val="20"/>
                <w:szCs w:val="20"/>
                <w:lang w:eastAsia="en-AU"/>
              </w:rPr>
              <w:t>(-31 -1.15)</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08854C20"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F44B95">
              <w:rPr>
                <w:rFonts w:eastAsia="Times New Roman"/>
                <w:b/>
                <w:bCs/>
                <w:color w:val="000000"/>
                <w:sz w:val="20"/>
                <w:szCs w:val="20"/>
                <w:lang w:eastAsia="en-AU"/>
              </w:rPr>
              <w:t>0.13</w:t>
            </w:r>
          </w:p>
          <w:p w14:paraId="7CC616D4"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F44B95">
              <w:rPr>
                <w:rFonts w:eastAsia="Times New Roman"/>
                <w:b/>
                <w:bCs/>
                <w:color w:val="000000"/>
                <w:sz w:val="20"/>
                <w:szCs w:val="20"/>
                <w:lang w:eastAsia="en-AU"/>
              </w:rPr>
              <w:t>(0.04, 0.32)</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5666AD7D"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418" w:right="564"/>
              <w:rPr>
                <w:b/>
                <w:bCs/>
                <w:color w:val="000000"/>
                <w:szCs w:val="20"/>
                <w:lang w:eastAsia="en-AU"/>
              </w:rPr>
            </w:pPr>
            <w:r w:rsidRPr="00F44B95">
              <w:rPr>
                <w:rFonts w:eastAsia="Times New Roman"/>
                <w:b/>
                <w:bCs/>
                <w:color w:val="000000"/>
                <w:sz w:val="20"/>
                <w:szCs w:val="20"/>
                <w:lang w:eastAsia="en-AU"/>
              </w:rPr>
              <w:t>Fox occurrence declines sharply with increasing FAPAR</w:t>
            </w:r>
            <w:r w:rsidRPr="00F44B95">
              <w:rPr>
                <w:rFonts w:eastAsia="Times New Roman"/>
                <w:b/>
                <w:bCs/>
                <w:color w:val="000000"/>
                <w:sz w:val="20"/>
                <w:szCs w:val="20"/>
                <w:vertAlign w:val="superscript"/>
                <w:lang w:eastAsia="en-AU"/>
              </w:rPr>
              <w:t>1</w:t>
            </w:r>
            <w:r w:rsidRPr="00F44B95">
              <w:rPr>
                <w:rFonts w:eastAsia="Times New Roman"/>
                <w:b/>
                <w:bCs/>
                <w:color w:val="000000"/>
                <w:sz w:val="20"/>
                <w:szCs w:val="20"/>
                <w:lang w:eastAsia="en-AU"/>
              </w:rPr>
              <w:t xml:space="preserve"> value among baited sites.</w:t>
            </w:r>
          </w:p>
        </w:tc>
      </w:tr>
      <w:tr w:rsidR="00F44B95" w:rsidRPr="00D50CA1" w14:paraId="51AE2632"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DAB176B" w14:textId="77777777" w:rsidR="00F44B95" w:rsidRPr="00030A9F"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030A9F">
              <w:rPr>
                <w:sz w:val="20"/>
                <w:szCs w:val="20"/>
              </w:rPr>
              <w:t xml:space="preserve">FAPAR and </w:t>
            </w:r>
            <w:r>
              <w:rPr>
                <w:sz w:val="20"/>
                <w:szCs w:val="20"/>
              </w:rPr>
              <w:t>un</w:t>
            </w:r>
            <w:r w:rsidRPr="00030A9F">
              <w:rPr>
                <w:sz w:val="20"/>
                <w:szCs w:val="20"/>
              </w:rPr>
              <w:t>baited sites</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vAlign w:val="center"/>
          </w:tcPr>
          <w:p w14:paraId="07AE5AC9"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F44B95">
              <w:rPr>
                <w:rFonts w:eastAsia="Times New Roman"/>
                <w:b/>
                <w:bCs/>
                <w:color w:val="000000"/>
                <w:sz w:val="20"/>
                <w:szCs w:val="20"/>
                <w:lang w:eastAsia="en-AU"/>
              </w:rPr>
              <w:t>-0.55</w:t>
            </w:r>
          </w:p>
          <w:p w14:paraId="46DD8E9C"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F44B95">
              <w:rPr>
                <w:rFonts w:eastAsia="Times New Roman"/>
                <w:b/>
                <w:bCs/>
                <w:color w:val="000000"/>
                <w:sz w:val="20"/>
                <w:szCs w:val="20"/>
                <w:lang w:eastAsia="en-AU"/>
              </w:rPr>
              <w:t>(-1.05, -0.11)</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3CB4DC5A"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b/>
                <w:bCs/>
                <w:color w:val="000000"/>
                <w:sz w:val="20"/>
                <w:szCs w:val="20"/>
                <w:lang w:eastAsia="en-AU"/>
              </w:rPr>
            </w:pPr>
            <w:r w:rsidRPr="00F44B95">
              <w:rPr>
                <w:rFonts w:eastAsia="Times New Roman"/>
                <w:b/>
                <w:bCs/>
                <w:color w:val="000000"/>
                <w:sz w:val="20"/>
                <w:szCs w:val="20"/>
                <w:lang w:eastAsia="en-AU"/>
              </w:rPr>
              <w:t>0.58</w:t>
            </w:r>
          </w:p>
          <w:p w14:paraId="01762ED5"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b/>
                <w:bCs/>
                <w:color w:val="000000"/>
                <w:sz w:val="20"/>
                <w:szCs w:val="20"/>
                <w:lang w:eastAsia="en-AU"/>
              </w:rPr>
            </w:pPr>
            <w:r w:rsidRPr="00F44B95">
              <w:rPr>
                <w:rFonts w:eastAsia="Times New Roman"/>
                <w:b/>
                <w:bCs/>
                <w:color w:val="000000"/>
                <w:sz w:val="20"/>
                <w:szCs w:val="20"/>
                <w:lang w:eastAsia="en-AU"/>
              </w:rPr>
              <w:t>(0.35, 0.90)</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2DEF5575" w14:textId="77777777" w:rsidR="00F44B95" w:rsidRPr="00F44B95" w:rsidRDefault="00F44B95" w:rsidP="000F390E">
            <w:pPr>
              <w:pBdr>
                <w:top w:val="none" w:sz="0" w:space="0" w:color="000000"/>
                <w:left w:val="none" w:sz="0" w:space="0" w:color="000000"/>
                <w:bottom w:val="none" w:sz="0" w:space="0" w:color="000000"/>
                <w:right w:val="none" w:sz="0" w:space="0" w:color="000000"/>
              </w:pBdr>
              <w:spacing w:before="60" w:after="60"/>
              <w:ind w:left="418" w:right="564"/>
              <w:rPr>
                <w:b/>
                <w:bCs/>
                <w:color w:val="000000"/>
                <w:szCs w:val="20"/>
                <w:lang w:eastAsia="en-AU"/>
              </w:rPr>
            </w:pPr>
            <w:r w:rsidRPr="00F44B95">
              <w:rPr>
                <w:rFonts w:eastAsia="Times New Roman"/>
                <w:b/>
                <w:bCs/>
                <w:color w:val="000000"/>
                <w:sz w:val="20"/>
                <w:szCs w:val="20"/>
                <w:lang w:eastAsia="en-AU"/>
              </w:rPr>
              <w:t>Fox occurrence declines with increasing FAPAR</w:t>
            </w:r>
            <w:r w:rsidRPr="00F44B95">
              <w:rPr>
                <w:rFonts w:eastAsia="Times New Roman"/>
                <w:b/>
                <w:bCs/>
                <w:color w:val="000000"/>
                <w:sz w:val="20"/>
                <w:szCs w:val="20"/>
                <w:vertAlign w:val="superscript"/>
                <w:lang w:eastAsia="en-AU"/>
              </w:rPr>
              <w:t>1</w:t>
            </w:r>
            <w:r w:rsidRPr="00F44B95">
              <w:rPr>
                <w:rFonts w:eastAsia="Times New Roman"/>
                <w:b/>
                <w:bCs/>
                <w:color w:val="000000"/>
                <w:sz w:val="20"/>
                <w:szCs w:val="20"/>
                <w:lang w:eastAsia="en-AU"/>
              </w:rPr>
              <w:t xml:space="preserve"> value among unbaited sites.</w:t>
            </w:r>
          </w:p>
        </w:tc>
      </w:tr>
      <w:tr w:rsidR="00F44B95" w:rsidRPr="00D50CA1" w14:paraId="06C1B9B0" w14:textId="77777777" w:rsidTr="000F390E">
        <w:tc>
          <w:tcPr>
            <w:tcW w:w="9782" w:type="dxa"/>
            <w:gridSpan w:val="4"/>
            <w:tcBorders>
              <w:top w:val="single" w:sz="2" w:space="0" w:color="002060"/>
              <w:bottom w:val="single" w:sz="2" w:space="0" w:color="002060"/>
            </w:tcBorders>
            <w:shd w:val="clear" w:color="auto" w:fill="FFFFFF"/>
            <w:tcMar>
              <w:top w:w="0" w:type="dxa"/>
              <w:left w:w="0" w:type="dxa"/>
              <w:bottom w:w="0" w:type="dxa"/>
              <w:right w:w="0" w:type="dxa"/>
            </w:tcMar>
          </w:tcPr>
          <w:p w14:paraId="20FC3674" w14:textId="77777777" w:rsidR="00F44B95" w:rsidRPr="000375DF" w:rsidRDefault="00F44B95" w:rsidP="000F390E">
            <w:pPr>
              <w:pBdr>
                <w:top w:val="none" w:sz="0" w:space="0" w:color="000000"/>
                <w:left w:val="none" w:sz="0" w:space="0" w:color="000000"/>
                <w:bottom w:val="none" w:sz="0" w:space="0" w:color="000000"/>
                <w:right w:val="none" w:sz="0" w:space="0" w:color="000000"/>
              </w:pBdr>
              <w:spacing w:before="60" w:after="60"/>
              <w:ind w:left="142" w:right="564"/>
              <w:rPr>
                <w:color w:val="000000"/>
                <w:szCs w:val="20"/>
                <w:lang w:eastAsia="en-AU"/>
              </w:rPr>
            </w:pPr>
            <w:r w:rsidRPr="000375DF">
              <w:rPr>
                <w:b/>
                <w:bCs/>
                <w:i/>
                <w:iCs/>
                <w:sz w:val="20"/>
                <w:szCs w:val="20"/>
              </w:rPr>
              <w:t>C: Conditional Trend Model</w:t>
            </w:r>
          </w:p>
        </w:tc>
      </w:tr>
      <w:tr w:rsidR="00F44B95" w:rsidRPr="00D50CA1" w14:paraId="0B37624B"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50FD5B98" w14:textId="77777777" w:rsidR="00F44B95" w:rsidRPr="000A20B7"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Cs w:val="20"/>
              </w:rPr>
            </w:pPr>
            <w:r>
              <w:rPr>
                <w:sz w:val="20"/>
                <w:szCs w:val="20"/>
              </w:rPr>
              <w:t>Trend in Core</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tcPr>
          <w:p w14:paraId="22AFBB13"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0A20B7">
              <w:rPr>
                <w:color w:val="000000"/>
                <w:sz w:val="20"/>
                <w:szCs w:val="20"/>
                <w:lang w:eastAsia="en-AU"/>
              </w:rPr>
              <w:t>-0.04</w:t>
            </w:r>
          </w:p>
          <w:p w14:paraId="4AA88E1C"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0A20B7">
              <w:rPr>
                <w:color w:val="000000"/>
                <w:sz w:val="20"/>
                <w:szCs w:val="20"/>
                <w:lang w:eastAsia="en-AU"/>
              </w:rPr>
              <w:t>(-0.26, 0.20)</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tcPr>
          <w:p w14:paraId="3F60A994"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0A20B7">
              <w:rPr>
                <w:color w:val="000000"/>
                <w:sz w:val="20"/>
                <w:szCs w:val="20"/>
                <w:lang w:eastAsia="en-AU"/>
              </w:rPr>
              <w:t>0.96</w:t>
            </w:r>
          </w:p>
          <w:p w14:paraId="7A5671B2"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0A20B7">
              <w:rPr>
                <w:color w:val="000000"/>
                <w:sz w:val="20"/>
                <w:szCs w:val="20"/>
                <w:lang w:eastAsia="en-AU"/>
              </w:rPr>
              <w:t>(0.77,1.22)</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6154BF2F"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418" w:right="564"/>
              <w:rPr>
                <w:color w:val="000000"/>
                <w:szCs w:val="20"/>
                <w:lang w:eastAsia="en-AU"/>
              </w:rPr>
            </w:pPr>
            <w:r w:rsidRPr="000A20B7">
              <w:rPr>
                <w:rFonts w:eastAsia="Times New Roman"/>
                <w:color w:val="000000"/>
                <w:sz w:val="20"/>
                <w:szCs w:val="20"/>
                <w:lang w:eastAsia="en-AU"/>
              </w:rPr>
              <w:t xml:space="preserve">No residual trend in </w:t>
            </w:r>
            <w:r w:rsidRPr="000A20B7">
              <w:rPr>
                <w:rFonts w:eastAsia="Times New Roman"/>
                <w:i/>
                <w:iCs/>
                <w:color w:val="000000"/>
                <w:sz w:val="20"/>
                <w:szCs w:val="20"/>
                <w:lang w:eastAsia="en-AU"/>
              </w:rPr>
              <w:t>Core</w:t>
            </w:r>
            <w:r w:rsidRPr="000A20B7">
              <w:rPr>
                <w:rFonts w:eastAsia="Times New Roman"/>
                <w:color w:val="000000"/>
                <w:sz w:val="20"/>
                <w:szCs w:val="20"/>
                <w:lang w:eastAsia="en-AU"/>
              </w:rPr>
              <w:t xml:space="preserve"> zone after controlling for FAPAR and Baiting</w:t>
            </w:r>
            <w:r w:rsidRPr="000A20B7">
              <w:rPr>
                <w:color w:val="000000"/>
                <w:szCs w:val="20"/>
                <w:lang w:eastAsia="en-AU"/>
              </w:rPr>
              <w:t xml:space="preserve"> </w:t>
            </w:r>
          </w:p>
        </w:tc>
      </w:tr>
      <w:tr w:rsidR="00F44B95" w:rsidRPr="00D50CA1" w14:paraId="79380E88" w14:textId="77777777" w:rsidTr="000F390E">
        <w:tc>
          <w:tcPr>
            <w:tcW w:w="1701" w:type="dxa"/>
            <w:tcBorders>
              <w:top w:val="single" w:sz="2" w:space="0" w:color="002060"/>
              <w:bottom w:val="single" w:sz="2" w:space="0" w:color="002060"/>
            </w:tcBorders>
            <w:shd w:val="clear" w:color="auto" w:fill="FFFFFF"/>
            <w:tcMar>
              <w:top w:w="0" w:type="dxa"/>
              <w:left w:w="0" w:type="dxa"/>
              <w:bottom w:w="0" w:type="dxa"/>
              <w:right w:w="0" w:type="dxa"/>
            </w:tcMar>
            <w:vAlign w:val="center"/>
          </w:tcPr>
          <w:p w14:paraId="66C28028" w14:textId="77777777" w:rsidR="00F44B95" w:rsidRPr="000A20B7"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Cs w:val="20"/>
              </w:rPr>
            </w:pPr>
            <w:r>
              <w:rPr>
                <w:sz w:val="20"/>
                <w:szCs w:val="20"/>
              </w:rPr>
              <w:t>Trend in Exp</w:t>
            </w:r>
          </w:p>
        </w:tc>
        <w:tc>
          <w:tcPr>
            <w:tcW w:w="1560" w:type="dxa"/>
            <w:tcBorders>
              <w:top w:val="single" w:sz="2" w:space="0" w:color="002060"/>
              <w:bottom w:val="single" w:sz="2" w:space="0" w:color="002060"/>
            </w:tcBorders>
            <w:shd w:val="clear" w:color="auto" w:fill="CCDBEA"/>
            <w:tcMar>
              <w:top w:w="0" w:type="dxa"/>
              <w:left w:w="0" w:type="dxa"/>
              <w:bottom w:w="0" w:type="dxa"/>
              <w:right w:w="0" w:type="dxa"/>
            </w:tcMar>
          </w:tcPr>
          <w:p w14:paraId="4EBB5F1D"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0A20B7">
              <w:rPr>
                <w:color w:val="000000"/>
                <w:sz w:val="20"/>
                <w:szCs w:val="20"/>
                <w:lang w:eastAsia="en-AU"/>
              </w:rPr>
              <w:t>-0.04</w:t>
            </w:r>
          </w:p>
          <w:p w14:paraId="053CBA8C"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0A20B7">
              <w:rPr>
                <w:color w:val="000000"/>
                <w:sz w:val="20"/>
                <w:szCs w:val="20"/>
                <w:lang w:eastAsia="en-AU"/>
              </w:rPr>
              <w:t>(-0.16, 0.08)</w:t>
            </w:r>
          </w:p>
        </w:tc>
        <w:tc>
          <w:tcPr>
            <w:tcW w:w="1842" w:type="dxa"/>
            <w:tcBorders>
              <w:top w:val="single" w:sz="2" w:space="0" w:color="002060"/>
              <w:bottom w:val="single" w:sz="2" w:space="0" w:color="002060"/>
            </w:tcBorders>
            <w:shd w:val="clear" w:color="auto" w:fill="FFFFFF"/>
            <w:tcMar>
              <w:top w:w="0" w:type="dxa"/>
              <w:left w:w="0" w:type="dxa"/>
              <w:bottom w:w="0" w:type="dxa"/>
              <w:right w:w="0" w:type="dxa"/>
            </w:tcMar>
          </w:tcPr>
          <w:p w14:paraId="05CD4CA1"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 w:val="20"/>
                <w:szCs w:val="20"/>
                <w:lang w:eastAsia="en-AU"/>
              </w:rPr>
            </w:pPr>
            <w:r w:rsidRPr="000A20B7">
              <w:rPr>
                <w:color w:val="000000"/>
                <w:sz w:val="20"/>
                <w:szCs w:val="20"/>
                <w:lang w:eastAsia="en-AU"/>
              </w:rPr>
              <w:t>0.94</w:t>
            </w:r>
          </w:p>
          <w:p w14:paraId="30015FB5"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color w:val="000000"/>
                <w:szCs w:val="20"/>
                <w:lang w:eastAsia="en-AU"/>
              </w:rPr>
            </w:pPr>
            <w:r w:rsidRPr="000A20B7">
              <w:rPr>
                <w:color w:val="000000"/>
                <w:sz w:val="20"/>
                <w:szCs w:val="20"/>
                <w:lang w:eastAsia="en-AU"/>
              </w:rPr>
              <w:t>(0.85, 1.08)</w:t>
            </w:r>
          </w:p>
        </w:tc>
        <w:tc>
          <w:tcPr>
            <w:tcW w:w="4679" w:type="dxa"/>
            <w:tcBorders>
              <w:top w:val="single" w:sz="2" w:space="0" w:color="002060"/>
              <w:bottom w:val="single" w:sz="2" w:space="0" w:color="002060"/>
            </w:tcBorders>
            <w:shd w:val="clear" w:color="auto" w:fill="CCDBEA"/>
            <w:tcMar>
              <w:top w:w="0" w:type="dxa"/>
              <w:left w:w="0" w:type="dxa"/>
              <w:bottom w:w="0" w:type="dxa"/>
              <w:right w:w="0" w:type="dxa"/>
            </w:tcMar>
          </w:tcPr>
          <w:p w14:paraId="3FC16477" w14:textId="77777777" w:rsidR="00F44B95" w:rsidRPr="000A20B7" w:rsidRDefault="00F44B95" w:rsidP="000F390E">
            <w:pPr>
              <w:pBdr>
                <w:top w:val="none" w:sz="0" w:space="0" w:color="000000"/>
                <w:left w:val="none" w:sz="0" w:space="0" w:color="000000"/>
                <w:bottom w:val="none" w:sz="0" w:space="0" w:color="000000"/>
                <w:right w:val="none" w:sz="0" w:space="0" w:color="000000"/>
              </w:pBdr>
              <w:spacing w:before="60" w:after="60"/>
              <w:ind w:left="418" w:right="564"/>
              <w:rPr>
                <w:color w:val="000000"/>
                <w:szCs w:val="20"/>
                <w:lang w:eastAsia="en-AU"/>
              </w:rPr>
            </w:pPr>
            <w:r w:rsidRPr="000A20B7">
              <w:rPr>
                <w:rFonts w:eastAsia="Times New Roman"/>
                <w:color w:val="000000"/>
                <w:sz w:val="20"/>
                <w:szCs w:val="20"/>
                <w:lang w:eastAsia="en-AU"/>
              </w:rPr>
              <w:t xml:space="preserve">No residual trend in </w:t>
            </w:r>
            <w:r w:rsidRPr="000A20B7">
              <w:rPr>
                <w:rFonts w:eastAsia="Times New Roman"/>
                <w:i/>
                <w:iCs/>
                <w:color w:val="000000"/>
                <w:sz w:val="20"/>
                <w:szCs w:val="20"/>
                <w:lang w:eastAsia="en-AU"/>
              </w:rPr>
              <w:t>Expansion</w:t>
            </w:r>
            <w:r w:rsidRPr="000A20B7">
              <w:rPr>
                <w:rFonts w:eastAsia="Times New Roman"/>
                <w:color w:val="000000"/>
                <w:sz w:val="20"/>
                <w:szCs w:val="20"/>
                <w:lang w:eastAsia="en-AU"/>
              </w:rPr>
              <w:t xml:space="preserve"> zone after controlling for FAPAR and Baiting</w:t>
            </w:r>
          </w:p>
        </w:tc>
      </w:tr>
    </w:tbl>
    <w:p w14:paraId="7692676C" w14:textId="77777777" w:rsidR="00F44B95" w:rsidRPr="00F05168" w:rsidRDefault="00F44B95" w:rsidP="00F44B95">
      <w:pPr>
        <w:pStyle w:val="Captionfootnote"/>
        <w:rPr>
          <w:rFonts w:ascii="Times New Roman" w:hAnsi="Times New Roman" w:cs="Times New Roman"/>
        </w:rPr>
      </w:pPr>
      <w:r w:rsidRPr="00F05168">
        <w:rPr>
          <w:rFonts w:ascii="Times New Roman" w:hAnsi="Times New Roman" w:cs="Times New Roman"/>
          <w:vertAlign w:val="superscript"/>
        </w:rPr>
        <w:t>1</w:t>
      </w:r>
      <w:r w:rsidRPr="00F05168">
        <w:rPr>
          <w:rFonts w:ascii="Times New Roman" w:hAnsi="Times New Roman" w:cs="Times New Roman"/>
        </w:rPr>
        <w:t>Conditional Odds Ratios (OR) are a way to compare the chances of a particular outcome (e.g., the occurrence of foxes) between two different groups (e.g., the Core vs the Expansion zone). We want to understand how the chances of foxes occurring differ between these two groups. To calculate the OR, we look at the probabilities of that event happening in both groups. For example, we can call the probability of foxes occurring in the Core zone "p1", and the probability in the Expansion zone "p0". The formula for the Conditional Odds Ratio is: OR = [p1 / (1-p1)] / [p0 / (1-p0)]. We assume all other factors (like different predictors or random spatial variations) are kept constant. For the continuous predictors, the variables can take different values, e.g., HDM values; we can use the OR to understand the impact of changing these values, for example, if one site has an HDM value of "x" and another with a slightly different value "x+σ_x" (where σ_x is the standard deviation of x); the ORx gives us the ratio of odds at these two sites. ORx-1 tells us the proportional change in odds associated with a change in the value of x equivalent to one standard deviation. The Conditional Odds Ratios help us compare the chances of something happening between different groups, times, or varying values of a specific variable. They give us insights into how one situation compares to another while considering other relevant factors.</w:t>
      </w:r>
    </w:p>
    <w:p w14:paraId="6996895A" w14:textId="77777777" w:rsidR="00F44B95" w:rsidRPr="00F05168" w:rsidRDefault="00F44B95" w:rsidP="00F44B95">
      <w:pPr>
        <w:pStyle w:val="Captionfootnote"/>
        <w:rPr>
          <w:rFonts w:ascii="Times New Roman" w:hAnsi="Times New Roman" w:cs="Times New Roman"/>
        </w:rPr>
      </w:pPr>
      <w:r w:rsidRPr="00F05168">
        <w:rPr>
          <w:rFonts w:ascii="Times New Roman" w:hAnsi="Times New Roman" w:cs="Times New Roman"/>
          <w:vertAlign w:val="superscript"/>
        </w:rPr>
        <w:t>2</w:t>
      </w:r>
      <w:r w:rsidRPr="00F05168">
        <w:rPr>
          <w:rFonts w:ascii="Times New Roman" w:hAnsi="Times New Roman" w:cs="Times New Roman"/>
        </w:rPr>
        <w:t xml:space="preserve">The interaction term was not supported in the variable selection model (Table A2) but was estimated with the full occupancy model accounting for detectability, and temporal and spatial structures in the data, to confirm the lack of interaction. The estimates for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baited</m:t>
            </m:r>
          </m:sub>
        </m:sSub>
      </m:oMath>
      <w:r w:rsidRPr="00F05168">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H</m:t>
            </m:r>
          </m:sub>
        </m:sSub>
      </m:oMath>
      <w:r w:rsidRPr="00F05168">
        <w:rPr>
          <w:rFonts w:ascii="Times New Roman" w:hAnsi="Times New Roman" w:cs="Times New Roman"/>
        </w:rPr>
        <w:t xml:space="preserve"> reported here are for the model with no interaction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B×H</m:t>
            </m:r>
          </m:sub>
        </m:sSub>
        <m:r>
          <w:rPr>
            <w:rFonts w:ascii="Cambria Math" w:hAnsi="Cambria Math" w:cs="Times New Roman"/>
          </w:rPr>
          <m:t>=0</m:t>
        </m:r>
      </m:oMath>
      <w:r w:rsidRPr="00F05168">
        <w:rPr>
          <w:rFonts w:ascii="Times New Roman" w:hAnsi="Times New Roman" w:cs="Times New Roman"/>
        </w:rPr>
        <w:t>).</w:t>
      </w:r>
    </w:p>
    <w:p w14:paraId="24652CDC" w14:textId="77777777" w:rsidR="00F44B95" w:rsidRPr="00F44B95" w:rsidRDefault="00F44B95" w:rsidP="00F44B95">
      <w:pPr>
        <w:rPr>
          <w:b/>
          <w:bCs/>
        </w:rPr>
      </w:pPr>
      <w:bookmarkStart w:id="121" w:name="_Ref191897651"/>
      <w:bookmarkStart w:id="122" w:name="_Toc144196519"/>
      <w:r w:rsidRPr="00F44B95">
        <w:rPr>
          <w:b/>
          <w:bCs/>
        </w:rPr>
        <w:lastRenderedPageBreak/>
        <w:t xml:space="preserve">Table </w:t>
      </w:r>
      <w:bookmarkEnd w:id="121"/>
      <w:r w:rsidRPr="00F44B95">
        <w:rPr>
          <w:b/>
          <w:bCs/>
        </w:rPr>
        <w:t>A6. Parameter estimates (posterior means and 95% credible intervals) and corresponding conditional odds ratios for the feral cats: Basic trend model for all years.</w:t>
      </w:r>
      <w:bookmarkEnd w:id="122"/>
    </w:p>
    <w:tbl>
      <w:tblPr>
        <w:tblStyle w:val="Table"/>
        <w:tblW w:w="9498" w:type="dxa"/>
        <w:tblBorders>
          <w:top w:val="single" w:sz="2" w:space="0" w:color="002060"/>
          <w:bottom w:val="single" w:sz="2" w:space="0" w:color="002060"/>
          <w:insideH w:val="single" w:sz="2" w:space="0" w:color="002060"/>
        </w:tblBorders>
        <w:tblLayout w:type="fixed"/>
        <w:tblLook w:val="0420" w:firstRow="1" w:lastRow="0" w:firstColumn="0" w:lastColumn="0" w:noHBand="0" w:noVBand="1"/>
      </w:tblPr>
      <w:tblGrid>
        <w:gridCol w:w="1276"/>
        <w:gridCol w:w="425"/>
        <w:gridCol w:w="1418"/>
        <w:gridCol w:w="1984"/>
        <w:gridCol w:w="4395"/>
      </w:tblGrid>
      <w:tr w:rsidR="00F44B95" w:rsidRPr="00D50CA1" w14:paraId="746E49B8" w14:textId="77777777" w:rsidTr="000F390E">
        <w:trPr>
          <w:cnfStyle w:val="100000000000" w:firstRow="1" w:lastRow="0" w:firstColumn="0" w:lastColumn="0" w:oddVBand="0" w:evenVBand="0" w:oddHBand="0" w:evenHBand="0" w:firstRowFirstColumn="0" w:firstRowLastColumn="0" w:lastRowFirstColumn="0" w:lastRowLastColumn="0"/>
          <w:tblHeader/>
        </w:trPr>
        <w:tc>
          <w:tcPr>
            <w:tcW w:w="1276" w:type="dxa"/>
            <w:tcBorders>
              <w:bottom w:val="none" w:sz="0" w:space="0" w:color="auto"/>
            </w:tcBorders>
            <w:shd w:val="clear" w:color="auto" w:fill="004C97"/>
            <w:tcMar>
              <w:top w:w="0" w:type="dxa"/>
              <w:left w:w="0" w:type="dxa"/>
              <w:bottom w:w="0" w:type="dxa"/>
              <w:right w:w="0" w:type="dxa"/>
            </w:tcMar>
            <w:vAlign w:val="top"/>
          </w:tcPr>
          <w:p w14:paraId="5876CA8A" w14:textId="77777777" w:rsidR="00F44B95" w:rsidRPr="009A6091" w:rsidRDefault="00F44B95" w:rsidP="000F390E">
            <w:pPr>
              <w:pStyle w:val="Tableheadingtext"/>
              <w:ind w:left="142"/>
              <w:jc w:val="center"/>
              <w:rPr>
                <w:bCs/>
                <w:sz w:val="20"/>
                <w:szCs w:val="20"/>
              </w:rPr>
            </w:pPr>
            <w:r w:rsidRPr="009A6091">
              <w:rPr>
                <w:bCs/>
                <w:sz w:val="20"/>
                <w:szCs w:val="20"/>
              </w:rPr>
              <w:t>Param</w:t>
            </w:r>
            <w:r>
              <w:rPr>
                <w:bCs/>
                <w:sz w:val="20"/>
                <w:szCs w:val="20"/>
              </w:rPr>
              <w:t>eter</w:t>
            </w:r>
          </w:p>
        </w:tc>
        <w:tc>
          <w:tcPr>
            <w:tcW w:w="1843" w:type="dxa"/>
            <w:gridSpan w:val="2"/>
            <w:tcBorders>
              <w:bottom w:val="none" w:sz="0" w:space="0" w:color="auto"/>
            </w:tcBorders>
            <w:shd w:val="clear" w:color="auto" w:fill="004C97"/>
            <w:tcMar>
              <w:top w:w="0" w:type="dxa"/>
              <w:left w:w="0" w:type="dxa"/>
              <w:bottom w:w="0" w:type="dxa"/>
              <w:right w:w="0" w:type="dxa"/>
            </w:tcMar>
            <w:vAlign w:val="top"/>
          </w:tcPr>
          <w:p w14:paraId="6044E912" w14:textId="77777777" w:rsidR="00F44B95" w:rsidRDefault="00F44B95" w:rsidP="000F390E">
            <w:pPr>
              <w:pStyle w:val="Tableheadingtext"/>
              <w:jc w:val="center"/>
              <w:rPr>
                <w:bCs/>
                <w:sz w:val="20"/>
                <w:szCs w:val="20"/>
              </w:rPr>
            </w:pPr>
            <w:r w:rsidRPr="009A6091">
              <w:rPr>
                <w:bCs/>
                <w:sz w:val="20"/>
                <w:szCs w:val="20"/>
              </w:rPr>
              <w:t>Estimate</w:t>
            </w:r>
          </w:p>
          <w:p w14:paraId="4EAE48AE" w14:textId="77777777" w:rsidR="00F44B95" w:rsidRPr="009A6091" w:rsidRDefault="00F44B95" w:rsidP="000F390E">
            <w:pPr>
              <w:pStyle w:val="Tableheadingtext"/>
              <w:jc w:val="center"/>
              <w:rPr>
                <w:bCs/>
                <w:sz w:val="20"/>
                <w:szCs w:val="20"/>
              </w:rPr>
            </w:pPr>
            <w:r w:rsidRPr="009A6091">
              <w:rPr>
                <w:bCs/>
                <w:sz w:val="20"/>
                <w:szCs w:val="20"/>
              </w:rPr>
              <w:t>(95% CI)</w:t>
            </w:r>
          </w:p>
        </w:tc>
        <w:tc>
          <w:tcPr>
            <w:tcW w:w="1984" w:type="dxa"/>
            <w:tcBorders>
              <w:bottom w:val="none" w:sz="0" w:space="0" w:color="auto"/>
            </w:tcBorders>
            <w:shd w:val="clear" w:color="auto" w:fill="004C97"/>
            <w:tcMar>
              <w:top w:w="0" w:type="dxa"/>
              <w:left w:w="0" w:type="dxa"/>
              <w:bottom w:w="0" w:type="dxa"/>
              <w:right w:w="0" w:type="dxa"/>
            </w:tcMar>
            <w:vAlign w:val="top"/>
          </w:tcPr>
          <w:p w14:paraId="0F271FB1" w14:textId="77777777" w:rsidR="00F44B95" w:rsidRDefault="00F44B95" w:rsidP="000F390E">
            <w:pPr>
              <w:pStyle w:val="Tableheadingtext"/>
              <w:jc w:val="center"/>
              <w:rPr>
                <w:bCs/>
                <w:sz w:val="20"/>
                <w:szCs w:val="20"/>
              </w:rPr>
            </w:pPr>
            <w:r w:rsidRPr="009A6091">
              <w:rPr>
                <w:bCs/>
                <w:sz w:val="20"/>
                <w:szCs w:val="20"/>
              </w:rPr>
              <w:t xml:space="preserve">Odds </w:t>
            </w:r>
            <w:r>
              <w:rPr>
                <w:bCs/>
                <w:sz w:val="20"/>
                <w:szCs w:val="20"/>
              </w:rPr>
              <w:t>r</w:t>
            </w:r>
            <w:r w:rsidRPr="009A6091">
              <w:rPr>
                <w:bCs/>
                <w:sz w:val="20"/>
                <w:szCs w:val="20"/>
              </w:rPr>
              <w:t>atio</w:t>
            </w:r>
          </w:p>
          <w:p w14:paraId="6AF79307" w14:textId="77777777" w:rsidR="00F44B95" w:rsidRPr="009A6091" w:rsidRDefault="00F44B95" w:rsidP="000F390E">
            <w:pPr>
              <w:pStyle w:val="Tableheadingtext"/>
              <w:jc w:val="center"/>
              <w:rPr>
                <w:bCs/>
                <w:sz w:val="20"/>
                <w:szCs w:val="20"/>
              </w:rPr>
            </w:pPr>
            <w:r w:rsidRPr="009A6091">
              <w:rPr>
                <w:bCs/>
                <w:sz w:val="20"/>
                <w:szCs w:val="20"/>
              </w:rPr>
              <w:t>(95% CI)</w:t>
            </w:r>
          </w:p>
        </w:tc>
        <w:tc>
          <w:tcPr>
            <w:tcW w:w="4395" w:type="dxa"/>
            <w:tcBorders>
              <w:bottom w:val="none" w:sz="0" w:space="0" w:color="auto"/>
            </w:tcBorders>
            <w:shd w:val="clear" w:color="auto" w:fill="004C97"/>
            <w:tcMar>
              <w:top w:w="0" w:type="dxa"/>
              <w:left w:w="0" w:type="dxa"/>
              <w:bottom w:w="0" w:type="dxa"/>
              <w:right w:w="0" w:type="dxa"/>
            </w:tcMar>
            <w:vAlign w:val="top"/>
          </w:tcPr>
          <w:p w14:paraId="36D0698E" w14:textId="77777777" w:rsidR="00F44B95" w:rsidRPr="009A6091" w:rsidRDefault="00F44B95" w:rsidP="000F390E">
            <w:pPr>
              <w:pStyle w:val="Tableheadingtext"/>
              <w:ind w:right="564"/>
              <w:jc w:val="center"/>
              <w:rPr>
                <w:bCs/>
                <w:sz w:val="20"/>
                <w:szCs w:val="20"/>
              </w:rPr>
            </w:pPr>
            <w:r w:rsidRPr="009A6091">
              <w:rPr>
                <w:bCs/>
                <w:sz w:val="20"/>
                <w:szCs w:val="20"/>
              </w:rPr>
              <w:t>Interpretation</w:t>
            </w:r>
          </w:p>
        </w:tc>
      </w:tr>
      <w:tr w:rsidR="00F44B95" w:rsidRPr="00D50CA1" w14:paraId="7FFC3FAA" w14:textId="77777777" w:rsidTr="000F390E">
        <w:tc>
          <w:tcPr>
            <w:tcW w:w="1701" w:type="dxa"/>
            <w:gridSpan w:val="2"/>
            <w:shd w:val="clear" w:color="auto" w:fill="FFFFFF"/>
            <w:tcMar>
              <w:top w:w="0" w:type="dxa"/>
              <w:left w:w="0" w:type="dxa"/>
              <w:bottom w:w="0" w:type="dxa"/>
              <w:right w:w="0" w:type="dxa"/>
            </w:tcMar>
            <w:vAlign w:val="center"/>
          </w:tcPr>
          <w:p w14:paraId="460F0F94"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Occupancy - Core v Exp</w:t>
            </w:r>
          </w:p>
        </w:tc>
        <w:tc>
          <w:tcPr>
            <w:tcW w:w="1418" w:type="dxa"/>
            <w:shd w:val="clear" w:color="auto" w:fill="CCDBEA"/>
            <w:tcMar>
              <w:top w:w="0" w:type="dxa"/>
              <w:left w:w="0" w:type="dxa"/>
              <w:bottom w:w="0" w:type="dxa"/>
              <w:right w:w="0" w:type="dxa"/>
            </w:tcMar>
          </w:tcPr>
          <w:p w14:paraId="4AD584CB"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0.93</w:t>
            </w:r>
          </w:p>
          <w:p w14:paraId="7C544C64"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0</w:t>
            </w:r>
            <w:r w:rsidRPr="009A6091">
              <w:rPr>
                <w:rFonts w:eastAsia="Times New Roman"/>
                <w:color w:val="000000"/>
                <w:sz w:val="20"/>
                <w:szCs w:val="20"/>
                <w:lang w:eastAsia="en-AU"/>
              </w:rPr>
              <w:t>.</w:t>
            </w:r>
            <w:r>
              <w:rPr>
                <w:rFonts w:eastAsia="Times New Roman"/>
                <w:color w:val="000000"/>
                <w:sz w:val="20"/>
                <w:szCs w:val="20"/>
                <w:lang w:eastAsia="en-AU"/>
              </w:rPr>
              <w:t>01</w:t>
            </w:r>
            <w:r w:rsidRPr="009A6091">
              <w:rPr>
                <w:rFonts w:eastAsia="Times New Roman"/>
                <w:color w:val="000000"/>
                <w:sz w:val="20"/>
                <w:szCs w:val="20"/>
                <w:lang w:eastAsia="en-AU"/>
              </w:rPr>
              <w:t xml:space="preserve">, </w:t>
            </w:r>
            <w:r>
              <w:rPr>
                <w:rFonts w:eastAsia="Times New Roman"/>
                <w:color w:val="000000"/>
                <w:sz w:val="20"/>
                <w:szCs w:val="20"/>
                <w:lang w:eastAsia="en-AU"/>
              </w:rPr>
              <w:t>2</w:t>
            </w:r>
            <w:r w:rsidRPr="009A6091">
              <w:rPr>
                <w:rFonts w:eastAsia="Times New Roman"/>
                <w:color w:val="000000"/>
                <w:sz w:val="20"/>
                <w:szCs w:val="20"/>
                <w:lang w:eastAsia="en-AU"/>
              </w:rPr>
              <w:t>.</w:t>
            </w:r>
            <w:r>
              <w:rPr>
                <w:rFonts w:eastAsia="Times New Roman"/>
                <w:color w:val="000000"/>
                <w:sz w:val="20"/>
                <w:szCs w:val="20"/>
                <w:lang w:eastAsia="en-AU"/>
              </w:rPr>
              <w:t>0</w:t>
            </w:r>
            <w:r w:rsidRPr="009A6091">
              <w:rPr>
                <w:rFonts w:eastAsia="Times New Roman"/>
                <w:color w:val="000000"/>
                <w:sz w:val="20"/>
                <w:szCs w:val="20"/>
                <w:lang w:eastAsia="en-AU"/>
              </w:rPr>
              <w:t>5)</w:t>
            </w:r>
          </w:p>
        </w:tc>
        <w:tc>
          <w:tcPr>
            <w:tcW w:w="1984" w:type="dxa"/>
            <w:shd w:val="clear" w:color="auto" w:fill="FFFFFF"/>
            <w:tcMar>
              <w:top w:w="0" w:type="dxa"/>
              <w:left w:w="0" w:type="dxa"/>
              <w:bottom w:w="0" w:type="dxa"/>
              <w:right w:w="0" w:type="dxa"/>
            </w:tcMar>
          </w:tcPr>
          <w:p w14:paraId="490380B4"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3.86</w:t>
            </w:r>
          </w:p>
          <w:p w14:paraId="266D5448"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A6091">
              <w:rPr>
                <w:rFonts w:eastAsia="Times New Roman"/>
                <w:color w:val="000000"/>
                <w:sz w:val="20"/>
                <w:szCs w:val="20"/>
                <w:lang w:eastAsia="en-AU"/>
              </w:rPr>
              <w:t>(0.79, 38.45)</w:t>
            </w:r>
          </w:p>
        </w:tc>
        <w:tc>
          <w:tcPr>
            <w:tcW w:w="4395" w:type="dxa"/>
            <w:shd w:val="clear" w:color="auto" w:fill="CCDBEA"/>
            <w:tcMar>
              <w:top w:w="0" w:type="dxa"/>
              <w:left w:w="0" w:type="dxa"/>
              <w:bottom w:w="0" w:type="dxa"/>
              <w:right w:w="0" w:type="dxa"/>
            </w:tcMar>
          </w:tcPr>
          <w:p w14:paraId="4B470E4B" w14:textId="77777777" w:rsidR="00F44B95" w:rsidRPr="008D1712"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Arial"/>
                <w:color w:val="000000"/>
                <w:sz w:val="20"/>
                <w:szCs w:val="20"/>
              </w:rPr>
            </w:pPr>
            <w:r>
              <w:rPr>
                <w:rFonts w:eastAsia="Times New Roman"/>
                <w:color w:val="000000"/>
                <w:sz w:val="20"/>
                <w:szCs w:val="20"/>
                <w:lang w:eastAsia="en-AU"/>
              </w:rPr>
              <w:t>No substantive difference in cat occurrence between Core and Expansion zones</w:t>
            </w:r>
          </w:p>
        </w:tc>
      </w:tr>
      <w:tr w:rsidR="00F44B95" w:rsidRPr="00D50CA1" w14:paraId="187EAD4E" w14:textId="77777777" w:rsidTr="000F390E">
        <w:tc>
          <w:tcPr>
            <w:tcW w:w="1701" w:type="dxa"/>
            <w:gridSpan w:val="2"/>
            <w:shd w:val="clear" w:color="auto" w:fill="FFFFFF"/>
            <w:tcMar>
              <w:top w:w="0" w:type="dxa"/>
              <w:left w:w="0" w:type="dxa"/>
              <w:bottom w:w="0" w:type="dxa"/>
              <w:right w:w="0" w:type="dxa"/>
            </w:tcMar>
            <w:vAlign w:val="center"/>
          </w:tcPr>
          <w:p w14:paraId="0B235698"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Trend in Core</w:t>
            </w:r>
          </w:p>
        </w:tc>
        <w:tc>
          <w:tcPr>
            <w:tcW w:w="1418" w:type="dxa"/>
            <w:shd w:val="clear" w:color="auto" w:fill="CCDBEA"/>
            <w:tcMar>
              <w:top w:w="0" w:type="dxa"/>
              <w:left w:w="0" w:type="dxa"/>
              <w:bottom w:w="0" w:type="dxa"/>
              <w:right w:w="0" w:type="dxa"/>
            </w:tcMar>
          </w:tcPr>
          <w:p w14:paraId="65BDC62E"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0.05</w:t>
            </w:r>
          </w:p>
          <w:p w14:paraId="3C68BF0F"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1.13</w:t>
            </w:r>
            <w:r w:rsidRPr="009A6091">
              <w:rPr>
                <w:rFonts w:eastAsia="Times New Roman"/>
                <w:color w:val="000000"/>
                <w:sz w:val="20"/>
                <w:szCs w:val="20"/>
                <w:lang w:eastAsia="en-AU"/>
              </w:rPr>
              <w:t xml:space="preserve">, </w:t>
            </w:r>
            <w:r>
              <w:rPr>
                <w:rFonts w:eastAsia="Times New Roman"/>
                <w:color w:val="000000"/>
                <w:sz w:val="20"/>
                <w:szCs w:val="20"/>
                <w:lang w:eastAsia="en-AU"/>
              </w:rPr>
              <w:t>0.21</w:t>
            </w:r>
            <w:r w:rsidRPr="009A6091">
              <w:rPr>
                <w:rFonts w:eastAsia="Times New Roman"/>
                <w:color w:val="000000"/>
                <w:sz w:val="20"/>
                <w:szCs w:val="20"/>
                <w:lang w:eastAsia="en-AU"/>
              </w:rPr>
              <w:t>)</w:t>
            </w:r>
          </w:p>
        </w:tc>
        <w:tc>
          <w:tcPr>
            <w:tcW w:w="1984" w:type="dxa"/>
            <w:shd w:val="clear" w:color="auto" w:fill="FFFFFF"/>
            <w:tcMar>
              <w:top w:w="0" w:type="dxa"/>
              <w:left w:w="0" w:type="dxa"/>
              <w:bottom w:w="0" w:type="dxa"/>
              <w:right w:w="0" w:type="dxa"/>
            </w:tcMar>
          </w:tcPr>
          <w:p w14:paraId="19766EF4"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1.05</w:t>
            </w:r>
          </w:p>
          <w:p w14:paraId="6F8B4B92"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88</w:t>
            </w:r>
            <w:r w:rsidRPr="009A6091">
              <w:rPr>
                <w:rFonts w:eastAsia="Times New Roman"/>
                <w:color w:val="000000"/>
                <w:sz w:val="20"/>
                <w:szCs w:val="20"/>
                <w:lang w:eastAsia="en-AU"/>
              </w:rPr>
              <w:t xml:space="preserve">, </w:t>
            </w:r>
            <w:r>
              <w:rPr>
                <w:rFonts w:eastAsia="Times New Roman"/>
                <w:color w:val="000000"/>
                <w:sz w:val="20"/>
                <w:szCs w:val="20"/>
                <w:lang w:eastAsia="en-AU"/>
              </w:rPr>
              <w:t>1.23</w:t>
            </w:r>
            <w:r w:rsidRPr="009A6091">
              <w:rPr>
                <w:rFonts w:eastAsia="Times New Roman"/>
                <w:color w:val="000000"/>
                <w:sz w:val="20"/>
                <w:szCs w:val="20"/>
                <w:lang w:eastAsia="en-AU"/>
              </w:rPr>
              <w:t>)</w:t>
            </w:r>
          </w:p>
        </w:tc>
        <w:tc>
          <w:tcPr>
            <w:tcW w:w="4395" w:type="dxa"/>
            <w:shd w:val="clear" w:color="auto" w:fill="CCDBEA"/>
            <w:tcMar>
              <w:top w:w="0" w:type="dxa"/>
              <w:left w:w="0" w:type="dxa"/>
              <w:bottom w:w="0" w:type="dxa"/>
              <w:right w:w="0" w:type="dxa"/>
            </w:tcMar>
          </w:tcPr>
          <w:p w14:paraId="4DDF2470"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428" w:right="564"/>
              <w:rPr>
                <w:rFonts w:eastAsia="Arial"/>
                <w:color w:val="000000"/>
                <w:sz w:val="20"/>
                <w:szCs w:val="20"/>
              </w:rPr>
            </w:pPr>
            <w:r w:rsidRPr="009A6091">
              <w:rPr>
                <w:rFonts w:eastAsia="Times New Roman"/>
                <w:color w:val="000000"/>
                <w:sz w:val="20"/>
                <w:szCs w:val="20"/>
                <w:lang w:eastAsia="en-AU"/>
              </w:rPr>
              <w:t xml:space="preserve">No trend in </w:t>
            </w:r>
            <w:r>
              <w:rPr>
                <w:rFonts w:eastAsia="Times New Roman"/>
                <w:color w:val="000000"/>
                <w:sz w:val="20"/>
                <w:szCs w:val="20"/>
                <w:lang w:eastAsia="en-AU"/>
              </w:rPr>
              <w:t xml:space="preserve">occurrence in </w:t>
            </w:r>
            <w:r w:rsidRPr="009A6091">
              <w:rPr>
                <w:rFonts w:eastAsia="Times New Roman"/>
                <w:color w:val="000000"/>
                <w:sz w:val="20"/>
                <w:szCs w:val="20"/>
                <w:lang w:eastAsia="en-AU"/>
              </w:rPr>
              <w:t>Core zone</w:t>
            </w:r>
          </w:p>
          <w:p w14:paraId="0485B508" w14:textId="77777777" w:rsidR="00F44B95" w:rsidRPr="006F5D5E"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Arial"/>
                <w:color w:val="000000"/>
                <w:sz w:val="20"/>
                <w:szCs w:val="20"/>
              </w:rPr>
            </w:pPr>
          </w:p>
        </w:tc>
      </w:tr>
      <w:tr w:rsidR="00F44B95" w:rsidRPr="00D50CA1" w14:paraId="7ED4633D" w14:textId="77777777" w:rsidTr="000F390E">
        <w:tc>
          <w:tcPr>
            <w:tcW w:w="1701" w:type="dxa"/>
            <w:gridSpan w:val="2"/>
            <w:shd w:val="clear" w:color="auto" w:fill="FFFFFF"/>
            <w:tcMar>
              <w:top w:w="0" w:type="dxa"/>
              <w:left w:w="0" w:type="dxa"/>
              <w:bottom w:w="0" w:type="dxa"/>
              <w:right w:w="0" w:type="dxa"/>
            </w:tcMar>
            <w:vAlign w:val="center"/>
          </w:tcPr>
          <w:p w14:paraId="4ECB420E"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sz w:val="20"/>
                <w:szCs w:val="20"/>
              </w:rPr>
            </w:pPr>
            <w:r w:rsidRPr="00EB2558">
              <w:rPr>
                <w:sz w:val="20"/>
                <w:szCs w:val="20"/>
              </w:rPr>
              <w:t xml:space="preserve">Trend in </w:t>
            </w:r>
            <w:r>
              <w:rPr>
                <w:sz w:val="20"/>
                <w:szCs w:val="20"/>
              </w:rPr>
              <w:t>Exp</w:t>
            </w:r>
          </w:p>
        </w:tc>
        <w:tc>
          <w:tcPr>
            <w:tcW w:w="1418" w:type="dxa"/>
            <w:shd w:val="clear" w:color="auto" w:fill="CCDBEA"/>
            <w:tcMar>
              <w:top w:w="0" w:type="dxa"/>
              <w:left w:w="0" w:type="dxa"/>
              <w:bottom w:w="0" w:type="dxa"/>
              <w:right w:w="0" w:type="dxa"/>
            </w:tcMar>
          </w:tcPr>
          <w:p w14:paraId="66B2002E"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-0.01</w:t>
            </w:r>
          </w:p>
          <w:p w14:paraId="55BDD088"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0.17</w:t>
            </w:r>
            <w:r w:rsidRPr="009A6091">
              <w:rPr>
                <w:rFonts w:eastAsia="Times New Roman"/>
                <w:color w:val="000000"/>
                <w:sz w:val="20"/>
                <w:szCs w:val="20"/>
                <w:lang w:eastAsia="en-AU"/>
              </w:rPr>
              <w:t xml:space="preserve">, </w:t>
            </w:r>
            <w:r>
              <w:rPr>
                <w:rFonts w:eastAsia="Times New Roman"/>
                <w:color w:val="000000"/>
                <w:sz w:val="20"/>
                <w:szCs w:val="20"/>
                <w:lang w:eastAsia="en-AU"/>
              </w:rPr>
              <w:t>0.11</w:t>
            </w:r>
            <w:r w:rsidRPr="009A6091">
              <w:rPr>
                <w:rFonts w:eastAsia="Times New Roman"/>
                <w:color w:val="000000"/>
                <w:sz w:val="20"/>
                <w:szCs w:val="20"/>
                <w:lang w:eastAsia="en-AU"/>
              </w:rPr>
              <w:t>)</w:t>
            </w:r>
          </w:p>
        </w:tc>
        <w:tc>
          <w:tcPr>
            <w:tcW w:w="1984" w:type="dxa"/>
            <w:shd w:val="clear" w:color="auto" w:fill="FFFFFF"/>
            <w:tcMar>
              <w:top w:w="0" w:type="dxa"/>
              <w:left w:w="0" w:type="dxa"/>
              <w:bottom w:w="0" w:type="dxa"/>
              <w:right w:w="0" w:type="dxa"/>
            </w:tcMar>
          </w:tcPr>
          <w:p w14:paraId="6DF5D9DB"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0.99</w:t>
            </w:r>
          </w:p>
          <w:p w14:paraId="0BB38858"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Arial"/>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0.84</w:t>
            </w:r>
            <w:r w:rsidRPr="009A6091">
              <w:rPr>
                <w:rFonts w:eastAsia="Times New Roman"/>
                <w:color w:val="000000"/>
                <w:sz w:val="20"/>
                <w:szCs w:val="20"/>
                <w:lang w:eastAsia="en-AU"/>
              </w:rPr>
              <w:t xml:space="preserve">, </w:t>
            </w:r>
            <w:r>
              <w:rPr>
                <w:rFonts w:eastAsia="Times New Roman"/>
                <w:color w:val="000000"/>
                <w:sz w:val="20"/>
                <w:szCs w:val="20"/>
                <w:lang w:eastAsia="en-AU"/>
              </w:rPr>
              <w:t>1.11</w:t>
            </w:r>
            <w:r w:rsidRPr="009A6091">
              <w:rPr>
                <w:rFonts w:eastAsia="Times New Roman"/>
                <w:color w:val="000000"/>
                <w:sz w:val="20"/>
                <w:szCs w:val="20"/>
                <w:lang w:eastAsia="en-AU"/>
              </w:rPr>
              <w:t>)</w:t>
            </w:r>
          </w:p>
        </w:tc>
        <w:tc>
          <w:tcPr>
            <w:tcW w:w="4395" w:type="dxa"/>
            <w:shd w:val="clear" w:color="auto" w:fill="CCDBEA"/>
            <w:tcMar>
              <w:top w:w="0" w:type="dxa"/>
              <w:left w:w="0" w:type="dxa"/>
              <w:bottom w:w="0" w:type="dxa"/>
              <w:right w:w="0" w:type="dxa"/>
            </w:tcMar>
          </w:tcPr>
          <w:p w14:paraId="01824D19"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Arial"/>
                <w:color w:val="000000"/>
                <w:sz w:val="20"/>
                <w:szCs w:val="20"/>
              </w:rPr>
            </w:pPr>
            <w:r w:rsidRPr="009A6091">
              <w:rPr>
                <w:rFonts w:eastAsia="Times New Roman"/>
                <w:color w:val="000000"/>
                <w:sz w:val="20"/>
                <w:szCs w:val="20"/>
                <w:lang w:eastAsia="en-AU"/>
              </w:rPr>
              <w:t xml:space="preserve">No trend in </w:t>
            </w:r>
            <w:r>
              <w:rPr>
                <w:rFonts w:eastAsia="Times New Roman"/>
                <w:color w:val="000000"/>
                <w:sz w:val="20"/>
                <w:szCs w:val="20"/>
                <w:lang w:eastAsia="en-AU"/>
              </w:rPr>
              <w:t xml:space="preserve">occurrence in </w:t>
            </w:r>
            <w:r w:rsidRPr="009A6091">
              <w:rPr>
                <w:rFonts w:eastAsia="Times New Roman"/>
                <w:color w:val="000000"/>
                <w:sz w:val="20"/>
                <w:szCs w:val="20"/>
                <w:lang w:eastAsia="en-AU"/>
              </w:rPr>
              <w:t>Expansion zone</w:t>
            </w:r>
          </w:p>
        </w:tc>
      </w:tr>
      <w:tr w:rsidR="00F44B95" w:rsidRPr="00D50CA1" w14:paraId="472CA92C" w14:textId="77777777" w:rsidTr="000F390E">
        <w:tc>
          <w:tcPr>
            <w:tcW w:w="1701" w:type="dxa"/>
            <w:gridSpan w:val="2"/>
            <w:shd w:val="clear" w:color="auto" w:fill="FFFFFF"/>
            <w:tcMar>
              <w:top w:w="0" w:type="dxa"/>
              <w:left w:w="0" w:type="dxa"/>
              <w:bottom w:w="0" w:type="dxa"/>
              <w:right w:w="0" w:type="dxa"/>
            </w:tcMar>
            <w:vAlign w:val="center"/>
          </w:tcPr>
          <w:p w14:paraId="34F00CFA"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Pr>
                <w:rFonts w:eastAsia="Calibri"/>
                <w:sz w:val="20"/>
                <w:szCs w:val="20"/>
              </w:rPr>
              <w:t>Difference between Core and Exp</w:t>
            </w:r>
          </w:p>
        </w:tc>
        <w:tc>
          <w:tcPr>
            <w:tcW w:w="1418" w:type="dxa"/>
            <w:shd w:val="clear" w:color="auto" w:fill="CCDBEA"/>
            <w:tcMar>
              <w:top w:w="0" w:type="dxa"/>
              <w:left w:w="0" w:type="dxa"/>
              <w:bottom w:w="0" w:type="dxa"/>
              <w:right w:w="0" w:type="dxa"/>
            </w:tcMar>
          </w:tcPr>
          <w:p w14:paraId="782EB4E6"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w:t>
            </w:r>
            <w:r w:rsidRPr="009A6091">
              <w:rPr>
                <w:rFonts w:eastAsia="Times New Roman"/>
                <w:color w:val="000000"/>
                <w:sz w:val="20"/>
                <w:szCs w:val="20"/>
                <w:lang w:eastAsia="en-AU"/>
              </w:rPr>
              <w:t>0.</w:t>
            </w:r>
            <w:r>
              <w:rPr>
                <w:rFonts w:eastAsia="Times New Roman"/>
                <w:color w:val="000000"/>
                <w:sz w:val="20"/>
                <w:szCs w:val="20"/>
                <w:lang w:eastAsia="en-AU"/>
              </w:rPr>
              <w:t>06</w:t>
            </w:r>
          </w:p>
          <w:p w14:paraId="32DED2D7"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0.23</w:t>
            </w:r>
            <w:r w:rsidRPr="009A6091">
              <w:rPr>
                <w:rFonts w:eastAsia="Times New Roman"/>
                <w:color w:val="000000"/>
                <w:sz w:val="20"/>
                <w:szCs w:val="20"/>
                <w:lang w:eastAsia="en-AU"/>
              </w:rPr>
              <w:t xml:space="preserve">, </w:t>
            </w:r>
            <w:r>
              <w:rPr>
                <w:rFonts w:eastAsia="Times New Roman"/>
                <w:color w:val="000000"/>
                <w:sz w:val="20"/>
                <w:szCs w:val="20"/>
                <w:lang w:eastAsia="en-AU"/>
              </w:rPr>
              <w:t>0</w:t>
            </w:r>
            <w:r w:rsidRPr="009A6091">
              <w:rPr>
                <w:rFonts w:eastAsia="Times New Roman"/>
                <w:color w:val="000000"/>
                <w:sz w:val="20"/>
                <w:szCs w:val="20"/>
                <w:lang w:eastAsia="en-AU"/>
              </w:rPr>
              <w:t>.</w:t>
            </w:r>
            <w:r>
              <w:rPr>
                <w:rFonts w:eastAsia="Times New Roman"/>
                <w:color w:val="000000"/>
                <w:sz w:val="20"/>
                <w:szCs w:val="20"/>
                <w:lang w:eastAsia="en-AU"/>
              </w:rPr>
              <w:t>12</w:t>
            </w:r>
            <w:r w:rsidRPr="009A6091">
              <w:rPr>
                <w:rFonts w:eastAsia="Times New Roman"/>
                <w:color w:val="000000"/>
                <w:sz w:val="20"/>
                <w:szCs w:val="20"/>
                <w:lang w:eastAsia="en-AU"/>
              </w:rPr>
              <w:t>)</w:t>
            </w:r>
          </w:p>
        </w:tc>
        <w:tc>
          <w:tcPr>
            <w:tcW w:w="1984" w:type="dxa"/>
            <w:shd w:val="clear" w:color="auto" w:fill="FFFFFF"/>
            <w:tcMar>
              <w:top w:w="0" w:type="dxa"/>
              <w:left w:w="0" w:type="dxa"/>
              <w:bottom w:w="0" w:type="dxa"/>
              <w:right w:w="0" w:type="dxa"/>
            </w:tcMar>
          </w:tcPr>
          <w:p w14:paraId="294B628A"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0.94</w:t>
            </w:r>
          </w:p>
          <w:p w14:paraId="4C101934"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w:t>
            </w:r>
            <w:r>
              <w:rPr>
                <w:rFonts w:eastAsia="Times New Roman"/>
                <w:color w:val="000000"/>
                <w:sz w:val="20"/>
                <w:szCs w:val="20"/>
                <w:lang w:eastAsia="en-AU"/>
              </w:rPr>
              <w:t>0.79</w:t>
            </w:r>
            <w:r w:rsidRPr="009A6091">
              <w:rPr>
                <w:rFonts w:eastAsia="Times New Roman"/>
                <w:color w:val="000000"/>
                <w:sz w:val="20"/>
                <w:szCs w:val="20"/>
                <w:lang w:eastAsia="en-AU"/>
              </w:rPr>
              <w:t xml:space="preserve">, </w:t>
            </w:r>
            <w:r>
              <w:rPr>
                <w:rFonts w:eastAsia="Times New Roman"/>
                <w:color w:val="000000"/>
                <w:sz w:val="20"/>
                <w:szCs w:val="20"/>
                <w:lang w:eastAsia="en-AU"/>
              </w:rPr>
              <w:t>1.12</w:t>
            </w:r>
            <w:r w:rsidRPr="009A6091">
              <w:rPr>
                <w:rFonts w:eastAsia="Times New Roman"/>
                <w:color w:val="000000"/>
                <w:sz w:val="20"/>
                <w:szCs w:val="20"/>
                <w:lang w:eastAsia="en-AU"/>
              </w:rPr>
              <w:t>)</w:t>
            </w:r>
          </w:p>
        </w:tc>
        <w:tc>
          <w:tcPr>
            <w:tcW w:w="4395" w:type="dxa"/>
            <w:shd w:val="clear" w:color="auto" w:fill="CCDBEA"/>
            <w:tcMar>
              <w:top w:w="0" w:type="dxa"/>
              <w:left w:w="0" w:type="dxa"/>
              <w:bottom w:w="0" w:type="dxa"/>
              <w:right w:w="0" w:type="dxa"/>
            </w:tcMar>
          </w:tcPr>
          <w:p w14:paraId="20A3CE43"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Times New Roman"/>
                <w:color w:val="000000"/>
                <w:sz w:val="20"/>
                <w:szCs w:val="20"/>
              </w:rPr>
            </w:pPr>
            <w:r w:rsidRPr="009A6091">
              <w:rPr>
                <w:rFonts w:eastAsia="Times New Roman"/>
                <w:color w:val="000000"/>
                <w:sz w:val="20"/>
                <w:szCs w:val="20"/>
                <w:lang w:eastAsia="en-AU"/>
              </w:rPr>
              <w:t xml:space="preserve">No difference in trends </w:t>
            </w:r>
            <w:r>
              <w:rPr>
                <w:rFonts w:eastAsia="Times New Roman"/>
                <w:color w:val="000000"/>
                <w:sz w:val="20"/>
                <w:szCs w:val="20"/>
                <w:lang w:eastAsia="en-AU"/>
              </w:rPr>
              <w:t xml:space="preserve">in occurrence </w:t>
            </w:r>
            <w:r w:rsidRPr="009A6091">
              <w:rPr>
                <w:rFonts w:eastAsia="Times New Roman"/>
                <w:color w:val="000000"/>
                <w:sz w:val="20"/>
                <w:szCs w:val="20"/>
                <w:lang w:eastAsia="en-AU"/>
              </w:rPr>
              <w:t>between Core and Expansion</w:t>
            </w:r>
            <w:r>
              <w:rPr>
                <w:rFonts w:eastAsia="Times New Roman"/>
                <w:color w:val="000000"/>
                <w:sz w:val="20"/>
                <w:szCs w:val="20"/>
                <w:lang w:eastAsia="en-AU"/>
              </w:rPr>
              <w:t xml:space="preserve"> zones</w:t>
            </w:r>
            <w:r w:rsidRPr="009A6091">
              <w:rPr>
                <w:rFonts w:eastAsia="Times New Roman"/>
                <w:color w:val="000000"/>
                <w:sz w:val="20"/>
                <w:szCs w:val="20"/>
                <w:lang w:eastAsia="en-AU"/>
              </w:rPr>
              <w:t xml:space="preserve"> </w:t>
            </w:r>
          </w:p>
        </w:tc>
      </w:tr>
      <w:tr w:rsidR="00F44B95" w:rsidRPr="00D50CA1" w14:paraId="64294FA2" w14:textId="77777777" w:rsidTr="000F390E">
        <w:tc>
          <w:tcPr>
            <w:tcW w:w="1701" w:type="dxa"/>
            <w:gridSpan w:val="2"/>
            <w:shd w:val="clear" w:color="auto" w:fill="FFFFFF"/>
            <w:tcMar>
              <w:top w:w="0" w:type="dxa"/>
              <w:left w:w="0" w:type="dxa"/>
              <w:bottom w:w="0" w:type="dxa"/>
              <w:right w:w="0" w:type="dxa"/>
            </w:tcMar>
            <w:vAlign w:val="center"/>
          </w:tcPr>
          <w:p w14:paraId="1762C5BE" w14:textId="77777777" w:rsidR="00F44B95" w:rsidRPr="009A6091" w:rsidRDefault="00F44B95" w:rsidP="000F390E">
            <w:pPr>
              <w:numPr>
                <w:ilvl w:val="0"/>
                <w:numId w:val="5"/>
              </w:numPr>
              <w:pBdr>
                <w:top w:val="none" w:sz="0" w:space="0" w:color="000000"/>
                <w:left w:val="none" w:sz="0" w:space="0" w:color="000000"/>
                <w:bottom w:val="none" w:sz="0" w:space="0" w:color="000000"/>
                <w:right w:val="none" w:sz="0" w:space="0" w:color="000000"/>
              </w:pBdr>
              <w:spacing w:before="60" w:after="60"/>
              <w:ind w:left="102" w:right="102"/>
              <w:rPr>
                <w:rFonts w:eastAsia="Calibri"/>
                <w:sz w:val="20"/>
                <w:szCs w:val="20"/>
              </w:rPr>
            </w:pPr>
            <w:r>
              <w:rPr>
                <w:rFonts w:eastAsia="Calibri"/>
                <w:sz w:val="20"/>
                <w:szCs w:val="20"/>
              </w:rPr>
              <w:t>Change after baiting in Exp</w:t>
            </w:r>
          </w:p>
        </w:tc>
        <w:tc>
          <w:tcPr>
            <w:tcW w:w="1418" w:type="dxa"/>
            <w:shd w:val="clear" w:color="auto" w:fill="CCDBEA"/>
            <w:tcMar>
              <w:top w:w="0" w:type="dxa"/>
              <w:left w:w="0" w:type="dxa"/>
              <w:bottom w:w="0" w:type="dxa"/>
              <w:right w:w="0" w:type="dxa"/>
            </w:tcMar>
          </w:tcPr>
          <w:p w14:paraId="4348CBD0"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0</w:t>
            </w:r>
            <w:r w:rsidRPr="009A6091">
              <w:rPr>
                <w:rFonts w:eastAsia="Times New Roman"/>
                <w:color w:val="000000"/>
                <w:sz w:val="20"/>
                <w:szCs w:val="20"/>
                <w:lang w:eastAsia="en-AU"/>
              </w:rPr>
              <w:t>.</w:t>
            </w:r>
            <w:r>
              <w:rPr>
                <w:rFonts w:eastAsia="Times New Roman"/>
                <w:color w:val="000000"/>
                <w:sz w:val="20"/>
                <w:szCs w:val="20"/>
                <w:lang w:eastAsia="en-AU"/>
              </w:rPr>
              <w:t>42</w:t>
            </w:r>
          </w:p>
          <w:p w14:paraId="5ABFB078"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16</w:t>
            </w:r>
            <w:r w:rsidRPr="009A6091">
              <w:rPr>
                <w:rFonts w:eastAsia="Times New Roman"/>
                <w:color w:val="000000"/>
                <w:sz w:val="20"/>
                <w:szCs w:val="20"/>
                <w:lang w:eastAsia="en-AU"/>
              </w:rPr>
              <w:t xml:space="preserve">, </w:t>
            </w:r>
            <w:r>
              <w:rPr>
                <w:rFonts w:eastAsia="Times New Roman"/>
                <w:color w:val="000000"/>
                <w:sz w:val="20"/>
                <w:szCs w:val="20"/>
                <w:lang w:eastAsia="en-AU"/>
              </w:rPr>
              <w:t>1.23</w:t>
            </w:r>
            <w:r w:rsidRPr="009A6091">
              <w:rPr>
                <w:rFonts w:eastAsia="Times New Roman"/>
                <w:color w:val="000000"/>
                <w:sz w:val="20"/>
                <w:szCs w:val="20"/>
                <w:lang w:eastAsia="en-AU"/>
              </w:rPr>
              <w:t>)</w:t>
            </w:r>
          </w:p>
        </w:tc>
        <w:tc>
          <w:tcPr>
            <w:tcW w:w="1984" w:type="dxa"/>
            <w:shd w:val="clear" w:color="auto" w:fill="FFFFFF"/>
            <w:tcMar>
              <w:top w:w="0" w:type="dxa"/>
              <w:left w:w="0" w:type="dxa"/>
              <w:bottom w:w="0" w:type="dxa"/>
              <w:right w:w="0" w:type="dxa"/>
            </w:tcMar>
          </w:tcPr>
          <w:p w14:paraId="06E1D77F"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Pr>
                <w:rFonts w:eastAsia="Times New Roman"/>
                <w:color w:val="000000"/>
                <w:sz w:val="20"/>
                <w:szCs w:val="20"/>
                <w:lang w:eastAsia="en-AU"/>
              </w:rPr>
              <w:t>1.52</w:t>
            </w:r>
          </w:p>
          <w:p w14:paraId="2114C5D5"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102" w:right="102"/>
              <w:jc w:val="center"/>
              <w:rPr>
                <w:rFonts w:eastAsia="Times New Roman"/>
                <w:color w:val="000000"/>
                <w:sz w:val="20"/>
                <w:szCs w:val="20"/>
              </w:rPr>
            </w:pPr>
            <w:r w:rsidRPr="009A6091">
              <w:rPr>
                <w:rFonts w:eastAsia="Times New Roman"/>
                <w:color w:val="000000"/>
                <w:sz w:val="20"/>
                <w:szCs w:val="20"/>
                <w:lang w:eastAsia="en-AU"/>
              </w:rPr>
              <w:t>(0.</w:t>
            </w:r>
            <w:r>
              <w:rPr>
                <w:rFonts w:eastAsia="Times New Roman"/>
                <w:color w:val="000000"/>
                <w:sz w:val="20"/>
                <w:szCs w:val="20"/>
                <w:lang w:eastAsia="en-AU"/>
              </w:rPr>
              <w:t>85</w:t>
            </w:r>
            <w:r w:rsidRPr="009A6091">
              <w:rPr>
                <w:rFonts w:eastAsia="Times New Roman"/>
                <w:color w:val="000000"/>
                <w:sz w:val="20"/>
                <w:szCs w:val="20"/>
                <w:lang w:eastAsia="en-AU"/>
              </w:rPr>
              <w:t xml:space="preserve">, </w:t>
            </w:r>
            <w:r>
              <w:rPr>
                <w:rFonts w:eastAsia="Times New Roman"/>
                <w:color w:val="000000"/>
                <w:sz w:val="20"/>
                <w:szCs w:val="20"/>
                <w:lang w:eastAsia="en-AU"/>
              </w:rPr>
              <w:t>3.42</w:t>
            </w:r>
            <w:r w:rsidRPr="009A6091">
              <w:rPr>
                <w:rFonts w:eastAsia="Times New Roman"/>
                <w:color w:val="000000"/>
                <w:sz w:val="20"/>
                <w:szCs w:val="20"/>
                <w:lang w:eastAsia="en-AU"/>
              </w:rPr>
              <w:t>)</w:t>
            </w:r>
          </w:p>
        </w:tc>
        <w:tc>
          <w:tcPr>
            <w:tcW w:w="4395" w:type="dxa"/>
            <w:shd w:val="clear" w:color="auto" w:fill="CCDBEA"/>
            <w:tcMar>
              <w:top w:w="0" w:type="dxa"/>
              <w:left w:w="0" w:type="dxa"/>
              <w:bottom w:w="0" w:type="dxa"/>
              <w:right w:w="0" w:type="dxa"/>
            </w:tcMar>
          </w:tcPr>
          <w:p w14:paraId="34F633AD" w14:textId="77777777" w:rsidR="00F44B95" w:rsidRPr="009A6091" w:rsidRDefault="00F44B95" w:rsidP="000F390E">
            <w:pPr>
              <w:pBdr>
                <w:top w:val="none" w:sz="0" w:space="0" w:color="000000"/>
                <w:left w:val="none" w:sz="0" w:space="0" w:color="000000"/>
                <w:bottom w:val="none" w:sz="0" w:space="0" w:color="000000"/>
                <w:right w:val="none" w:sz="0" w:space="0" w:color="000000"/>
              </w:pBdr>
              <w:spacing w:before="60" w:after="60"/>
              <w:ind w:left="418" w:right="564"/>
              <w:rPr>
                <w:rFonts w:eastAsia="Times New Roman"/>
                <w:color w:val="000000"/>
                <w:sz w:val="20"/>
                <w:szCs w:val="20"/>
              </w:rPr>
            </w:pPr>
            <w:r w:rsidRPr="009A6091">
              <w:rPr>
                <w:rFonts w:eastAsia="Times New Roman"/>
                <w:color w:val="000000"/>
                <w:sz w:val="20"/>
                <w:szCs w:val="20"/>
                <w:lang w:eastAsia="en-AU"/>
              </w:rPr>
              <w:t xml:space="preserve">No </w:t>
            </w:r>
            <w:r>
              <w:rPr>
                <w:rFonts w:eastAsia="Times New Roman"/>
                <w:color w:val="000000"/>
                <w:sz w:val="20"/>
                <w:szCs w:val="20"/>
                <w:lang w:eastAsia="en-AU"/>
              </w:rPr>
              <w:t>clear change in Expansion zone trend after 2021.</w:t>
            </w:r>
          </w:p>
        </w:tc>
      </w:tr>
    </w:tbl>
    <w:p w14:paraId="1FE0E740" w14:textId="77777777" w:rsidR="00F44B95" w:rsidRPr="00DF30F0" w:rsidRDefault="00F44B95" w:rsidP="00F44B95">
      <w:pPr>
        <w:pStyle w:val="Captionfootnote"/>
        <w:rPr>
          <w:rFonts w:ascii="Times New Roman" w:hAnsi="Times New Roman" w:cs="Times New Roman"/>
        </w:rPr>
      </w:pPr>
      <w:r w:rsidRPr="00DF30F0">
        <w:rPr>
          <w:rFonts w:ascii="Times New Roman" w:hAnsi="Times New Roman" w:cs="Times New Roman"/>
        </w:rPr>
        <w:t>CI = credible interval.</w:t>
      </w:r>
    </w:p>
    <w:p w14:paraId="578AD14E" w14:textId="4F2029EC" w:rsidR="00F44B95" w:rsidRDefault="00F44B95" w:rsidP="00C87A5A"/>
    <w:p w14:paraId="2A89379C" w14:textId="77777777" w:rsidR="00980E26" w:rsidRPr="00DC3852" w:rsidRDefault="00297481" w:rsidP="00DC3852">
      <w:pPr>
        <w:pStyle w:val="Heading1"/>
      </w:pPr>
      <w:r w:rsidRPr="00243764">
        <w:br w:type="page"/>
      </w:r>
      <w:bookmarkStart w:id="123" w:name="_Toc409798452"/>
      <w:bookmarkStart w:id="124" w:name="_Toc286018780"/>
      <w:bookmarkStart w:id="125" w:name="_Toc192146599"/>
      <w:r w:rsidR="00980E26" w:rsidRPr="00DC3852">
        <w:lastRenderedPageBreak/>
        <w:t>References</w:t>
      </w:r>
      <w:bookmarkEnd w:id="123"/>
      <w:bookmarkEnd w:id="124"/>
      <w:bookmarkEnd w:id="125"/>
    </w:p>
    <w:p w14:paraId="13AD215D" w14:textId="77777777" w:rsidR="00C87A5A" w:rsidRPr="00C87A5A" w:rsidRDefault="00C87A5A" w:rsidP="00C87A5A">
      <w:pPr>
        <w:spacing w:line="276" w:lineRule="auto"/>
        <w:ind w:left="709" w:hanging="709"/>
        <w:rPr>
          <w:noProof/>
        </w:rPr>
      </w:pPr>
      <w:r w:rsidRPr="00C87A5A">
        <w:rPr>
          <w:noProof/>
        </w:rPr>
        <w:t xml:space="preserve">Bilney, R.J., Cooke, R. and White, J.G. (2010). Underestimated and severe: small mammal decline from the forests of south-eastern Australia since European settlement, as revealed by a top-order predator. </w:t>
      </w:r>
      <w:r w:rsidRPr="00C87A5A">
        <w:rPr>
          <w:i/>
          <w:noProof/>
        </w:rPr>
        <w:t>Biological Conservation</w:t>
      </w:r>
      <w:r w:rsidRPr="00C87A5A">
        <w:rPr>
          <w:noProof/>
        </w:rPr>
        <w:t xml:space="preserve"> </w:t>
      </w:r>
      <w:r w:rsidRPr="00C87A5A">
        <w:rPr>
          <w:b/>
          <w:noProof/>
        </w:rPr>
        <w:t>143</w:t>
      </w:r>
      <w:r w:rsidRPr="00C87A5A">
        <w:rPr>
          <w:noProof/>
        </w:rPr>
        <w:t>, 52–59.</w:t>
      </w:r>
    </w:p>
    <w:p w14:paraId="73E5B6E3" w14:textId="77777777" w:rsidR="00C87A5A" w:rsidRDefault="00C87A5A" w:rsidP="00C87A5A">
      <w:pPr>
        <w:spacing w:line="276" w:lineRule="auto"/>
        <w:ind w:left="709" w:hanging="709"/>
        <w:rPr>
          <w:noProof/>
        </w:rPr>
      </w:pPr>
      <w:r w:rsidRPr="00C87A5A">
        <w:rPr>
          <w:noProof/>
        </w:rPr>
        <w:t xml:space="preserve">Brereton, R., Bennett, S. and Mansergh, I. (1995). Enhanced greenhouse climate change and its potential effects on selected fauna of south-eastern Australia: a trend analysis. </w:t>
      </w:r>
      <w:r w:rsidRPr="00C87A5A">
        <w:rPr>
          <w:i/>
          <w:iCs/>
          <w:noProof/>
        </w:rPr>
        <w:t>Biological Conservation</w:t>
      </w:r>
      <w:r w:rsidRPr="00C87A5A">
        <w:rPr>
          <w:noProof/>
        </w:rPr>
        <w:t xml:space="preserve"> </w:t>
      </w:r>
      <w:r w:rsidRPr="00C87A5A">
        <w:rPr>
          <w:b/>
          <w:bCs/>
          <w:noProof/>
        </w:rPr>
        <w:t>72,</w:t>
      </w:r>
      <w:r w:rsidRPr="00C87A5A">
        <w:rPr>
          <w:noProof/>
        </w:rPr>
        <w:t xml:space="preserve"> 339–354.</w:t>
      </w:r>
    </w:p>
    <w:p w14:paraId="1E1F2BDC" w14:textId="39944A4F" w:rsidR="0048047C" w:rsidRDefault="00920D7B" w:rsidP="00C87A5A">
      <w:pPr>
        <w:spacing w:line="276" w:lineRule="auto"/>
        <w:ind w:left="709" w:hanging="709"/>
        <w:rPr>
          <w:noProof/>
        </w:rPr>
      </w:pPr>
      <w:r>
        <w:rPr>
          <w:noProof/>
        </w:rPr>
        <w:t>Claridge</w:t>
      </w:r>
      <w:r w:rsidR="0048047C">
        <w:rPr>
          <w:noProof/>
        </w:rPr>
        <w:t>, A.W.,</w:t>
      </w:r>
      <w:r>
        <w:rPr>
          <w:noProof/>
        </w:rPr>
        <w:t xml:space="preserve"> Cunningham,</w:t>
      </w:r>
      <w:r w:rsidR="0048047C">
        <w:rPr>
          <w:noProof/>
        </w:rPr>
        <w:t xml:space="preserve"> R.B.,</w:t>
      </w:r>
      <w:r>
        <w:rPr>
          <w:noProof/>
        </w:rPr>
        <w:t xml:space="preserve"> Catling,</w:t>
      </w:r>
      <w:r w:rsidR="0048047C">
        <w:rPr>
          <w:noProof/>
        </w:rPr>
        <w:t xml:space="preserve"> P.C.,</w:t>
      </w:r>
      <w:r>
        <w:rPr>
          <w:noProof/>
        </w:rPr>
        <w:t xml:space="preserve"> Reid,</w:t>
      </w:r>
      <w:r w:rsidR="0048047C">
        <w:rPr>
          <w:noProof/>
        </w:rPr>
        <w:t xml:space="preserve"> A.M</w:t>
      </w:r>
      <w:r w:rsidR="007D35FD">
        <w:rPr>
          <w:noProof/>
        </w:rPr>
        <w:t>. (2010).</w:t>
      </w:r>
      <w:r>
        <w:rPr>
          <w:noProof/>
        </w:rPr>
        <w:t>Trends in the activity levels of forest-dwelling vertebrate fauna against a background of intensive baiting for foxes</w:t>
      </w:r>
      <w:r w:rsidR="007D35FD">
        <w:rPr>
          <w:noProof/>
        </w:rPr>
        <w:t xml:space="preserve">. </w:t>
      </w:r>
      <w:r w:rsidRPr="007D35FD">
        <w:rPr>
          <w:i/>
          <w:iCs/>
          <w:noProof/>
        </w:rPr>
        <w:t>Forest Ecology and Management</w:t>
      </w:r>
      <w:r>
        <w:rPr>
          <w:noProof/>
        </w:rPr>
        <w:t xml:space="preserve"> </w:t>
      </w:r>
      <w:r w:rsidRPr="007D35FD">
        <w:rPr>
          <w:b/>
          <w:bCs/>
          <w:noProof/>
        </w:rPr>
        <w:t>260</w:t>
      </w:r>
      <w:r w:rsidR="007D35FD">
        <w:rPr>
          <w:noProof/>
        </w:rPr>
        <w:t>,</w:t>
      </w:r>
      <w:r>
        <w:rPr>
          <w:noProof/>
        </w:rPr>
        <w:t xml:space="preserve"> 822-832,</w:t>
      </w:r>
    </w:p>
    <w:p w14:paraId="547EC375" w14:textId="77777777" w:rsidR="00C87A5A" w:rsidRPr="00C87A5A" w:rsidRDefault="00C87A5A" w:rsidP="00C87A5A">
      <w:pPr>
        <w:spacing w:line="276" w:lineRule="auto"/>
        <w:ind w:left="709" w:hanging="709"/>
        <w:rPr>
          <w:noProof/>
        </w:rPr>
      </w:pPr>
      <w:r w:rsidRPr="00C87A5A">
        <w:rPr>
          <w:noProof/>
        </w:rPr>
        <w:t xml:space="preserve">DELWP (2021). </w:t>
      </w:r>
      <w:r w:rsidRPr="00C87A5A">
        <w:rPr>
          <w:i/>
          <w:iCs/>
          <w:noProof/>
        </w:rPr>
        <w:t>Fox control management plan for the protection of Long-footed Potoroo: Great Dividing Range (Barry Mountains)</w:t>
      </w:r>
      <w:r w:rsidRPr="00C87A5A">
        <w:rPr>
          <w:noProof/>
        </w:rPr>
        <w:t>. Department of Environment, Land, Water and Planning, Melbourne, Victoria.</w:t>
      </w:r>
    </w:p>
    <w:p w14:paraId="1E1D5226" w14:textId="77777777" w:rsidR="00C87A5A" w:rsidRDefault="00C87A5A" w:rsidP="00C87A5A">
      <w:pPr>
        <w:spacing w:line="276" w:lineRule="auto"/>
        <w:ind w:left="709" w:hanging="709"/>
        <w:rPr>
          <w:noProof/>
        </w:rPr>
      </w:pPr>
      <w:r w:rsidRPr="00C87A5A">
        <w:rPr>
          <w:noProof/>
        </w:rPr>
        <w:t xml:space="preserve">DELWP (2022). </w:t>
      </w:r>
      <w:r w:rsidRPr="00C87A5A">
        <w:rPr>
          <w:i/>
          <w:iCs/>
          <w:noProof/>
        </w:rPr>
        <w:t xml:space="preserve">Managing the Great Dividing Range Long-footed Potoroo population. Fact Sheet. </w:t>
      </w:r>
      <w:r w:rsidRPr="00C87A5A">
        <w:rPr>
          <w:noProof/>
        </w:rPr>
        <w:t>Department of Environment, Land, Water and Planning, Melbourne, Victoria.</w:t>
      </w:r>
    </w:p>
    <w:p w14:paraId="14740821" w14:textId="38F3EA85" w:rsidR="00C53772" w:rsidRDefault="00C53772" w:rsidP="00C53772">
      <w:pPr>
        <w:pStyle w:val="ARIERRefs"/>
      </w:pPr>
      <w:r w:rsidRPr="00B42B53">
        <w:t>Francis, L., Robley, A. and Hradsky, B. (2020). Evaluating fox management strategies using a spatially explicit population model. Arthur Rylah Institute for Environmental Research Technical Report Series No. 304. Department of Environment, Land, Water and Planning, Heidelberg, Victoria.</w:t>
      </w:r>
    </w:p>
    <w:p w14:paraId="6063F632" w14:textId="77777777" w:rsidR="00AF1CD2" w:rsidRDefault="00AF1CD2" w:rsidP="00AF1CD2">
      <w:pPr>
        <w:pStyle w:val="ARIERRefs"/>
      </w:pPr>
      <w:r w:rsidRPr="00F3407A">
        <w:t xml:space="preserve">Gelman, A., Goegebeur, Y., Tuerlinckx, F. </w:t>
      </w:r>
      <w:r>
        <w:t>and</w:t>
      </w:r>
      <w:r w:rsidRPr="00F3407A">
        <w:t xml:space="preserve"> Van Mechelen, I. (2000). Diagnostic checks for discrete data regression models using posterior predictive simulations. </w:t>
      </w:r>
      <w:r w:rsidRPr="00F3407A">
        <w:rPr>
          <w:i/>
          <w:iCs/>
        </w:rPr>
        <w:t>Journal of the Royal Statistical Society: Series C (Applied Statistics)</w:t>
      </w:r>
      <w:r w:rsidRPr="00F3407A">
        <w:t xml:space="preserve"> </w:t>
      </w:r>
      <w:r w:rsidRPr="00F3407A">
        <w:rPr>
          <w:b/>
          <w:bCs/>
        </w:rPr>
        <w:t>49</w:t>
      </w:r>
      <w:r w:rsidRPr="00F3407A">
        <w:t>, 247</w:t>
      </w:r>
      <w:r>
        <w:t>–</w:t>
      </w:r>
      <w:r w:rsidRPr="00F3407A">
        <w:t>268.</w:t>
      </w:r>
    </w:p>
    <w:p w14:paraId="67F603CD" w14:textId="67E4E32A" w:rsidR="00420E3C" w:rsidRDefault="00876E17" w:rsidP="00C87A5A">
      <w:pPr>
        <w:spacing w:line="276" w:lineRule="auto"/>
        <w:ind w:left="709" w:hanging="709"/>
        <w:rPr>
          <w:noProof/>
        </w:rPr>
      </w:pPr>
      <w:r w:rsidRPr="00876E17">
        <w:rPr>
          <w:noProof/>
        </w:rPr>
        <w:t>Hawbaker, T.J., N.S. Keuler, A.A. Lesak, T. Gobakken, K. Contrucci, and V.C. Radeloff (2009)</w:t>
      </w:r>
      <w:r>
        <w:rPr>
          <w:noProof/>
        </w:rPr>
        <w:t>.</w:t>
      </w:r>
      <w:r w:rsidRPr="00876E17">
        <w:rPr>
          <w:noProof/>
        </w:rPr>
        <w:t xml:space="preserve"> Improved estimates of forest vegetation structure and biomass with a LiDAR-optimized sampling design, J</w:t>
      </w:r>
      <w:r>
        <w:rPr>
          <w:noProof/>
        </w:rPr>
        <w:t>ournal of</w:t>
      </w:r>
      <w:r w:rsidRPr="00876E17">
        <w:rPr>
          <w:noProof/>
        </w:rPr>
        <w:t xml:space="preserve"> Geophys</w:t>
      </w:r>
      <w:r>
        <w:rPr>
          <w:noProof/>
        </w:rPr>
        <w:t>ics</w:t>
      </w:r>
      <w:r w:rsidRPr="00876E17">
        <w:rPr>
          <w:noProof/>
        </w:rPr>
        <w:t xml:space="preserve"> Res</w:t>
      </w:r>
      <w:r>
        <w:rPr>
          <w:noProof/>
        </w:rPr>
        <w:t>earch</w:t>
      </w:r>
      <w:r w:rsidRPr="00876E17">
        <w:rPr>
          <w:noProof/>
        </w:rPr>
        <w:t xml:space="preserve"> </w:t>
      </w:r>
      <w:r w:rsidRPr="00E5101E">
        <w:rPr>
          <w:b/>
          <w:bCs/>
          <w:noProof/>
        </w:rPr>
        <w:t>114</w:t>
      </w:r>
      <w:r w:rsidRPr="00876E17">
        <w:rPr>
          <w:noProof/>
        </w:rPr>
        <w:t>, G00E04, doi:10.1029/2008JG000870</w:t>
      </w:r>
      <w:r w:rsidR="00E5101E">
        <w:rPr>
          <w:noProof/>
        </w:rPr>
        <w:t xml:space="preserve"> (accessed June 2024)</w:t>
      </w:r>
      <w:r w:rsidRPr="00876E17">
        <w:rPr>
          <w:noProof/>
        </w:rPr>
        <w:t>.</w:t>
      </w:r>
    </w:p>
    <w:p w14:paraId="2F59022F" w14:textId="24111515" w:rsidR="00C223DB" w:rsidRPr="00C87A5A" w:rsidRDefault="00C223DB" w:rsidP="00C87A5A">
      <w:pPr>
        <w:spacing w:line="276" w:lineRule="auto"/>
        <w:ind w:left="709" w:hanging="709"/>
        <w:rPr>
          <w:noProof/>
        </w:rPr>
      </w:pPr>
      <w:r>
        <w:t>Hamer, R.P., Gardiner, R.Z., Proft, K.M., Johnson, C.N., Jones, M.E. (202</w:t>
      </w:r>
      <w:r w:rsidR="007C1C38">
        <w:t>0</w:t>
      </w:r>
      <w:r>
        <w:t xml:space="preserve">). A triple threat: high population density, high foraging intensity and flexible habitat preferences explain high impact of feral cats on prey. </w:t>
      </w:r>
      <w:r w:rsidRPr="00C223DB">
        <w:rPr>
          <w:i/>
          <w:iCs/>
        </w:rPr>
        <w:t>Proceeding of the Royal Society</w:t>
      </w:r>
      <w:r>
        <w:t>. B 288: 20201194. https://doi.org/10.1098/rspb.2020.1194</w:t>
      </w:r>
    </w:p>
    <w:p w14:paraId="2138FEAE" w14:textId="77777777" w:rsidR="00C87A5A" w:rsidRPr="00C87A5A" w:rsidRDefault="00C87A5A" w:rsidP="00C87A5A">
      <w:pPr>
        <w:spacing w:line="276" w:lineRule="auto"/>
        <w:ind w:left="709" w:hanging="709"/>
        <w:rPr>
          <w:noProof/>
        </w:rPr>
      </w:pPr>
      <w:r w:rsidRPr="00C87A5A">
        <w:rPr>
          <w:noProof/>
        </w:rPr>
        <w:t xml:space="preserve">Jackson, S.M., Groves, C.P., Flemming, P.J.S., Aplin, K.P., Eldridge, M.D.B., Gonzalez, A. and Helgen, K.M. (2017). The wayward dog: is the Australian native dog or dingo a distinct species? </w:t>
      </w:r>
      <w:r w:rsidRPr="00C87A5A">
        <w:rPr>
          <w:i/>
          <w:iCs/>
          <w:noProof/>
        </w:rPr>
        <w:t>Zootaxa</w:t>
      </w:r>
      <w:r w:rsidRPr="00C87A5A">
        <w:rPr>
          <w:noProof/>
        </w:rPr>
        <w:t xml:space="preserve"> </w:t>
      </w:r>
      <w:r w:rsidRPr="00C87A5A">
        <w:rPr>
          <w:b/>
          <w:bCs/>
          <w:noProof/>
        </w:rPr>
        <w:t>4317</w:t>
      </w:r>
      <w:r w:rsidRPr="00C87A5A">
        <w:rPr>
          <w:noProof/>
        </w:rPr>
        <w:t xml:space="preserve">, 201–224. </w:t>
      </w:r>
      <w:hyperlink r:id="rId63" w:history="1">
        <w:r w:rsidRPr="00C87A5A">
          <w:rPr>
            <w:noProof/>
          </w:rPr>
          <w:t>doi:org/10.11646/zootaxa.4317.2.1</w:t>
        </w:r>
      </w:hyperlink>
    </w:p>
    <w:p w14:paraId="228F2D82" w14:textId="77777777" w:rsidR="00C87A5A" w:rsidRPr="00C87A5A" w:rsidRDefault="00C87A5A" w:rsidP="00C87A5A">
      <w:pPr>
        <w:spacing w:line="276" w:lineRule="auto"/>
        <w:ind w:left="709" w:hanging="709"/>
        <w:rPr>
          <w:noProof/>
        </w:rPr>
      </w:pPr>
      <w:r w:rsidRPr="00C87A5A">
        <w:rPr>
          <w:noProof/>
        </w:rPr>
        <w:t xml:space="preserve">Jackson, S.M., Fleming, P.J.S., Eldridge, M.D.B., Ingleby, S., Flannery, T.F., Johnson, R.N., Cooper, S.J.B., Mitchell, K.J., Souili, T., Cooper, A., Wilson, D.E. and Helgen, K.M. (2019). The dogma of dingoes – taxonomic status of the dingo: a reply to Smith et al. </w:t>
      </w:r>
      <w:r w:rsidRPr="00C87A5A">
        <w:rPr>
          <w:i/>
          <w:iCs/>
          <w:noProof/>
        </w:rPr>
        <w:t>Zootaxa</w:t>
      </w:r>
      <w:r w:rsidRPr="00C87A5A">
        <w:rPr>
          <w:noProof/>
        </w:rPr>
        <w:t xml:space="preserve"> </w:t>
      </w:r>
      <w:r w:rsidRPr="00C87A5A">
        <w:rPr>
          <w:b/>
          <w:bCs/>
          <w:noProof/>
        </w:rPr>
        <w:t>4564</w:t>
      </w:r>
      <w:r w:rsidRPr="00C87A5A">
        <w:rPr>
          <w:noProof/>
        </w:rPr>
        <w:t>, 198–212.</w:t>
      </w:r>
    </w:p>
    <w:p w14:paraId="69D194F6" w14:textId="77777777" w:rsidR="00C87A5A" w:rsidRPr="00C87A5A" w:rsidRDefault="00C87A5A" w:rsidP="00C87A5A">
      <w:pPr>
        <w:spacing w:line="276" w:lineRule="auto"/>
        <w:ind w:left="709" w:hanging="709"/>
        <w:rPr>
          <w:noProof/>
        </w:rPr>
      </w:pPr>
      <w:r w:rsidRPr="00C87A5A">
        <w:rPr>
          <w:noProof/>
        </w:rPr>
        <w:t xml:space="preserve">Jones, N. and Johnson, G.A. (1997). </w:t>
      </w:r>
      <w:r w:rsidRPr="00C87A5A">
        <w:rPr>
          <w:i/>
          <w:iCs/>
          <w:noProof/>
        </w:rPr>
        <w:t>The Long-footed Potoroo in the north-eastern Victorian Alps: 1995–96 survey report. Flora and Fauna Technical Report No. 147</w:t>
      </w:r>
      <w:r w:rsidRPr="00C87A5A">
        <w:rPr>
          <w:noProof/>
        </w:rPr>
        <w:t>. Department of Natural Resources and Environment, Melbourne, Victoria.</w:t>
      </w:r>
    </w:p>
    <w:p w14:paraId="2A68F602" w14:textId="7D493EEC" w:rsidR="00C87A5A" w:rsidRPr="00C87A5A" w:rsidRDefault="00C87A5A" w:rsidP="00327F1C">
      <w:pPr>
        <w:spacing w:line="276" w:lineRule="auto"/>
        <w:ind w:left="709" w:hanging="709"/>
        <w:rPr>
          <w:noProof/>
        </w:rPr>
      </w:pPr>
      <w:r w:rsidRPr="00C87A5A">
        <w:rPr>
          <w:noProof/>
        </w:rPr>
        <w:t xml:space="preserve">Liu, C., White, M., Newell, G. and Griffioen, P. (2013). Species distribution modelling for conservation planning in Victoria, Australia. </w:t>
      </w:r>
      <w:r w:rsidRPr="00C87A5A">
        <w:rPr>
          <w:i/>
          <w:iCs/>
          <w:noProof/>
        </w:rPr>
        <w:t>Ecological Modelling</w:t>
      </w:r>
      <w:r w:rsidRPr="00C87A5A">
        <w:rPr>
          <w:noProof/>
        </w:rPr>
        <w:t xml:space="preserve"> </w:t>
      </w:r>
      <w:r w:rsidRPr="00C87A5A">
        <w:rPr>
          <w:b/>
          <w:bCs/>
          <w:noProof/>
        </w:rPr>
        <w:t>249,</w:t>
      </w:r>
      <w:r w:rsidRPr="00C87A5A">
        <w:rPr>
          <w:noProof/>
        </w:rPr>
        <w:t xml:space="preserve"> 68–74.</w:t>
      </w:r>
    </w:p>
    <w:p w14:paraId="17B26CF7" w14:textId="77777777" w:rsidR="00C87A5A" w:rsidRPr="00C87A5A" w:rsidRDefault="00C87A5A" w:rsidP="00C87A5A">
      <w:pPr>
        <w:spacing w:line="276" w:lineRule="auto"/>
        <w:ind w:left="821" w:right="173" w:hanging="821"/>
        <w:rPr>
          <w:szCs w:val="16"/>
        </w:rPr>
      </w:pPr>
      <w:r w:rsidRPr="00C87A5A">
        <w:t xml:space="preserve">Lumsden, L., Chick, R., Scroggie, M., Howard, K., Woodford, L., Douglas, A., Alexander, J. and Pascoe, C. (2012). </w:t>
      </w:r>
      <w:r w:rsidRPr="00C87A5A">
        <w:rPr>
          <w:i/>
          <w:iCs/>
        </w:rPr>
        <w:t>Assessing management strategies and wildfire impact on Long-footed Potoroos in the Great Dividing Range area of Victoria</w:t>
      </w:r>
      <w:r w:rsidRPr="00C87A5A">
        <w:t xml:space="preserve">. </w:t>
      </w:r>
      <w:r w:rsidRPr="00C87A5A">
        <w:rPr>
          <w:i/>
          <w:iCs/>
        </w:rPr>
        <w:t>4th Progress Report.</w:t>
      </w:r>
      <w:r w:rsidRPr="00C87A5A">
        <w:t xml:space="preserve"> </w:t>
      </w:r>
      <w:r w:rsidRPr="00C87A5A">
        <w:rPr>
          <w:szCs w:val="16"/>
        </w:rPr>
        <w:t>Arthur Rylah Institute for Environmental Research Unpublished Report. Department of Sustainability and Environment, Heidelberg, Victoria.</w:t>
      </w:r>
    </w:p>
    <w:p w14:paraId="330B0916" w14:textId="77777777" w:rsidR="00C87A5A" w:rsidRDefault="00C87A5A" w:rsidP="00C87A5A">
      <w:pPr>
        <w:spacing w:line="276" w:lineRule="auto"/>
        <w:ind w:left="821" w:right="173" w:hanging="821"/>
        <w:rPr>
          <w:szCs w:val="20"/>
          <w:shd w:val="clear" w:color="auto" w:fill="FFFFFF"/>
        </w:rPr>
      </w:pPr>
      <w:r w:rsidRPr="00C87A5A">
        <w:rPr>
          <w:szCs w:val="20"/>
          <w:shd w:val="clear" w:color="auto" w:fill="FFFFFF"/>
        </w:rPr>
        <w:t xml:space="preserve">Lunn, D.J., Best, N. and Whittaker, J. (2008). Generic reversible jump MCMC using graphical models. </w:t>
      </w:r>
      <w:r w:rsidRPr="00C87A5A">
        <w:rPr>
          <w:i/>
          <w:iCs/>
          <w:szCs w:val="20"/>
          <w:shd w:val="clear" w:color="auto" w:fill="FFFFFF"/>
        </w:rPr>
        <w:t>Statistics and Computing</w:t>
      </w:r>
      <w:r w:rsidRPr="00C87A5A">
        <w:rPr>
          <w:szCs w:val="20"/>
          <w:shd w:val="clear" w:color="auto" w:fill="FFFFFF"/>
        </w:rPr>
        <w:t xml:space="preserve"> </w:t>
      </w:r>
      <w:r w:rsidRPr="00C87A5A">
        <w:rPr>
          <w:b/>
          <w:bCs/>
          <w:szCs w:val="20"/>
          <w:shd w:val="clear" w:color="auto" w:fill="FFFFFF"/>
        </w:rPr>
        <w:t>19,</w:t>
      </w:r>
      <w:r w:rsidRPr="00C87A5A">
        <w:rPr>
          <w:szCs w:val="20"/>
          <w:shd w:val="clear" w:color="auto" w:fill="FFFFFF"/>
        </w:rPr>
        <w:t xml:space="preserve"> 395. doi:10.1007/s11222-008-9100-0</w:t>
      </w:r>
    </w:p>
    <w:p w14:paraId="4968642A" w14:textId="4D5BCD2D" w:rsidR="00C87A5A" w:rsidRPr="000B6074" w:rsidRDefault="00C87A5A" w:rsidP="00327F1C">
      <w:pPr>
        <w:spacing w:line="276" w:lineRule="auto"/>
        <w:ind w:left="709" w:hanging="709"/>
        <w:rPr>
          <w:lang w:val="es-ES"/>
        </w:rPr>
      </w:pPr>
      <w:r w:rsidRPr="00C87A5A">
        <w:rPr>
          <w:noProof/>
        </w:rPr>
        <w:lastRenderedPageBreak/>
        <w:t xml:space="preserve">MacKenzie, D.I., Nicols, J.D., Royle, J.A., Pollock, K.H., Bailey, L.L. and Hines, J.E. (2017). </w:t>
      </w:r>
      <w:r w:rsidRPr="00C87A5A">
        <w:rPr>
          <w:i/>
          <w:iCs/>
          <w:noProof/>
        </w:rPr>
        <w:t>Occupancy Estimation and Modeling. Inferring Patterns and Dynamics of Species Occurrence</w:t>
      </w:r>
      <w:r w:rsidRPr="00C87A5A">
        <w:rPr>
          <w:noProof/>
        </w:rPr>
        <w:t xml:space="preserve">. </w:t>
      </w:r>
      <w:r w:rsidRPr="000B6074">
        <w:rPr>
          <w:lang w:val="es-ES"/>
        </w:rPr>
        <w:t>Elsevier, San Diego, California, USA.</w:t>
      </w:r>
    </w:p>
    <w:p w14:paraId="171FDED9" w14:textId="77777777" w:rsidR="00C87A5A" w:rsidRPr="00C87A5A" w:rsidRDefault="00C87A5A" w:rsidP="00C87A5A">
      <w:pPr>
        <w:spacing w:line="276" w:lineRule="auto"/>
        <w:ind w:left="709" w:hanging="709"/>
        <w:rPr>
          <w:noProof/>
          <w:szCs w:val="20"/>
          <w:shd w:val="clear" w:color="auto" w:fill="FFFFFF"/>
        </w:rPr>
      </w:pPr>
      <w:r w:rsidRPr="000B6074">
        <w:rPr>
          <w:szCs w:val="20"/>
          <w:shd w:val="clear" w:color="auto" w:fill="FFFFFF"/>
          <w:lang w:val="es-ES"/>
        </w:rPr>
        <w:t xml:space="preserve">O’Hara, R.R. and Sillanpää, M.J. (2009). </w:t>
      </w:r>
      <w:r w:rsidRPr="00C87A5A">
        <w:rPr>
          <w:noProof/>
          <w:szCs w:val="20"/>
          <w:shd w:val="clear" w:color="auto" w:fill="FFFFFF"/>
        </w:rPr>
        <w:t xml:space="preserve">A review of Bayesian variable selection methods: what, how and which. </w:t>
      </w:r>
      <w:r w:rsidRPr="00C87A5A">
        <w:rPr>
          <w:i/>
          <w:iCs/>
          <w:noProof/>
          <w:szCs w:val="20"/>
          <w:shd w:val="clear" w:color="auto" w:fill="FFFFFF"/>
        </w:rPr>
        <w:t>Bayesian Analysis</w:t>
      </w:r>
      <w:r w:rsidRPr="00C87A5A">
        <w:rPr>
          <w:noProof/>
          <w:szCs w:val="20"/>
          <w:shd w:val="clear" w:color="auto" w:fill="FFFFFF"/>
        </w:rPr>
        <w:t xml:space="preserve"> </w:t>
      </w:r>
      <w:r w:rsidRPr="00C87A5A">
        <w:rPr>
          <w:b/>
          <w:bCs/>
          <w:noProof/>
          <w:szCs w:val="20"/>
          <w:shd w:val="clear" w:color="auto" w:fill="FFFFFF"/>
        </w:rPr>
        <w:t>4,</w:t>
      </w:r>
      <w:r w:rsidRPr="00C87A5A">
        <w:rPr>
          <w:noProof/>
          <w:szCs w:val="20"/>
          <w:shd w:val="clear" w:color="auto" w:fill="FFFFFF"/>
        </w:rPr>
        <w:t xml:space="preserve"> 85–117.</w:t>
      </w:r>
      <w:hyperlink r:id="rId64" w:history="1">
        <w:r w:rsidRPr="00C87A5A">
          <w:rPr>
            <w:noProof/>
            <w:szCs w:val="20"/>
            <w:shd w:val="clear" w:color="auto" w:fill="FFFFFF"/>
          </w:rPr>
          <w:t xml:space="preserve"> doi:org/10.1214/09-BA403</w:t>
        </w:r>
      </w:hyperlink>
    </w:p>
    <w:p w14:paraId="7846E73A" w14:textId="0EB17A05" w:rsidR="00C223DB" w:rsidRDefault="00C223DB" w:rsidP="00C87A5A">
      <w:pPr>
        <w:spacing w:line="276" w:lineRule="auto"/>
        <w:ind w:left="709" w:hanging="709"/>
        <w:rPr>
          <w:noProof/>
        </w:rPr>
      </w:pPr>
      <w:r>
        <w:rPr>
          <w:color w:val="222222"/>
          <w:szCs w:val="20"/>
          <w:shd w:val="clear" w:color="auto" w:fill="FFFFFF"/>
        </w:rPr>
        <w:t>Rees, M.W., Pascoe, J.H., Wintle, B.A., Le Pla, M., Birnbaum, E.K. and Hradsky, B.A. (2019). Unexpectedly high densities of feral cats in a rugged temperate forest. </w:t>
      </w:r>
      <w:r>
        <w:rPr>
          <w:i/>
          <w:iCs/>
          <w:color w:val="222222"/>
          <w:szCs w:val="20"/>
          <w:shd w:val="clear" w:color="auto" w:fill="FFFFFF"/>
        </w:rPr>
        <w:t>Biological Conservation</w:t>
      </w:r>
      <w:r>
        <w:rPr>
          <w:color w:val="222222"/>
          <w:szCs w:val="20"/>
          <w:shd w:val="clear" w:color="auto" w:fill="FFFFFF"/>
        </w:rPr>
        <w:t>,</w:t>
      </w:r>
      <w:r w:rsidRPr="00C223DB">
        <w:rPr>
          <w:b/>
          <w:bCs/>
          <w:color w:val="222222"/>
          <w:szCs w:val="20"/>
          <w:shd w:val="clear" w:color="auto" w:fill="FFFFFF"/>
        </w:rPr>
        <w:t> </w:t>
      </w:r>
      <w:r w:rsidRPr="00C223DB">
        <w:rPr>
          <w:b/>
          <w:bCs/>
          <w:i/>
          <w:iCs/>
          <w:color w:val="222222"/>
          <w:szCs w:val="20"/>
          <w:shd w:val="clear" w:color="auto" w:fill="FFFFFF"/>
        </w:rPr>
        <w:t>239</w:t>
      </w:r>
      <w:r>
        <w:rPr>
          <w:color w:val="222222"/>
          <w:szCs w:val="20"/>
          <w:shd w:val="clear" w:color="auto" w:fill="FFFFFF"/>
        </w:rPr>
        <w:t xml:space="preserve"> 108287.</w:t>
      </w:r>
    </w:p>
    <w:p w14:paraId="3CB4D7B7" w14:textId="4237F88C" w:rsidR="00C87A5A" w:rsidRPr="00C87A5A" w:rsidRDefault="00C87A5A" w:rsidP="00C87A5A">
      <w:pPr>
        <w:spacing w:line="276" w:lineRule="auto"/>
        <w:ind w:left="709" w:hanging="709"/>
        <w:rPr>
          <w:noProof/>
        </w:rPr>
      </w:pPr>
      <w:r w:rsidRPr="00C87A5A">
        <w:rPr>
          <w:noProof/>
        </w:rPr>
        <w:t xml:space="preserve">Rees, M.W., Pascoe, J.H., Le Pla, M., Robley, A., Birnbaum, E.K., Wintle, B. and Hradsky, B.A. (2023). Mesopredator release among invasive predators: controlling red foxes can increase feral cat densities and alter their behaviour. </w:t>
      </w:r>
      <w:r w:rsidRPr="00C87A5A">
        <w:rPr>
          <w:i/>
          <w:iCs/>
          <w:noProof/>
        </w:rPr>
        <w:t>Journal of Applied Ecology</w:t>
      </w:r>
      <w:r w:rsidRPr="00C87A5A">
        <w:rPr>
          <w:noProof/>
        </w:rPr>
        <w:t xml:space="preserve"> </w:t>
      </w:r>
      <w:r w:rsidRPr="00C87A5A">
        <w:rPr>
          <w:b/>
          <w:bCs/>
          <w:noProof/>
        </w:rPr>
        <w:t>60</w:t>
      </w:r>
      <w:r w:rsidRPr="00C87A5A">
        <w:rPr>
          <w:noProof/>
        </w:rPr>
        <w:t>, 1100–1114. doi:10.1111/1365-2664.14402</w:t>
      </w:r>
    </w:p>
    <w:p w14:paraId="00C459C2" w14:textId="77777777" w:rsidR="00C87A5A" w:rsidRPr="00C87A5A" w:rsidRDefault="00C87A5A" w:rsidP="00C87A5A">
      <w:pPr>
        <w:spacing w:line="276" w:lineRule="auto"/>
        <w:ind w:left="709" w:hanging="709"/>
        <w:rPr>
          <w:bCs/>
          <w:noProof/>
          <w:lang w:val="en-US"/>
        </w:rPr>
      </w:pPr>
      <w:r w:rsidRPr="00C87A5A">
        <w:rPr>
          <w:bCs/>
          <w:noProof/>
          <w:lang w:val="en-US"/>
        </w:rPr>
        <w:t xml:space="preserve">Robley, A. (2022). </w:t>
      </w:r>
      <w:r w:rsidRPr="00C87A5A">
        <w:rPr>
          <w:bCs/>
          <w:i/>
          <w:iCs/>
          <w:noProof/>
          <w:lang w:val="en-US"/>
        </w:rPr>
        <w:t>Managing the Great Dividing Range Long-footed Potoroo population – Fact Sheet</w:t>
      </w:r>
      <w:r w:rsidRPr="00C87A5A">
        <w:rPr>
          <w:bCs/>
          <w:noProof/>
          <w:lang w:val="en-US"/>
        </w:rPr>
        <w:t>. Arthur Rylah Institute for Environmental Research, Department of Environment Land, Water and Planning, Heidelberg, Victoria.</w:t>
      </w:r>
    </w:p>
    <w:p w14:paraId="07B40587" w14:textId="77777777" w:rsidR="00C87A5A" w:rsidRPr="00C87A5A" w:rsidRDefault="00C87A5A" w:rsidP="00C87A5A">
      <w:pPr>
        <w:spacing w:line="276" w:lineRule="auto"/>
        <w:ind w:left="709" w:hanging="709"/>
        <w:rPr>
          <w:noProof/>
        </w:rPr>
      </w:pPr>
      <w:r w:rsidRPr="00C87A5A">
        <w:rPr>
          <w:noProof/>
        </w:rPr>
        <w:t xml:space="preserve">Robley, A., Moloney, P.D. and Le Duc, E. (2023). </w:t>
      </w:r>
      <w:r w:rsidRPr="00C87A5A">
        <w:rPr>
          <w:i/>
          <w:iCs/>
          <w:noProof/>
        </w:rPr>
        <w:t>Glenelg Ark—2022 monitoring and evaluation update</w:t>
      </w:r>
      <w:r w:rsidRPr="00C87A5A">
        <w:rPr>
          <w:noProof/>
        </w:rPr>
        <w:t>. Arthur Rylah Institute for Environmental Research Technical Report Series No. 358. Department of Energy, Environment and Climate Action, Heidelberg, Victoria.</w:t>
      </w:r>
    </w:p>
    <w:p w14:paraId="2044B94E" w14:textId="77777777" w:rsidR="00C87A5A" w:rsidRPr="00C87A5A" w:rsidRDefault="00C87A5A" w:rsidP="00C87A5A">
      <w:pPr>
        <w:spacing w:line="276" w:lineRule="auto"/>
        <w:ind w:left="709" w:hanging="709"/>
        <w:rPr>
          <w:noProof/>
        </w:rPr>
      </w:pPr>
      <w:r w:rsidRPr="00C87A5A">
        <w:rPr>
          <w:noProof/>
        </w:rPr>
        <w:t xml:space="preserve">Robley, A., Scroggie, M., Chick, R., Gillespie, G., Alexander, J., Wentworth, A., Purdey, D., Bush, A. and Miles, J. (2005). </w:t>
      </w:r>
      <w:r w:rsidRPr="00C87A5A">
        <w:rPr>
          <w:i/>
          <w:iCs/>
          <w:noProof/>
        </w:rPr>
        <w:t>Assessing management strategies and wildfire impact on Long-footed Potoroos in North East Victoria. Progress Report 1: Results from the 2004/05 predator control and Long-footed Potoroo monitoring program</w:t>
      </w:r>
      <w:r w:rsidRPr="00C87A5A">
        <w:rPr>
          <w:noProof/>
        </w:rPr>
        <w:t>. Unpublished report. Department of Sustainability and Environment, Heidelberg, Victoria.</w:t>
      </w:r>
    </w:p>
    <w:p w14:paraId="513E5E96" w14:textId="77777777" w:rsidR="00C87A5A" w:rsidRDefault="00C87A5A" w:rsidP="00C87A5A">
      <w:pPr>
        <w:spacing w:line="276" w:lineRule="auto"/>
        <w:ind w:left="709" w:hanging="709"/>
        <w:rPr>
          <w:noProof/>
        </w:rPr>
      </w:pPr>
      <w:r w:rsidRPr="00C87A5A">
        <w:rPr>
          <w:noProof/>
        </w:rPr>
        <w:t xml:space="preserve">Seebeck, J.H. and Johnston, P.G. (1980). </w:t>
      </w:r>
      <w:r w:rsidRPr="00C87A5A">
        <w:rPr>
          <w:i/>
          <w:iCs/>
          <w:noProof/>
        </w:rPr>
        <w:t xml:space="preserve">Potorous longipes </w:t>
      </w:r>
      <w:r w:rsidRPr="00C87A5A">
        <w:rPr>
          <w:noProof/>
        </w:rPr>
        <w:t xml:space="preserve">(Marsupialia: Macropodidae); a new species from eastern Victoria. </w:t>
      </w:r>
      <w:r w:rsidRPr="00C87A5A">
        <w:rPr>
          <w:i/>
          <w:iCs/>
          <w:noProof/>
        </w:rPr>
        <w:t xml:space="preserve">Australian Journal of Zoology </w:t>
      </w:r>
      <w:r w:rsidRPr="00C87A5A">
        <w:rPr>
          <w:b/>
          <w:bCs/>
          <w:noProof/>
        </w:rPr>
        <w:t>28</w:t>
      </w:r>
      <w:r w:rsidRPr="00C87A5A">
        <w:rPr>
          <w:noProof/>
        </w:rPr>
        <w:t>, 119–134.</w:t>
      </w:r>
    </w:p>
    <w:p w14:paraId="6A2AC9AD" w14:textId="77777777" w:rsidR="001C2988" w:rsidRDefault="001C2988" w:rsidP="001C2988">
      <w:pPr>
        <w:pStyle w:val="ARIERRefs"/>
        <w:rPr>
          <w:color w:val="222222"/>
          <w:szCs w:val="20"/>
          <w:shd w:val="clear" w:color="auto" w:fill="FFFFFF"/>
        </w:rPr>
      </w:pPr>
      <w:r w:rsidRPr="009A1967">
        <w:rPr>
          <w:color w:val="222222"/>
          <w:shd w:val="clear" w:color="auto" w:fill="FFFFFF"/>
        </w:rPr>
        <w:t>Spiegelhalter, D., Thomas, A., Best, N. and Lunn, D. (2003). WinBUGS user manual.</w:t>
      </w:r>
      <w:r w:rsidRPr="009A1967">
        <w:t xml:space="preserve"> </w:t>
      </w:r>
      <w:r>
        <w:t xml:space="preserve">Version 1.4. </w:t>
      </w:r>
      <w:hyperlink r:id="rId65" w:history="1">
        <w:r w:rsidRPr="009A1967">
          <w:rPr>
            <w:rStyle w:val="Hyperlink"/>
            <w:shd w:val="clear" w:color="auto" w:fill="FFFFFF"/>
          </w:rPr>
          <w:t>https://www.mrc-bsu.cam.ac.uk/wp-content/uploads/manual14.pdf</w:t>
        </w:r>
      </w:hyperlink>
      <w:r>
        <w:rPr>
          <w:rStyle w:val="Hyperlink"/>
          <w:shd w:val="clear" w:color="auto" w:fill="FFFFFF"/>
        </w:rPr>
        <w:t xml:space="preserve"> .</w:t>
      </w:r>
      <w:r>
        <w:rPr>
          <w:color w:val="222222"/>
          <w:szCs w:val="20"/>
          <w:shd w:val="clear" w:color="auto" w:fill="FFFFFF"/>
        </w:rPr>
        <w:t>(accessed April 2023).</w:t>
      </w:r>
    </w:p>
    <w:p w14:paraId="2BD42D9E" w14:textId="77777777" w:rsidR="00C87A5A" w:rsidRPr="00C87A5A" w:rsidRDefault="00C87A5A" w:rsidP="00C87A5A">
      <w:pPr>
        <w:spacing w:line="276" w:lineRule="auto"/>
        <w:ind w:left="709" w:hanging="709"/>
        <w:rPr>
          <w:noProof/>
        </w:rPr>
      </w:pPr>
      <w:r w:rsidRPr="00C87A5A">
        <w:rPr>
          <w:noProof/>
        </w:rPr>
        <w:t xml:space="preserve">Woinarski, J.C.Z., Burbidge, A.A. and Harrison, P.L. (2014). </w:t>
      </w:r>
      <w:r w:rsidRPr="00C87A5A">
        <w:rPr>
          <w:i/>
          <w:iCs/>
          <w:noProof/>
        </w:rPr>
        <w:t>The Action Plan for Australian Mammals 2012</w:t>
      </w:r>
      <w:r w:rsidRPr="00C87A5A">
        <w:rPr>
          <w:noProof/>
        </w:rPr>
        <w:t>. CSIRO Publishing, Melbourne, Victoria.</w:t>
      </w:r>
    </w:p>
    <w:p w14:paraId="1E62837C" w14:textId="77777777" w:rsidR="00D868AD" w:rsidRPr="00D868AD" w:rsidRDefault="00D868AD" w:rsidP="00D868AD">
      <w:pPr>
        <w:pStyle w:val="ARIERRefs"/>
      </w:pPr>
    </w:p>
    <w:p w14:paraId="445AFBFF" w14:textId="77777777" w:rsidR="00D868AD" w:rsidRPr="00D868AD" w:rsidRDefault="00D868AD" w:rsidP="00D868AD">
      <w:pPr>
        <w:pStyle w:val="ARIERRefs"/>
        <w:rPr>
          <w:color w:val="FF0000"/>
        </w:rPr>
        <w:sectPr w:rsidR="00D868AD" w:rsidRPr="00D868AD" w:rsidSect="004D3E22">
          <w:footerReference w:type="default" r:id="rId66"/>
          <w:type w:val="continuous"/>
          <w:pgSz w:w="11907" w:h="16840" w:code="9"/>
          <w:pgMar w:top="1134" w:right="1134" w:bottom="1134" w:left="1134" w:header="709" w:footer="567" w:gutter="0"/>
          <w:cols w:space="708"/>
          <w:formProt w:val="0"/>
          <w:titlePg/>
          <w:docGrid w:linePitch="360"/>
        </w:sectPr>
      </w:pPr>
    </w:p>
    <w:p w14:paraId="4DCF4DEA" w14:textId="7B7CA626" w:rsidR="00D868AD" w:rsidRDefault="00D868AD" w:rsidP="00DC3852"/>
    <w:p w14:paraId="24ECF622" w14:textId="77777777" w:rsidR="00D868AD" w:rsidRDefault="00D868AD" w:rsidP="00DC3852">
      <w:pPr>
        <w:sectPr w:rsidR="00D868AD" w:rsidSect="00D868AD">
          <w:pgSz w:w="11907" w:h="16840" w:code="9"/>
          <w:pgMar w:top="1134" w:right="1134" w:bottom="1134" w:left="1134" w:header="709" w:footer="567" w:gutter="0"/>
          <w:cols w:space="708"/>
          <w:formProt w:val="0"/>
          <w:titlePg/>
          <w:docGrid w:linePitch="360"/>
        </w:sectPr>
      </w:pPr>
    </w:p>
    <w:p w14:paraId="31AB2DF3" w14:textId="3D9CB68C" w:rsidR="009B6ADD" w:rsidRPr="00243764" w:rsidRDefault="00487748" w:rsidP="00DC3852">
      <w:pPr>
        <w:sectPr w:rsidR="009B6ADD" w:rsidRPr="00243764" w:rsidSect="00D868AD">
          <w:footerReference w:type="first" r:id="rId67"/>
          <w:pgSz w:w="11907" w:h="16840" w:code="9"/>
          <w:pgMar w:top="1134" w:right="1134" w:bottom="1134" w:left="1134" w:header="709" w:footer="567" w:gutter="0"/>
          <w:cols w:space="708"/>
          <w:formProt w:val="0"/>
          <w:titlePg/>
          <w:docGrid w:linePitch="360"/>
        </w:sectPr>
      </w:pPr>
      <w:r>
        <w:rPr>
          <w:noProof/>
        </w:rPr>
        <w:lastRenderedPageBreak/>
        <mc:AlternateContent>
          <mc:Choice Requires="wps">
            <w:drawing>
              <wp:anchor distT="0" distB="0" distL="114300" distR="114300" simplePos="0" relativeHeight="251658248" behindDoc="1" locked="0" layoutInCell="1" allowOverlap="1" wp14:anchorId="6C4736AA" wp14:editId="6DD91F90">
                <wp:simplePos x="0" y="0"/>
                <wp:positionH relativeFrom="page">
                  <wp:posOffset>485140</wp:posOffset>
                </wp:positionH>
                <wp:positionV relativeFrom="paragraph">
                  <wp:posOffset>-362585</wp:posOffset>
                </wp:positionV>
                <wp:extent cx="6839585" cy="9971405"/>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9585" cy="9971405"/>
                        </a:xfrm>
                        <a:prstGeom prst="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D59DE" id="Rectangle 19" o:spid="_x0000_s1026" style="position:absolute;margin-left:38.2pt;margin-top:-28.55pt;width:538.55pt;height:785.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" fillcolor="#201547 [3206]" stroked="f">
                <w10:wrap anchorx="page"/>
              </v:rect>
            </w:pict>
          </mc:Fallback>
        </mc:AlternateContent>
      </w:r>
    </w:p>
    <w:p w14:paraId="0F0E9494" w14:textId="191B118F" w:rsidR="004D3E22" w:rsidRPr="00243764" w:rsidRDefault="00487748" w:rsidP="00DC3852">
      <w:r>
        <w:rPr>
          <w:noProof/>
        </w:rPr>
        <mc:AlternateContent>
          <mc:Choice Requires="wps">
            <w:drawing>
              <wp:anchor distT="0" distB="0" distL="114300" distR="114300" simplePos="0" relativeHeight="251658247" behindDoc="0" locked="0" layoutInCell="1" allowOverlap="1" wp14:anchorId="441CAA80" wp14:editId="71926AE0">
                <wp:simplePos x="0" y="0"/>
                <wp:positionH relativeFrom="page">
                  <wp:posOffset>723900</wp:posOffset>
                </wp:positionH>
                <wp:positionV relativeFrom="paragraph">
                  <wp:posOffset>7280910</wp:posOffset>
                </wp:positionV>
                <wp:extent cx="2343150" cy="147193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71930"/>
                        </a:xfrm>
                        <a:prstGeom prst="rect">
                          <a:avLst/>
                        </a:prstGeom>
                        <a:noFill/>
                        <a:ln>
                          <a:noFill/>
                        </a:ln>
                      </wps:spPr>
                      <wps:txbx>
                        <w:txbxContent>
                          <w:p w14:paraId="095E0C42" w14:textId="4E3CBB9F" w:rsidR="00CB267A" w:rsidRPr="00D422B5" w:rsidRDefault="003E177E" w:rsidP="00DC3852">
                            <w:pPr>
                              <w:pStyle w:val="Backpagewebaddress"/>
                            </w:pPr>
                            <w:hyperlink r:id="rId68" w:history="1">
                              <w:r w:rsidRPr="00797A83">
                                <w:rPr>
                                  <w:rStyle w:val="Hyperlink"/>
                                </w:rPr>
                                <w:t>www.deeca.vic.gov.au</w:t>
                              </w:r>
                            </w:hyperlink>
                          </w:p>
                          <w:p w14:paraId="7808FA31" w14:textId="773D1854" w:rsidR="00CB267A" w:rsidRPr="00A32CF2" w:rsidRDefault="00CB267A" w:rsidP="00DC3852">
                            <w:pPr>
                              <w:pStyle w:val="Backpagewebaddress"/>
                            </w:pPr>
                            <w:r w:rsidRPr="00A32CF2">
                              <w:t>www.</w:t>
                            </w:r>
                            <w:r w:rsidR="003E177E">
                              <w:t>ari</w:t>
                            </w:r>
                            <w:r w:rsidRPr="00A32CF2">
                              <w:t>.vic.gov.au</w:t>
                            </w: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41CAA80" id="Text Box 18" o:spid="_x0000_s1030" type="#_x0000_t202" style="position:absolute;margin-left:57pt;margin-top:573.3pt;width:184.5pt;height:115.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" filled="f" stroked="f">
                <v:textbox inset=",7.2pt,,7.2pt">
                  <w:txbxContent>
                    <w:p w14:paraId="095E0C42" w14:textId="4E3CBB9F" w:rsidR="00CB267A" w:rsidRPr="00D422B5" w:rsidRDefault="003E177E" w:rsidP="00DC3852">
                      <w:pPr>
                        <w:pStyle w:val="Backpagewebaddress"/>
                      </w:pPr>
                      <w:hyperlink r:id="rId69" w:history="1">
                        <w:r w:rsidRPr="00797A83">
                          <w:rPr>
                            <w:rStyle w:val="Hyperlink"/>
                          </w:rPr>
                          <w:t>www.deeca.vic.gov.au</w:t>
                        </w:r>
                      </w:hyperlink>
                    </w:p>
                    <w:p w14:paraId="7808FA31" w14:textId="773D1854" w:rsidR="00CB267A" w:rsidRPr="00A32CF2" w:rsidRDefault="00CB267A" w:rsidP="00DC3852">
                      <w:pPr>
                        <w:pStyle w:val="Backpagewebaddress"/>
                      </w:pPr>
                      <w:r w:rsidRPr="00A32CF2">
                        <w:t>www.</w:t>
                      </w:r>
                      <w:r w:rsidR="003E177E">
                        <w:t>ari</w:t>
                      </w:r>
                      <w:r w:rsidRPr="00A32CF2">
                        <w:t>.vic.gov.au</w:t>
                      </w:r>
                    </w:p>
                  </w:txbxContent>
                </v:textbox>
                <w10:wrap anchorx="page"/>
              </v:shape>
            </w:pict>
          </mc:Fallback>
        </mc:AlternateContent>
      </w:r>
    </w:p>
    <w:sectPr w:rsidR="004D3E22" w:rsidRPr="00243764" w:rsidSect="006C2C00">
      <w:headerReference w:type="default" r:id="rId70"/>
      <w:footerReference w:type="default" r:id="rId71"/>
      <w:type w:val="continuous"/>
      <w:pgSz w:w="11907" w:h="16840" w:code="9"/>
      <w:pgMar w:top="1134" w:right="1134" w:bottom="1134" w:left="1134" w:header="709" w:footer="567" w:gutter="0"/>
      <w:pgNumType w:start="1"/>
      <w:cols w:space="708"/>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6" w:author="Carol Jadraque (DEECA)" w:date="2025-03-20T15:14:00Z" w:initials="CJ">
    <w:p w14:paraId="27192E8A" w14:textId="77777777" w:rsidR="00FB40BF" w:rsidRDefault="00FB40BF" w:rsidP="00FB40BF">
      <w:pPr>
        <w:pStyle w:val="CommentText"/>
      </w:pPr>
      <w:r>
        <w:rPr>
          <w:rStyle w:val="CommentReference"/>
        </w:rPr>
        <w:annotationRef/>
      </w:r>
      <w:r>
        <w:t xml:space="preserve">General comment, ensure that pots, cats and foxes are spelt the same way across the entire doc; e.g. upper vs lower case.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192E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9B2D5A" w16cex:dateUtc="2025-03-20T0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192E8A" w16cid:durableId="379B2D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0DC6" w14:textId="77777777" w:rsidR="0082132F" w:rsidRDefault="0082132F" w:rsidP="00DC3852">
      <w:r>
        <w:separator/>
      </w:r>
    </w:p>
    <w:p w14:paraId="6A041CE6" w14:textId="77777777" w:rsidR="0082132F" w:rsidRDefault="0082132F" w:rsidP="00DC3852"/>
  </w:endnote>
  <w:endnote w:type="continuationSeparator" w:id="0">
    <w:p w14:paraId="2F294FF9" w14:textId="77777777" w:rsidR="0082132F" w:rsidRDefault="0082132F" w:rsidP="00DC3852">
      <w:r>
        <w:continuationSeparator/>
      </w:r>
    </w:p>
    <w:p w14:paraId="5EEDC1CC" w14:textId="77777777" w:rsidR="0082132F" w:rsidRDefault="0082132F" w:rsidP="00DC3852"/>
  </w:endnote>
  <w:endnote w:type="continuationNotice" w:id="1">
    <w:p w14:paraId="7BBA9BAB" w14:textId="77777777" w:rsidR="0082132F" w:rsidRDefault="0082132F" w:rsidP="00DC3852"/>
    <w:p w14:paraId="40F2F3AB" w14:textId="77777777" w:rsidR="0082132F" w:rsidRDefault="0082132F" w:rsidP="00DC3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9775" w14:textId="701C3082" w:rsidR="00CB267A" w:rsidRPr="00C657F7" w:rsidRDefault="00487748" w:rsidP="00C657F7">
    <w:pPr>
      <w:rPr>
        <w:sz w:val="18"/>
        <w:szCs w:val="18"/>
      </w:rPr>
    </w:pPr>
    <w:r>
      <w:rPr>
        <w:noProof/>
      </w:rPr>
      <mc:AlternateContent>
        <mc:Choice Requires="wps">
          <w:drawing>
            <wp:anchor distT="0" distB="0" distL="114300" distR="114300" simplePos="0" relativeHeight="251658240" behindDoc="0" locked="0" layoutInCell="0" allowOverlap="1" wp14:anchorId="34B57F69" wp14:editId="70FB7730">
              <wp:simplePos x="0" y="0"/>
              <wp:positionH relativeFrom="page">
                <wp:align>center</wp:align>
              </wp:positionH>
              <wp:positionV relativeFrom="page">
                <wp:align>bottom</wp:align>
              </wp:positionV>
              <wp:extent cx="7772400" cy="4635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1C9C02B8" w14:textId="6B69534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B57F69" id="_x0000_t202" coordsize="21600,21600" o:spt="202" path="m,l,21600r21600,l21600,xe">
              <v:stroke joinstyle="miter"/>
              <v:path gradientshapeok="t" o:connecttype="rect"/>
            </v:shapetype>
            <v:shape id="Text Box 15" o:spid="_x0000_s1031" type="#_x0000_t202" style="position:absolute;margin-left:0;margin-top:0;width:612pt;height:36.5pt;z-index:25165824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" o:allowincell="f" filled="f" stroked="f" strokeweight=".5pt">
              <v:textbox inset=",0,,0">
                <w:txbxContent>
                  <w:p w14:paraId="1C9C02B8" w14:textId="6B69534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sdt>
      <w:sdtPr>
        <w:rPr>
          <w:sz w:val="18"/>
          <w:szCs w:val="18"/>
        </w:rPr>
        <w:id w:val="85581951"/>
        <w:docPartObj>
          <w:docPartGallery w:val="Page Numbers (Bottom of Page)"/>
          <w:docPartUnique/>
        </w:docPartObj>
      </w:sdtPr>
      <w:sdtEndPr>
        <w:rPr>
          <w:noProof/>
        </w:rPr>
      </w:sdtEndPr>
      <w:sdtContent>
        <w:r w:rsidR="00CB267A" w:rsidRPr="00F266D6">
          <w:rPr>
            <w:sz w:val="18"/>
            <w:szCs w:val="18"/>
          </w:rPr>
          <w:fldChar w:fldCharType="begin"/>
        </w:r>
        <w:r w:rsidR="00CB267A" w:rsidRPr="00F266D6">
          <w:rPr>
            <w:sz w:val="18"/>
            <w:szCs w:val="18"/>
          </w:rPr>
          <w:instrText xml:space="preserve"> PAGE   \* MERGEFORMAT </w:instrText>
        </w:r>
        <w:r w:rsidR="00CB267A" w:rsidRPr="00F266D6">
          <w:rPr>
            <w:sz w:val="18"/>
            <w:szCs w:val="18"/>
          </w:rPr>
          <w:fldChar w:fldCharType="separate"/>
        </w:r>
        <w:r w:rsidR="00CB267A" w:rsidRPr="00F266D6">
          <w:rPr>
            <w:sz w:val="18"/>
            <w:szCs w:val="18"/>
          </w:rPr>
          <w:t>ii</w:t>
        </w:r>
        <w:r w:rsidR="00CB267A" w:rsidRPr="00F266D6">
          <w:rPr>
            <w:sz w:val="18"/>
            <w:szCs w:val="18"/>
          </w:rPr>
          <w:fldChar w:fldCharType="end"/>
        </w:r>
        <w:r w:rsidR="00CB267A" w:rsidRPr="00107038">
          <w:rPr>
            <w:noProof/>
            <w:sz w:val="18"/>
            <w:szCs w:val="18"/>
          </w:rPr>
          <w:tab/>
        </w:r>
        <w:r w:rsidR="0065407E">
          <w:rPr>
            <w:sz w:val="18"/>
            <w:szCs w:val="18"/>
          </w:rPr>
          <w:t>Barry Mountains Ark 2020–202</w:t>
        </w:r>
        <w:r w:rsidR="00FF1875">
          <w:rPr>
            <w:sz w:val="18"/>
            <w:szCs w:val="18"/>
          </w:rPr>
          <w:t>4</w:t>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CC77" w14:textId="7E714AA2" w:rsidR="00CB267A" w:rsidRPr="00371E21" w:rsidRDefault="00487748" w:rsidP="00DE01BF">
    <w:pPr>
      <w:rPr>
        <w:rStyle w:val="zRptPgNum"/>
        <w:color w:val="auto"/>
      </w:rPr>
    </w:pPr>
    <w:r>
      <w:rPr>
        <w:noProof/>
      </w:rPr>
      <mc:AlternateContent>
        <mc:Choice Requires="wps">
          <w:drawing>
            <wp:anchor distT="0" distB="0" distL="114300" distR="114300" simplePos="0" relativeHeight="251658244" behindDoc="0" locked="0" layoutInCell="0" allowOverlap="1" wp14:anchorId="0019552D" wp14:editId="216C42AE">
              <wp:simplePos x="0" y="0"/>
              <wp:positionH relativeFrom="page">
                <wp:align>center</wp:align>
              </wp:positionH>
              <wp:positionV relativeFrom="page">
                <wp:align>bottom</wp:align>
              </wp:positionV>
              <wp:extent cx="7772400" cy="4635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2EB61319" w14:textId="329510C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19552D" id="_x0000_t202" coordsize="21600,21600" o:spt="202" path="m,l,21600r21600,l21600,xe">
              <v:stroke joinstyle="miter"/>
              <v:path gradientshapeok="t" o:connecttype="rect"/>
            </v:shapetype>
            <v:shape id="Text Box 1" o:spid="_x0000_s1038" type="#_x0000_t202" style="position:absolute;margin-left:0;margin-top:0;width:612pt;height:36.5pt;z-index:251658244;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" o:allowincell="f" filled="f" stroked="f" strokeweight=".5pt">
              <v:textbox inset=",0,,0">
                <w:txbxContent>
                  <w:p w14:paraId="2EB61319" w14:textId="329510C0"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06AD6D6" w14:textId="77777777" w:rsidR="00CB267A" w:rsidRPr="00A60CCB" w:rsidRDefault="00CB267A" w:rsidP="00DE01BF">
    <w:pPr>
      <w:rPr>
        <w:color w:val="22859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DCEF" w14:textId="30CADA27" w:rsidR="00CB267A" w:rsidRDefault="00487748" w:rsidP="00DC3852">
    <w:pPr>
      <w:pStyle w:val="Footer"/>
    </w:pPr>
    <w:r>
      <w:rPr>
        <w:noProof/>
      </w:rPr>
      <mc:AlternateContent>
        <mc:Choice Requires="wps">
          <w:drawing>
            <wp:anchor distT="0" distB="0" distL="114300" distR="114300" simplePos="0" relativeHeight="251658242" behindDoc="0" locked="0" layoutInCell="0" allowOverlap="1" wp14:anchorId="3632CEC5" wp14:editId="1482D31F">
              <wp:simplePos x="0" y="0"/>
              <wp:positionH relativeFrom="page">
                <wp:align>center</wp:align>
              </wp:positionH>
              <wp:positionV relativeFrom="page">
                <wp:align>bottom</wp:align>
              </wp:positionV>
              <wp:extent cx="7772400" cy="4635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3F8F21EE" w14:textId="3485EFCB"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32CEC5" id="_x0000_t202" coordsize="21600,21600" o:spt="202" path="m,l,21600r21600,l21600,xe">
              <v:stroke joinstyle="miter"/>
              <v:path gradientshapeok="t" o:connecttype="rect"/>
            </v:shapetype>
            <v:shape id="Text Box 14" o:spid="_x0000_s1032" type="#_x0000_t202" style="position:absolute;margin-left:0;margin-top:0;width:612pt;height:36.5pt;z-index:251658242;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" o:allowincell="f" filled="f" stroked="f" strokeweight=".5pt">
              <v:textbox inset=",0,,0">
                <w:txbxContent>
                  <w:p w14:paraId="3F8F21EE" w14:textId="3485EFCB"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00CB267A" w:rsidRPr="00033FC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4F95" w14:textId="28380ADF" w:rsidR="003852D6" w:rsidRDefault="00487748">
    <w:pPr>
      <w:pStyle w:val="Footer"/>
    </w:pPr>
    <w:r>
      <w:rPr>
        <w:noProof/>
      </w:rPr>
      <mc:AlternateContent>
        <mc:Choice Requires="wps">
          <w:drawing>
            <wp:anchor distT="0" distB="0" distL="114300" distR="114300" simplePos="0" relativeHeight="251658245" behindDoc="0" locked="0" layoutInCell="0" allowOverlap="1" wp14:anchorId="3DE4A395" wp14:editId="2312E956">
              <wp:simplePos x="0" y="0"/>
              <wp:positionH relativeFrom="page">
                <wp:align>center</wp:align>
              </wp:positionH>
              <wp:positionV relativeFrom="page">
                <wp:align>bottom</wp:align>
              </wp:positionV>
              <wp:extent cx="7772400" cy="463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3ED20B4E" w14:textId="1F05419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DE4A395" id="_x0000_t202" coordsize="21600,21600" o:spt="202" path="m,l,21600r21600,l21600,xe">
              <v:stroke joinstyle="miter"/>
              <v:path gradientshapeok="t" o:connecttype="rect"/>
            </v:shapetype>
            <v:shape id="Text Box 10" o:spid="_x0000_s1033" type="#_x0000_t202" style="position:absolute;margin-left:0;margin-top:0;width:612pt;height:36.5pt;z-index:251658245;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" o:allowincell="f" filled="f" stroked="f" strokeweight=".5pt">
              <v:textbox inset=",0,,0">
                <w:txbxContent>
                  <w:p w14:paraId="3ED20B4E" w14:textId="1F05419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138F" w14:textId="4DDC7515" w:rsidR="00CB267A" w:rsidRDefault="00487748" w:rsidP="00DC3852">
    <w:pPr>
      <w:pStyle w:val="Footer"/>
      <w:rPr>
        <w:rStyle w:val="PageNumber"/>
      </w:rPr>
    </w:pPr>
    <w:r>
      <w:rPr>
        <w:noProof/>
      </w:rPr>
      <mc:AlternateContent>
        <mc:Choice Requires="wps">
          <w:drawing>
            <wp:anchor distT="0" distB="0" distL="114300" distR="114300" simplePos="0" relativeHeight="251658243" behindDoc="0" locked="0" layoutInCell="0" allowOverlap="1" wp14:anchorId="4D6E5015" wp14:editId="79EA026F">
              <wp:simplePos x="0" y="0"/>
              <wp:positionH relativeFrom="page">
                <wp:align>center</wp:align>
              </wp:positionH>
              <wp:positionV relativeFrom="page">
                <wp:align>bottom</wp:align>
              </wp:positionV>
              <wp:extent cx="7772400" cy="4635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38271D7D" w14:textId="4B6DFD81"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D6E5015" id="_x0000_t202" coordsize="21600,21600" o:spt="202" path="m,l,21600r21600,l21600,xe">
              <v:stroke joinstyle="miter"/>
              <v:path gradientshapeok="t" o:connecttype="rect"/>
            </v:shapetype>
            <v:shape id="Text Box 7" o:spid="_x0000_s1034" type="#_x0000_t202" style="position:absolute;margin-left:0;margin-top:0;width:612pt;height:36.5pt;z-index:251658243;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" o:allowincell="f" filled="f" stroked="f" strokeweight=".5pt">
              <v:textbox inset=",0,,0">
                <w:txbxContent>
                  <w:p w14:paraId="38271D7D" w14:textId="4B6DFD81"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p w14:paraId="067E1637" w14:textId="77777777" w:rsidR="00CB267A" w:rsidRDefault="00CB267A" w:rsidP="00DC38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D694" w14:textId="724E2C7F" w:rsidR="00CB267A" w:rsidRPr="00243764" w:rsidRDefault="00487748" w:rsidP="00DC3852">
    <w:r>
      <w:rPr>
        <w:noProof/>
      </w:rPr>
      <mc:AlternateContent>
        <mc:Choice Requires="wps">
          <w:drawing>
            <wp:anchor distT="0" distB="0" distL="114300" distR="114300" simplePos="0" relativeHeight="251658246" behindDoc="0" locked="0" layoutInCell="0" allowOverlap="1" wp14:anchorId="4E282929" wp14:editId="278E4011">
              <wp:simplePos x="0" y="0"/>
              <wp:positionH relativeFrom="page">
                <wp:align>center</wp:align>
              </wp:positionH>
              <wp:positionV relativeFrom="page">
                <wp:align>bottom</wp:align>
              </wp:positionV>
              <wp:extent cx="7772400" cy="4635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68272A39" w14:textId="450EA55F"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282929" id="_x0000_t202" coordsize="21600,21600" o:spt="202" path="m,l,21600r21600,l21600,xe">
              <v:stroke joinstyle="miter"/>
              <v:path gradientshapeok="t" o:connecttype="rect"/>
            </v:shapetype>
            <v:shape id="Text Box 5" o:spid="_x0000_s1035" type="#_x0000_t202" style="position:absolute;margin-left:0;margin-top:0;width:612pt;height:36.5pt;z-index:251658246;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" o:allowincell="f" filled="f" stroked="f" strokeweight=".5pt">
              <v:textbox inset=",0,,0">
                <w:txbxContent>
                  <w:p w14:paraId="68272A39" w14:textId="450EA55F"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00CB267A" w:rsidRPr="00243764">
      <w:t>Arthur Rylah Institute for Environmental Research</w:t>
    </w:r>
    <w:r w:rsidR="00CB267A" w:rsidRPr="00243764">
      <w:br/>
      <w:t>Department of Environment, Land, Water and Planning</w:t>
    </w:r>
    <w:r w:rsidR="00CB267A" w:rsidRPr="00243764">
      <w:br/>
      <w:t>Heidelberg, Victoria</w:t>
    </w:r>
    <w:r w:rsidR="00CB267A">
      <w:t xml:space="preserve"> </w:t>
    </w:r>
  </w:p>
  <w:p w14:paraId="5ECFE4B3" w14:textId="77777777" w:rsidR="00CB267A" w:rsidRPr="00260A6B" w:rsidRDefault="00CB267A" w:rsidP="00DC38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215F" w14:textId="3B62AB94" w:rsidR="00CB267A" w:rsidRPr="00E3679A" w:rsidRDefault="00487748" w:rsidP="00DC3852">
    <w:pPr>
      <w:pStyle w:val="Footer"/>
    </w:pPr>
    <w:r>
      <w:rPr>
        <w:noProof/>
      </w:rPr>
      <mc:AlternateContent>
        <mc:Choice Requires="wps">
          <w:drawing>
            <wp:anchor distT="0" distB="0" distL="114300" distR="114300" simplePos="0" relativeHeight="251658247" behindDoc="0" locked="0" layoutInCell="0" allowOverlap="1" wp14:anchorId="22A07C4E" wp14:editId="173C8C04">
              <wp:simplePos x="0" y="0"/>
              <wp:positionH relativeFrom="page">
                <wp:align>center</wp:align>
              </wp:positionH>
              <wp:positionV relativeFrom="page">
                <wp:align>bottom</wp:align>
              </wp:positionV>
              <wp:extent cx="7772400" cy="4635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7BABDFD3" w14:textId="590278E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2A07C4E" id="_x0000_t202" coordsize="21600,21600" o:spt="202" path="m,l,21600r21600,l21600,xe">
              <v:stroke joinstyle="miter"/>
              <v:path gradientshapeok="t" o:connecttype="rect"/>
            </v:shapetype>
            <v:shape id="Text Box 4" o:spid="_x0000_s1036" type="#_x0000_t202" style="position:absolute;margin-left:0;margin-top:0;width:612pt;height:36.5pt;z-index:251658247;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" o:allowincell="f" filled="f" stroked="f" strokeweight=".5pt">
              <v:textbox inset=",0,,0">
                <w:txbxContent>
                  <w:p w14:paraId="7BABDFD3" w14:textId="590278E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60681618"/>
      <w:docPartObj>
        <w:docPartGallery w:val="Page Numbers (Bottom of Page)"/>
        <w:docPartUnique/>
      </w:docPartObj>
    </w:sdtPr>
    <w:sdtEndPr>
      <w:rPr>
        <w:noProof/>
      </w:rPr>
    </w:sdtEndPr>
    <w:sdtContent>
      <w:p w14:paraId="72DB8438" w14:textId="16022882" w:rsidR="00182401" w:rsidRPr="00107038" w:rsidRDefault="00CB267A" w:rsidP="00E3679A">
        <w:pPr>
          <w:rPr>
            <w:sz w:val="18"/>
            <w:szCs w:val="18"/>
          </w:rPr>
        </w:pPr>
        <w:r w:rsidRPr="0037329A">
          <w:rPr>
            <w:sz w:val="18"/>
            <w:szCs w:val="18"/>
          </w:rPr>
          <w:fldChar w:fldCharType="begin"/>
        </w:r>
        <w:r w:rsidRPr="0037329A">
          <w:rPr>
            <w:sz w:val="18"/>
            <w:szCs w:val="18"/>
          </w:rPr>
          <w:instrText xml:space="preserve"> PAGE   \* MERGEFORMAT </w:instrText>
        </w:r>
        <w:r w:rsidRPr="0037329A">
          <w:rPr>
            <w:sz w:val="18"/>
            <w:szCs w:val="18"/>
          </w:rPr>
          <w:fldChar w:fldCharType="separate"/>
        </w:r>
        <w:r w:rsidRPr="0037329A">
          <w:rPr>
            <w:noProof/>
            <w:sz w:val="18"/>
            <w:szCs w:val="18"/>
          </w:rPr>
          <w:t>ii</w:t>
        </w:r>
        <w:r w:rsidRPr="0037329A">
          <w:rPr>
            <w:noProof/>
            <w:sz w:val="18"/>
            <w:szCs w:val="18"/>
          </w:rPr>
          <w:fldChar w:fldCharType="end"/>
        </w:r>
        <w:r w:rsidRPr="00107038">
          <w:rPr>
            <w:noProof/>
            <w:sz w:val="18"/>
            <w:szCs w:val="18"/>
          </w:rPr>
          <w:tab/>
        </w:r>
        <w:r w:rsidR="00364FD0">
          <w:rPr>
            <w:sz w:val="18"/>
            <w:szCs w:val="18"/>
          </w:rPr>
          <w:t>Barry Mountains Ark 2020–202</w:t>
        </w:r>
        <w:r w:rsidR="00FF1875">
          <w:rPr>
            <w:sz w:val="18"/>
            <w:szCs w:val="18"/>
          </w:rPr>
          <w:t>4</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47B9" w14:textId="657C8E9D" w:rsidR="00182401" w:rsidRPr="00610165" w:rsidRDefault="00487748" w:rsidP="00D10F6D">
    <w:pPr>
      <w:tabs>
        <w:tab w:val="left" w:pos="9356"/>
      </w:tabs>
      <w:rPr>
        <w:sz w:val="18"/>
        <w:szCs w:val="18"/>
      </w:rPr>
    </w:pPr>
    <w:r>
      <w:rPr>
        <w:noProof/>
      </w:rPr>
      <mc:AlternateContent>
        <mc:Choice Requires="wps">
          <w:drawing>
            <wp:anchor distT="0" distB="0" distL="114300" distR="114300" simplePos="0" relativeHeight="251658241" behindDoc="0" locked="0" layoutInCell="0" allowOverlap="1" wp14:anchorId="54E6BB39" wp14:editId="7A18625F">
              <wp:simplePos x="0" y="0"/>
              <wp:positionH relativeFrom="page">
                <wp:align>center</wp:align>
              </wp:positionH>
              <wp:positionV relativeFrom="page">
                <wp:align>bottom</wp:align>
              </wp:positionV>
              <wp:extent cx="7772400" cy="4635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463550"/>
                      </a:xfrm>
                      <a:prstGeom prst="rect">
                        <a:avLst/>
                      </a:prstGeom>
                      <a:noFill/>
                      <a:ln w="6350">
                        <a:noFill/>
                      </a:ln>
                    </wps:spPr>
                    <wps:txbx>
                      <w:txbxContent>
                        <w:p w14:paraId="0C0A53AD" w14:textId="44DF0E1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4E6BB39" id="_x0000_t202" coordsize="21600,21600" o:spt="202" path="m,l,21600r21600,l21600,xe">
              <v:stroke joinstyle="miter"/>
              <v:path gradientshapeok="t" o:connecttype="rect"/>
            </v:shapetype>
            <v:shape id="Text Box 2" o:spid="_x0000_s1037" type="#_x0000_t202" style="position:absolute;margin-left:0;margin-top:0;width:612pt;height:36.5pt;z-index:251658241;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" o:allowincell="f" filled="f" stroked="f" strokeweight=".5pt">
              <v:textbox inset=",0,,0">
                <w:txbxContent>
                  <w:p w14:paraId="0C0A53AD" w14:textId="44DF0E15" w:rsidR="003852D6" w:rsidRPr="00EB6C15" w:rsidRDefault="00EB6C15" w:rsidP="00EB6C15">
                    <w:pPr>
                      <w:spacing w:after="0"/>
                      <w:jc w:val="center"/>
                      <w:rPr>
                        <w:rFonts w:ascii="Calibri" w:hAnsi="Calibri" w:cs="Calibri"/>
                        <w:color w:val="000000"/>
                        <w:sz w:val="24"/>
                      </w:rPr>
                    </w:pPr>
                    <w:r w:rsidRPr="00EB6C15">
                      <w:rPr>
                        <w:rFonts w:ascii="Calibri" w:hAnsi="Calibri" w:cs="Calibri"/>
                        <w:color w:val="000000"/>
                        <w:sz w:val="24"/>
                      </w:rPr>
                      <w:t>OFFICIAL</w:t>
                    </w:r>
                  </w:p>
                </w:txbxContent>
              </v:textbox>
              <w10:wrap anchorx="page" anchory="page"/>
            </v:shape>
          </w:pict>
        </mc:Fallback>
      </mc:AlternateContent>
    </w:r>
    <w:r w:rsidR="0065407E">
      <w:rPr>
        <w:sz w:val="18"/>
        <w:szCs w:val="18"/>
      </w:rPr>
      <w:t>Barry Mountains Ark 2020–202</w:t>
    </w:r>
    <w:r w:rsidR="00FF1875">
      <w:rPr>
        <w:sz w:val="18"/>
        <w:szCs w:val="18"/>
      </w:rPr>
      <w:t>4</w:t>
    </w:r>
    <w:r w:rsidR="00CB267A" w:rsidRPr="00107038">
      <w:rPr>
        <w:rStyle w:val="PageNumber"/>
        <w:sz w:val="18"/>
        <w:szCs w:val="18"/>
      </w:rPr>
      <w:tab/>
    </w:r>
    <w:r w:rsidR="00CB267A" w:rsidRPr="00610165">
      <w:rPr>
        <w:rStyle w:val="PageNumber"/>
        <w:sz w:val="18"/>
        <w:szCs w:val="18"/>
      </w:rPr>
      <w:fldChar w:fldCharType="begin"/>
    </w:r>
    <w:r w:rsidR="00CB267A" w:rsidRPr="00610165">
      <w:rPr>
        <w:rStyle w:val="PageNumber"/>
        <w:sz w:val="18"/>
        <w:szCs w:val="18"/>
      </w:rPr>
      <w:instrText xml:space="preserve"> PAGE </w:instrText>
    </w:r>
    <w:r w:rsidR="00CB267A" w:rsidRPr="00610165">
      <w:rPr>
        <w:rStyle w:val="PageNumber"/>
        <w:sz w:val="18"/>
        <w:szCs w:val="18"/>
      </w:rPr>
      <w:fldChar w:fldCharType="separate"/>
    </w:r>
    <w:r w:rsidR="00CB267A" w:rsidRPr="00610165">
      <w:rPr>
        <w:rStyle w:val="PageNumber"/>
        <w:sz w:val="18"/>
        <w:szCs w:val="18"/>
      </w:rPr>
      <w:t>5</w:t>
    </w:r>
    <w:r w:rsidR="00CB267A" w:rsidRPr="00610165">
      <w:rPr>
        <w:rStyle w:val="PageNumbe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4DBF" w14:textId="77777777" w:rsidR="00182401" w:rsidRDefault="00182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0DF30" w14:textId="77777777" w:rsidR="0082132F" w:rsidRPr="00D07E53" w:rsidRDefault="0082132F" w:rsidP="00DC3852">
      <w:r w:rsidRPr="00D20920">
        <w:separator/>
      </w:r>
    </w:p>
    <w:p w14:paraId="5A7F0B0E" w14:textId="77777777" w:rsidR="0082132F" w:rsidRDefault="0082132F" w:rsidP="00DC3852"/>
  </w:footnote>
  <w:footnote w:type="continuationSeparator" w:id="0">
    <w:p w14:paraId="35466453" w14:textId="77777777" w:rsidR="0082132F" w:rsidRDefault="0082132F" w:rsidP="00DC3852">
      <w:r>
        <w:continuationSeparator/>
      </w:r>
    </w:p>
    <w:p w14:paraId="68838244" w14:textId="77777777" w:rsidR="0082132F" w:rsidRDefault="0082132F" w:rsidP="00DC3852"/>
  </w:footnote>
  <w:footnote w:type="continuationNotice" w:id="1">
    <w:p w14:paraId="058D13C3" w14:textId="77777777" w:rsidR="0082132F" w:rsidRDefault="0082132F" w:rsidP="00DC3852"/>
    <w:p w14:paraId="103BD68A" w14:textId="77777777" w:rsidR="0082132F" w:rsidRDefault="0082132F" w:rsidP="00DC3852"/>
  </w:footnote>
  <w:footnote w:id="2">
    <w:p w14:paraId="0F8846F4" w14:textId="0061DBDA" w:rsidR="00F362DC" w:rsidRDefault="000F0181" w:rsidP="000F0181">
      <w:pPr>
        <w:pStyle w:val="FootnoteText"/>
        <w:ind w:left="0" w:firstLine="0"/>
      </w:pPr>
      <w:r>
        <w:rPr>
          <w:rStyle w:val="FootnoteReference"/>
        </w:rPr>
        <w:footnoteRef/>
      </w:r>
      <w:r w:rsidR="00F362DC">
        <w:t xml:space="preserve"> </w:t>
      </w:r>
      <w:r w:rsidR="00F362DC" w:rsidRPr="00815E82">
        <w:t xml:space="preserve">Note that </w:t>
      </w:r>
      <w:r w:rsidR="00F362DC">
        <w:t>f</w:t>
      </w:r>
      <w:r w:rsidR="00F362DC" w:rsidRPr="00815E82">
        <w:t xml:space="preserve">oxes </w:t>
      </w:r>
      <w:r w:rsidR="00F362DC">
        <w:t>and feral cats have</w:t>
      </w:r>
      <w:r w:rsidR="00F362DC" w:rsidRPr="00815E82">
        <w:t xml:space="preserve"> large home ranges (2</w:t>
      </w:r>
      <w:r w:rsidR="00F362DC">
        <w:t>–</w:t>
      </w:r>
      <w:r w:rsidR="00F362DC" w:rsidRPr="00815E82">
        <w:t>5</w:t>
      </w:r>
      <w:r w:rsidR="00F362DC">
        <w:t> </w:t>
      </w:r>
      <w:r w:rsidR="00F362DC" w:rsidRPr="00815E82">
        <w:t>km</w:t>
      </w:r>
      <w:r w:rsidR="00F362DC" w:rsidRPr="00815E82">
        <w:rPr>
          <w:vertAlign w:val="superscript"/>
        </w:rPr>
        <w:t>2</w:t>
      </w:r>
      <w:r w:rsidR="00F362DC" w:rsidRPr="00815E82">
        <w:t xml:space="preserve">) </w:t>
      </w:r>
      <w:r w:rsidR="00F362DC">
        <w:t xml:space="preserve">(Roshier and Carter 2021) </w:t>
      </w:r>
      <w:r w:rsidR="00F362DC" w:rsidRPr="00815E82">
        <w:t xml:space="preserve">relative to the scale of </w:t>
      </w:r>
      <w:r w:rsidR="00F362DC">
        <w:t xml:space="preserve">the Long-footed Potoroo </w:t>
      </w:r>
      <w:r w:rsidR="00F362DC" w:rsidRPr="00815E82">
        <w:t>camera trap</w:t>
      </w:r>
      <w:r w:rsidR="00F362DC">
        <w:t xml:space="preserve"> spacing</w:t>
      </w:r>
      <w:r w:rsidR="00F362DC" w:rsidRPr="00815E82">
        <w:t>: detection</w:t>
      </w:r>
      <w:r w:rsidR="00F362DC">
        <w:t xml:space="preserve"> </w:t>
      </w:r>
      <w:r w:rsidR="00027758">
        <w:t>of</w:t>
      </w:r>
      <w:r w:rsidR="00F362DC">
        <w:t xml:space="preserve"> foxes and feral cats</w:t>
      </w:r>
      <w:r w:rsidR="00F362DC" w:rsidRPr="00815E82">
        <w:t xml:space="preserve"> at a particular </w:t>
      </w:r>
      <w:r w:rsidR="00F362DC">
        <w:t>Long-footed Potoroo</w:t>
      </w:r>
      <w:r w:rsidR="00F362DC" w:rsidRPr="00815E82">
        <w:t xml:space="preserve"> camera</w:t>
      </w:r>
      <w:r w:rsidR="00F362DC">
        <w:t xml:space="preserve"> </w:t>
      </w:r>
      <w:r w:rsidR="00F362DC" w:rsidRPr="00815E82">
        <w:t xml:space="preserve">trap indicates </w:t>
      </w:r>
      <w:r w:rsidR="00F362DC">
        <w:t>the proportion of sites visited by foxes and feral cats, i.e., the occurrence (see the Glossary for further definition).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95F8" w14:textId="77777777" w:rsidR="00CB267A" w:rsidRDefault="00CB267A" w:rsidP="00DC3852">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63D0" w14:textId="77777777" w:rsidR="00CB267A" w:rsidRDefault="00CB267A" w:rsidP="00DC38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BF57" w14:textId="77777777" w:rsidR="00CB267A" w:rsidRPr="00E3679A" w:rsidRDefault="00CB267A" w:rsidP="00DC38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CB32" w14:textId="77777777" w:rsidR="00CB267A" w:rsidRPr="002B32FF" w:rsidRDefault="00CB267A" w:rsidP="00DC38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AA78" w14:textId="77777777" w:rsidR="00CB267A" w:rsidRPr="00C9172F" w:rsidRDefault="00CB267A" w:rsidP="00C917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B42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6AD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B4BC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70D6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30EC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62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8EAC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700E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23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F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0E5"/>
    <w:multiLevelType w:val="hybridMultilevel"/>
    <w:tmpl w:val="98EE8DBE"/>
    <w:lvl w:ilvl="0" w:tplc="B504FA90">
      <w:start w:val="1"/>
      <w:numFmt w:val="bullet"/>
      <w:pStyle w:val="Bullets"/>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9550C3"/>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187C3D"/>
    <w:multiLevelType w:val="hybridMultilevel"/>
    <w:tmpl w:val="C9FC4B72"/>
    <w:lvl w:ilvl="0" w:tplc="39107004">
      <w:start w:val="1"/>
      <w:numFmt w:val="decimal"/>
      <w:pStyle w:val="Numberedlist"/>
      <w:lvlText w:val="%1."/>
      <w:lvlJc w:val="left"/>
      <w:pPr>
        <w:tabs>
          <w:tab w:val="num" w:pos="397"/>
        </w:tabs>
        <w:ind w:left="397" w:hanging="397"/>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1956F9"/>
    <w:multiLevelType w:val="hybridMultilevel"/>
    <w:tmpl w:val="DBB2C87A"/>
    <w:lvl w:ilvl="0" w:tplc="D11EF60A">
      <w:start w:val="1"/>
      <w:numFmt w:val="bullet"/>
      <w:pStyle w:val="Bullet"/>
      <w:lvlText w:val=""/>
      <w:lvlJc w:val="left"/>
      <w:pPr>
        <w:tabs>
          <w:tab w:val="num" w:pos="720"/>
        </w:tabs>
        <w:ind w:left="720" w:hanging="360"/>
      </w:pPr>
      <w:rPr>
        <w:rFonts w:ascii="Symbol" w:hAnsi="Symbol" w:hint="default"/>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B772B7"/>
    <w:multiLevelType w:val="multilevel"/>
    <w:tmpl w:val="7A50EA28"/>
    <w:lvl w:ilvl="0">
      <w:start w:val="1"/>
      <w:numFmt w:val="decimal"/>
      <w:pStyle w:val="Heading1-Numbered"/>
      <w:lvlText w:val="%1"/>
      <w:lvlJc w:val="left"/>
      <w:pPr>
        <w:tabs>
          <w:tab w:val="num" w:pos="432"/>
        </w:tabs>
        <w:ind w:left="432" w:hanging="432"/>
      </w:pPr>
      <w:rPr>
        <w:rFonts w:hint="default"/>
      </w:rPr>
    </w:lvl>
    <w:lvl w:ilvl="1">
      <w:start w:val="1"/>
      <w:numFmt w:val="decimal"/>
      <w:pStyle w:val="Heading2-Numbered"/>
      <w:lvlText w:val="%1.%2"/>
      <w:lvlJc w:val="left"/>
      <w:pPr>
        <w:tabs>
          <w:tab w:val="num" w:pos="576"/>
        </w:tabs>
        <w:ind w:left="576" w:hanging="576"/>
      </w:pPr>
      <w:rPr>
        <w:rFonts w:hint="default"/>
      </w:rPr>
    </w:lvl>
    <w:lvl w:ilvl="2">
      <w:start w:val="1"/>
      <w:numFmt w:val="decimal"/>
      <w:pStyle w:val="Heading3-Numbered"/>
      <w:lvlText w:val="%1.%2.%3"/>
      <w:lvlJc w:val="left"/>
      <w:pPr>
        <w:tabs>
          <w:tab w:val="num" w:pos="720"/>
        </w:tabs>
        <w:ind w:left="720" w:hanging="720"/>
      </w:pPr>
      <w:rPr>
        <w:rFonts w:hint="default"/>
      </w:rPr>
    </w:lvl>
    <w:lvl w:ilvl="3">
      <w:start w:val="1"/>
      <w:numFmt w:val="decimal"/>
      <w:pStyle w:val="Heading4-Numbered"/>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F817EB7"/>
    <w:multiLevelType w:val="multilevel"/>
    <w:tmpl w:val="0409001D"/>
    <w:styleLink w:val="1ai"/>
    <w:lvl w:ilvl="0">
      <w:start w:val="1"/>
      <w:numFmt w:val="decimal"/>
      <w:pStyle w:val="Bullets-La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64C0DE0"/>
    <w:multiLevelType w:val="multilevel"/>
    <w:tmpl w:val="2216F2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A595665"/>
    <w:multiLevelType w:val="hybridMultilevel"/>
    <w:tmpl w:val="D4D0DA64"/>
    <w:lvl w:ilvl="0" w:tplc="AFB89B16">
      <w:start w:val="1"/>
      <w:numFmt w:val="bullet"/>
      <w:pStyle w:val="dotpointinden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183DD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5BF2BCD"/>
    <w:multiLevelType w:val="hybridMultilevel"/>
    <w:tmpl w:val="0186B2E0"/>
    <w:lvl w:ilvl="0" w:tplc="D5CEF7C6">
      <w:start w:val="1"/>
      <w:numFmt w:val="bullet"/>
      <w:pStyle w:val="Bullets2"/>
      <w:lvlText w:val="-"/>
      <w:lvlJc w:val="left"/>
      <w:pPr>
        <w:tabs>
          <w:tab w:val="num" w:pos="794"/>
        </w:tabs>
        <w:ind w:left="794" w:hanging="397"/>
      </w:pPr>
      <w:rPr>
        <w:rFonts w:ascii="Lucida Bright" w:hAnsi="Lucida Bright" w:hint="default"/>
        <w:b/>
        <w:i w:val="0"/>
        <w:color w:val="auto"/>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B51663"/>
    <w:multiLevelType w:val="hybridMultilevel"/>
    <w:tmpl w:val="19986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7B45B7"/>
    <w:multiLevelType w:val="hybridMultilevel"/>
    <w:tmpl w:val="62003868"/>
    <w:lvl w:ilvl="0" w:tplc="AD4CC8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4900D1"/>
    <w:multiLevelType w:val="hybridMultilevel"/>
    <w:tmpl w:val="F2F67FCA"/>
    <w:lvl w:ilvl="0" w:tplc="E794B000">
      <w:start w:val="1"/>
      <w:numFmt w:val="decimal"/>
      <w:pStyle w:val="Normalnumbered"/>
      <w:lvlText w:val="%1."/>
      <w:lvlJc w:val="left"/>
      <w:pPr>
        <w:ind w:left="360" w:hanging="360"/>
      </w:pPr>
      <w:rPr>
        <w:rFonts w:asciiTheme="minorHAnsi" w:hAnsiTheme="minorHAnsi" w:hint="default"/>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B20080B"/>
    <w:multiLevelType w:val="hybridMultilevel"/>
    <w:tmpl w:val="EB4AF624"/>
    <w:lvl w:ilvl="0" w:tplc="4A842404">
      <w:start w:val="1"/>
      <w:numFmt w:val="bullet"/>
      <w:pStyle w:val="Sub-bullets"/>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4858CD2E">
      <w:start w:val="1"/>
      <w:numFmt w:val="bullet"/>
      <w:pStyle w:val="Bullet2"/>
      <w:lvlText w:val="–"/>
      <w:lvlJc w:val="left"/>
      <w:pPr>
        <w:tabs>
          <w:tab w:val="num" w:pos="1080"/>
        </w:tabs>
        <w:ind w:left="1080" w:hanging="360"/>
      </w:pPr>
      <w:rPr>
        <w:rFonts w:ascii="Courier New" w:hAnsi="Courier New" w:hint="default"/>
      </w:rPr>
    </w:lvl>
    <w:lvl w:ilvl="2" w:tplc="B4B8798A">
      <w:start w:val="1"/>
      <w:numFmt w:val="decimal"/>
      <w:lvlText w:val="%3."/>
      <w:lvlJc w:val="left"/>
      <w:pPr>
        <w:tabs>
          <w:tab w:val="num" w:pos="1800"/>
        </w:tabs>
        <w:ind w:left="1800" w:hanging="360"/>
      </w:pPr>
      <w:rPr>
        <w:rFonts w:hint="default"/>
      </w:rPr>
    </w:lvl>
    <w:lvl w:ilvl="3" w:tplc="10CA7108">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E063E01"/>
    <w:multiLevelType w:val="hybridMultilevel"/>
    <w:tmpl w:val="DAE40B4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2C384D"/>
    <w:multiLevelType w:val="hybridMultilevel"/>
    <w:tmpl w:val="2EE684B4"/>
    <w:lvl w:ilvl="0" w:tplc="5F222C70">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3FC4BD1"/>
    <w:multiLevelType w:val="hybridMultilevel"/>
    <w:tmpl w:val="9AECD6EC"/>
    <w:lvl w:ilvl="0" w:tplc="A9442ED0">
      <w:start w:val="1"/>
      <w:numFmt w:val="bullet"/>
      <w:pStyle w:val="dotpoints"/>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598563">
    <w:abstractNumId w:val="19"/>
  </w:num>
  <w:num w:numId="2" w16cid:durableId="309991470">
    <w:abstractNumId w:val="16"/>
  </w:num>
  <w:num w:numId="3" w16cid:durableId="1741947280">
    <w:abstractNumId w:val="12"/>
  </w:num>
  <w:num w:numId="4" w16cid:durableId="754203096">
    <w:abstractNumId w:val="9"/>
  </w:num>
  <w:num w:numId="5" w16cid:durableId="442500036">
    <w:abstractNumId w:val="7"/>
  </w:num>
  <w:num w:numId="6" w16cid:durableId="1385712898">
    <w:abstractNumId w:val="6"/>
  </w:num>
  <w:num w:numId="7" w16cid:durableId="1838036199">
    <w:abstractNumId w:val="5"/>
  </w:num>
  <w:num w:numId="8" w16cid:durableId="1466047959">
    <w:abstractNumId w:val="4"/>
  </w:num>
  <w:num w:numId="9" w16cid:durableId="1692417880">
    <w:abstractNumId w:val="8"/>
  </w:num>
  <w:num w:numId="10" w16cid:durableId="1866362437">
    <w:abstractNumId w:val="3"/>
  </w:num>
  <w:num w:numId="11" w16cid:durableId="706568121">
    <w:abstractNumId w:val="2"/>
  </w:num>
  <w:num w:numId="12" w16cid:durableId="50545983">
    <w:abstractNumId w:val="1"/>
  </w:num>
  <w:num w:numId="13" w16cid:durableId="1269115791">
    <w:abstractNumId w:val="0"/>
  </w:num>
  <w:num w:numId="14" w16cid:durableId="416441298">
    <w:abstractNumId w:val="14"/>
  </w:num>
  <w:num w:numId="15" w16cid:durableId="1084953857">
    <w:abstractNumId w:val="10"/>
  </w:num>
  <w:num w:numId="16" w16cid:durableId="1373923548">
    <w:abstractNumId w:val="20"/>
  </w:num>
  <w:num w:numId="17" w16cid:durableId="245267442">
    <w:abstractNumId w:val="15"/>
  </w:num>
  <w:num w:numId="18" w16cid:durableId="833838890">
    <w:abstractNumId w:val="13"/>
  </w:num>
  <w:num w:numId="19" w16cid:durableId="1999921752">
    <w:abstractNumId w:val="27"/>
  </w:num>
  <w:num w:numId="20" w16cid:durableId="873881279">
    <w:abstractNumId w:val="23"/>
  </w:num>
  <w:num w:numId="21" w16cid:durableId="340012346">
    <w:abstractNumId w:val="22"/>
  </w:num>
  <w:num w:numId="22" w16cid:durableId="1436318761">
    <w:abstractNumId w:val="24"/>
  </w:num>
  <w:num w:numId="23" w16cid:durableId="70784044">
    <w:abstractNumId w:val="25"/>
  </w:num>
  <w:num w:numId="24" w16cid:durableId="351030206">
    <w:abstractNumId w:val="11"/>
  </w:num>
  <w:num w:numId="25" w16cid:durableId="745961413">
    <w:abstractNumId w:val="23"/>
    <w:lvlOverride w:ilvl="0">
      <w:startOverride w:val="1"/>
    </w:lvlOverride>
  </w:num>
  <w:num w:numId="26" w16cid:durableId="140080510">
    <w:abstractNumId w:val="17"/>
  </w:num>
  <w:num w:numId="27" w16cid:durableId="551428921">
    <w:abstractNumId w:val="28"/>
  </w:num>
  <w:num w:numId="28" w16cid:durableId="865482481">
    <w:abstractNumId w:val="18"/>
  </w:num>
  <w:num w:numId="29" w16cid:durableId="561454294">
    <w:abstractNumId w:val="15"/>
  </w:num>
  <w:num w:numId="30" w16cid:durableId="1169905947">
    <w:abstractNumId w:val="15"/>
  </w:num>
  <w:num w:numId="31" w16cid:durableId="1734500109">
    <w:abstractNumId w:val="21"/>
  </w:num>
  <w:num w:numId="32" w16cid:durableId="581719251">
    <w:abstractNumId w:val="2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 Jadraque (DEECA)">
    <w15:presenceInfo w15:providerId="AD" w15:userId="S::carol.jadraque@deeca.vic.gov.au::549fae10-ecca-459f-bf74-746b4f73f8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OuSX4KVG4cYOqVqv20ScJJZ8yAoXox47U4DMH5k5X+me6zoGVEmT+T86umU926MSmtataXWKZqPI8I2pcNRz9g==" w:salt="x6w384EMeqKWo3ielVqAkw=="/>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I citation templ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far22wof5pvbe295v5s5w5d02v9tftz9es&quot;&gt;OtwaysGrowthStagesAnalysis&lt;record-ids&gt;&lt;item&gt;12&lt;/item&gt;&lt;item&gt;19&lt;/item&gt;&lt;item&gt;56&lt;/item&gt;&lt;item&gt;228&lt;/item&gt;&lt;item&gt;269&lt;/item&gt;&lt;item&gt;278&lt;/item&gt;&lt;item&gt;344&lt;/item&gt;&lt;item&gt;348&lt;/item&gt;&lt;item&gt;349&lt;/item&gt;&lt;item&gt;350&lt;/item&gt;&lt;item&gt;356&lt;/item&gt;&lt;item&gt;361&lt;/item&gt;&lt;item&gt;365&lt;/item&gt;&lt;item&gt;366&lt;/item&gt;&lt;item&gt;367&lt;/item&gt;&lt;item&gt;369&lt;/item&gt;&lt;item&gt;370&lt;/item&gt;&lt;item&gt;371&lt;/item&gt;&lt;item&gt;372&lt;/item&gt;&lt;item&gt;373&lt;/item&gt;&lt;item&gt;375&lt;/item&gt;&lt;item&gt;377&lt;/item&gt;&lt;item&gt;383&lt;/item&gt;&lt;item&gt;387&lt;/item&gt;&lt;item&gt;388&lt;/item&gt;&lt;item&gt;389&lt;/item&gt;&lt;item&gt;390&lt;/item&gt;&lt;item&gt;397&lt;/item&gt;&lt;item&gt;398&lt;/item&gt;&lt;item&gt;399&lt;/item&gt;&lt;item&gt;400&lt;/item&gt;&lt;item&gt;401&lt;/item&gt;&lt;item&gt;402&lt;/item&gt;&lt;item&gt;403&lt;/item&gt;&lt;/record-ids&gt;&lt;/item&gt;&lt;/Libraries&gt;"/>
    <w:docVar w:name="ShowStaticGuides" w:val="1"/>
  </w:docVars>
  <w:rsids>
    <w:rsidRoot w:val="003852D6"/>
    <w:rsid w:val="000010F4"/>
    <w:rsid w:val="000017BB"/>
    <w:rsid w:val="00001E48"/>
    <w:rsid w:val="000020DE"/>
    <w:rsid w:val="00003682"/>
    <w:rsid w:val="00003CB6"/>
    <w:rsid w:val="00004C89"/>
    <w:rsid w:val="00004E8C"/>
    <w:rsid w:val="0000509B"/>
    <w:rsid w:val="000052B8"/>
    <w:rsid w:val="0000638B"/>
    <w:rsid w:val="000072B5"/>
    <w:rsid w:val="00007345"/>
    <w:rsid w:val="00007627"/>
    <w:rsid w:val="00010A77"/>
    <w:rsid w:val="00011438"/>
    <w:rsid w:val="0001205B"/>
    <w:rsid w:val="00012793"/>
    <w:rsid w:val="000129C9"/>
    <w:rsid w:val="00012E71"/>
    <w:rsid w:val="00013EB9"/>
    <w:rsid w:val="00013FD7"/>
    <w:rsid w:val="00014002"/>
    <w:rsid w:val="00015C01"/>
    <w:rsid w:val="00016064"/>
    <w:rsid w:val="00020E34"/>
    <w:rsid w:val="0002132C"/>
    <w:rsid w:val="000213FC"/>
    <w:rsid w:val="00021509"/>
    <w:rsid w:val="000222B1"/>
    <w:rsid w:val="0002284B"/>
    <w:rsid w:val="00022C0F"/>
    <w:rsid w:val="00023BB2"/>
    <w:rsid w:val="000249D0"/>
    <w:rsid w:val="00024D90"/>
    <w:rsid w:val="00025AF4"/>
    <w:rsid w:val="00025D8A"/>
    <w:rsid w:val="000266B0"/>
    <w:rsid w:val="00026728"/>
    <w:rsid w:val="00026ABA"/>
    <w:rsid w:val="00027173"/>
    <w:rsid w:val="00027758"/>
    <w:rsid w:val="000309A3"/>
    <w:rsid w:val="00030A9F"/>
    <w:rsid w:val="00033DF0"/>
    <w:rsid w:val="00033FC6"/>
    <w:rsid w:val="00034068"/>
    <w:rsid w:val="00034369"/>
    <w:rsid w:val="00034546"/>
    <w:rsid w:val="000356C5"/>
    <w:rsid w:val="00035D62"/>
    <w:rsid w:val="000362B1"/>
    <w:rsid w:val="00036D00"/>
    <w:rsid w:val="00037316"/>
    <w:rsid w:val="000375DF"/>
    <w:rsid w:val="00037867"/>
    <w:rsid w:val="00040071"/>
    <w:rsid w:val="00041024"/>
    <w:rsid w:val="00041156"/>
    <w:rsid w:val="000411CF"/>
    <w:rsid w:val="00041A9F"/>
    <w:rsid w:val="00042A9D"/>
    <w:rsid w:val="00042DED"/>
    <w:rsid w:val="00042E2C"/>
    <w:rsid w:val="00043C23"/>
    <w:rsid w:val="00043E60"/>
    <w:rsid w:val="00044C49"/>
    <w:rsid w:val="00044D9D"/>
    <w:rsid w:val="000450CF"/>
    <w:rsid w:val="00045751"/>
    <w:rsid w:val="0004579B"/>
    <w:rsid w:val="000458B0"/>
    <w:rsid w:val="00045ED5"/>
    <w:rsid w:val="00046987"/>
    <w:rsid w:val="0004704E"/>
    <w:rsid w:val="00047623"/>
    <w:rsid w:val="0005057A"/>
    <w:rsid w:val="00050986"/>
    <w:rsid w:val="0005163F"/>
    <w:rsid w:val="00051887"/>
    <w:rsid w:val="00051D9F"/>
    <w:rsid w:val="00051FE1"/>
    <w:rsid w:val="00052234"/>
    <w:rsid w:val="000526F5"/>
    <w:rsid w:val="00052C02"/>
    <w:rsid w:val="00053526"/>
    <w:rsid w:val="000543FA"/>
    <w:rsid w:val="00054551"/>
    <w:rsid w:val="00054788"/>
    <w:rsid w:val="00054F92"/>
    <w:rsid w:val="0005555C"/>
    <w:rsid w:val="0005563F"/>
    <w:rsid w:val="00055E7F"/>
    <w:rsid w:val="00055FB4"/>
    <w:rsid w:val="0005616D"/>
    <w:rsid w:val="0005745B"/>
    <w:rsid w:val="00060383"/>
    <w:rsid w:val="00060A68"/>
    <w:rsid w:val="00060F0C"/>
    <w:rsid w:val="00064633"/>
    <w:rsid w:val="0006507E"/>
    <w:rsid w:val="0006629B"/>
    <w:rsid w:val="00066B41"/>
    <w:rsid w:val="000675CA"/>
    <w:rsid w:val="000704B7"/>
    <w:rsid w:val="0007064D"/>
    <w:rsid w:val="0007126E"/>
    <w:rsid w:val="000717C0"/>
    <w:rsid w:val="000718CB"/>
    <w:rsid w:val="0007200A"/>
    <w:rsid w:val="000725FA"/>
    <w:rsid w:val="00072AE0"/>
    <w:rsid w:val="00073528"/>
    <w:rsid w:val="00073AE6"/>
    <w:rsid w:val="00074331"/>
    <w:rsid w:val="000743DA"/>
    <w:rsid w:val="0007522B"/>
    <w:rsid w:val="0007550A"/>
    <w:rsid w:val="000763A8"/>
    <w:rsid w:val="00076886"/>
    <w:rsid w:val="00080B9C"/>
    <w:rsid w:val="00080DF0"/>
    <w:rsid w:val="000810AA"/>
    <w:rsid w:val="000812EB"/>
    <w:rsid w:val="00081764"/>
    <w:rsid w:val="00081E30"/>
    <w:rsid w:val="00082F8D"/>
    <w:rsid w:val="0008366E"/>
    <w:rsid w:val="00084226"/>
    <w:rsid w:val="000849F4"/>
    <w:rsid w:val="00084DEE"/>
    <w:rsid w:val="000860FB"/>
    <w:rsid w:val="00086702"/>
    <w:rsid w:val="000867C3"/>
    <w:rsid w:val="00086D13"/>
    <w:rsid w:val="00086D3E"/>
    <w:rsid w:val="00086DF3"/>
    <w:rsid w:val="0008715E"/>
    <w:rsid w:val="0008754B"/>
    <w:rsid w:val="00087BDC"/>
    <w:rsid w:val="00087F10"/>
    <w:rsid w:val="00090458"/>
    <w:rsid w:val="000904C0"/>
    <w:rsid w:val="00091775"/>
    <w:rsid w:val="0009277F"/>
    <w:rsid w:val="00093018"/>
    <w:rsid w:val="0009426B"/>
    <w:rsid w:val="00094415"/>
    <w:rsid w:val="0009488C"/>
    <w:rsid w:val="00095166"/>
    <w:rsid w:val="000966C9"/>
    <w:rsid w:val="0009699E"/>
    <w:rsid w:val="00097EE8"/>
    <w:rsid w:val="000A09D0"/>
    <w:rsid w:val="000A168E"/>
    <w:rsid w:val="000A1992"/>
    <w:rsid w:val="000A1B4A"/>
    <w:rsid w:val="000A2203"/>
    <w:rsid w:val="000A24AB"/>
    <w:rsid w:val="000A3203"/>
    <w:rsid w:val="000A3C44"/>
    <w:rsid w:val="000A470D"/>
    <w:rsid w:val="000A5E54"/>
    <w:rsid w:val="000A64CD"/>
    <w:rsid w:val="000A7BC1"/>
    <w:rsid w:val="000A7F9F"/>
    <w:rsid w:val="000B2A8A"/>
    <w:rsid w:val="000B2B0B"/>
    <w:rsid w:val="000B3B93"/>
    <w:rsid w:val="000B479E"/>
    <w:rsid w:val="000B4EA7"/>
    <w:rsid w:val="000B5C4B"/>
    <w:rsid w:val="000B6074"/>
    <w:rsid w:val="000B70B7"/>
    <w:rsid w:val="000B7272"/>
    <w:rsid w:val="000B773D"/>
    <w:rsid w:val="000B7DFD"/>
    <w:rsid w:val="000C0043"/>
    <w:rsid w:val="000C15EE"/>
    <w:rsid w:val="000C1781"/>
    <w:rsid w:val="000C1936"/>
    <w:rsid w:val="000C1C13"/>
    <w:rsid w:val="000C2CB8"/>
    <w:rsid w:val="000C2FD8"/>
    <w:rsid w:val="000C3259"/>
    <w:rsid w:val="000C4DCF"/>
    <w:rsid w:val="000C506E"/>
    <w:rsid w:val="000C50F2"/>
    <w:rsid w:val="000C5796"/>
    <w:rsid w:val="000C630A"/>
    <w:rsid w:val="000C6EC9"/>
    <w:rsid w:val="000D009F"/>
    <w:rsid w:val="000D121A"/>
    <w:rsid w:val="000D1DDA"/>
    <w:rsid w:val="000D3639"/>
    <w:rsid w:val="000D36F1"/>
    <w:rsid w:val="000D4F48"/>
    <w:rsid w:val="000D5259"/>
    <w:rsid w:val="000D56B7"/>
    <w:rsid w:val="000D5FA3"/>
    <w:rsid w:val="000D622E"/>
    <w:rsid w:val="000D6B7B"/>
    <w:rsid w:val="000D6EFA"/>
    <w:rsid w:val="000D7C0A"/>
    <w:rsid w:val="000D7D99"/>
    <w:rsid w:val="000E02A3"/>
    <w:rsid w:val="000E0399"/>
    <w:rsid w:val="000E0643"/>
    <w:rsid w:val="000E15A2"/>
    <w:rsid w:val="000E1A61"/>
    <w:rsid w:val="000E1DC0"/>
    <w:rsid w:val="000E2506"/>
    <w:rsid w:val="000E318B"/>
    <w:rsid w:val="000E3720"/>
    <w:rsid w:val="000E3D79"/>
    <w:rsid w:val="000E4132"/>
    <w:rsid w:val="000E4ABC"/>
    <w:rsid w:val="000E657C"/>
    <w:rsid w:val="000E670F"/>
    <w:rsid w:val="000E6BF2"/>
    <w:rsid w:val="000E7977"/>
    <w:rsid w:val="000F0181"/>
    <w:rsid w:val="000F03CE"/>
    <w:rsid w:val="000F0517"/>
    <w:rsid w:val="000F0A13"/>
    <w:rsid w:val="000F0CCF"/>
    <w:rsid w:val="000F0D7A"/>
    <w:rsid w:val="000F1520"/>
    <w:rsid w:val="000F16DE"/>
    <w:rsid w:val="000F1796"/>
    <w:rsid w:val="000F2069"/>
    <w:rsid w:val="000F47C0"/>
    <w:rsid w:val="000F5A8F"/>
    <w:rsid w:val="000F6139"/>
    <w:rsid w:val="000F63B8"/>
    <w:rsid w:val="000F64DD"/>
    <w:rsid w:val="000F65CA"/>
    <w:rsid w:val="000F7B6A"/>
    <w:rsid w:val="001003C7"/>
    <w:rsid w:val="00100557"/>
    <w:rsid w:val="00100BAC"/>
    <w:rsid w:val="00101B5E"/>
    <w:rsid w:val="0010208B"/>
    <w:rsid w:val="001025C7"/>
    <w:rsid w:val="00102ADC"/>
    <w:rsid w:val="00102E08"/>
    <w:rsid w:val="0010348B"/>
    <w:rsid w:val="00104109"/>
    <w:rsid w:val="00104895"/>
    <w:rsid w:val="001053DA"/>
    <w:rsid w:val="001065A1"/>
    <w:rsid w:val="00106E21"/>
    <w:rsid w:val="00107038"/>
    <w:rsid w:val="001111BD"/>
    <w:rsid w:val="001122F4"/>
    <w:rsid w:val="00114BEC"/>
    <w:rsid w:val="00115667"/>
    <w:rsid w:val="00115734"/>
    <w:rsid w:val="0011576E"/>
    <w:rsid w:val="00120970"/>
    <w:rsid w:val="00120C40"/>
    <w:rsid w:val="001219C0"/>
    <w:rsid w:val="00121A5B"/>
    <w:rsid w:val="00122423"/>
    <w:rsid w:val="00122A34"/>
    <w:rsid w:val="00123510"/>
    <w:rsid w:val="00124208"/>
    <w:rsid w:val="00125205"/>
    <w:rsid w:val="0012583B"/>
    <w:rsid w:val="00125862"/>
    <w:rsid w:val="00127BDB"/>
    <w:rsid w:val="00130A9E"/>
    <w:rsid w:val="001316D9"/>
    <w:rsid w:val="001316FC"/>
    <w:rsid w:val="00131CD7"/>
    <w:rsid w:val="00132296"/>
    <w:rsid w:val="00132F71"/>
    <w:rsid w:val="00133349"/>
    <w:rsid w:val="001336D9"/>
    <w:rsid w:val="00134CB5"/>
    <w:rsid w:val="0013541C"/>
    <w:rsid w:val="00135C70"/>
    <w:rsid w:val="00136438"/>
    <w:rsid w:val="00136501"/>
    <w:rsid w:val="00136F1A"/>
    <w:rsid w:val="00137C8A"/>
    <w:rsid w:val="00140B20"/>
    <w:rsid w:val="001411DC"/>
    <w:rsid w:val="001421E9"/>
    <w:rsid w:val="00142733"/>
    <w:rsid w:val="001427EA"/>
    <w:rsid w:val="00142D2C"/>
    <w:rsid w:val="00143C27"/>
    <w:rsid w:val="00144001"/>
    <w:rsid w:val="00145345"/>
    <w:rsid w:val="001456FF"/>
    <w:rsid w:val="00146192"/>
    <w:rsid w:val="00147DFD"/>
    <w:rsid w:val="00150BD2"/>
    <w:rsid w:val="00150C2F"/>
    <w:rsid w:val="00150D31"/>
    <w:rsid w:val="00151C3D"/>
    <w:rsid w:val="00151D75"/>
    <w:rsid w:val="00152CCA"/>
    <w:rsid w:val="00153209"/>
    <w:rsid w:val="00153399"/>
    <w:rsid w:val="00153969"/>
    <w:rsid w:val="001548E3"/>
    <w:rsid w:val="00154AC3"/>
    <w:rsid w:val="001552F2"/>
    <w:rsid w:val="001556A5"/>
    <w:rsid w:val="001557A0"/>
    <w:rsid w:val="00155E42"/>
    <w:rsid w:val="00156602"/>
    <w:rsid w:val="0015684E"/>
    <w:rsid w:val="00156ACE"/>
    <w:rsid w:val="0016071D"/>
    <w:rsid w:val="00161F84"/>
    <w:rsid w:val="001622A8"/>
    <w:rsid w:val="00163067"/>
    <w:rsid w:val="0016331C"/>
    <w:rsid w:val="0016365D"/>
    <w:rsid w:val="00164039"/>
    <w:rsid w:val="00164C47"/>
    <w:rsid w:val="00164F59"/>
    <w:rsid w:val="001653FA"/>
    <w:rsid w:val="001653FC"/>
    <w:rsid w:val="00166BAF"/>
    <w:rsid w:val="00167BDC"/>
    <w:rsid w:val="00167F23"/>
    <w:rsid w:val="00170325"/>
    <w:rsid w:val="00170A92"/>
    <w:rsid w:val="00170CA1"/>
    <w:rsid w:val="00172D14"/>
    <w:rsid w:val="00173036"/>
    <w:rsid w:val="00173621"/>
    <w:rsid w:val="00173689"/>
    <w:rsid w:val="00173A8E"/>
    <w:rsid w:val="00174415"/>
    <w:rsid w:val="001749B2"/>
    <w:rsid w:val="00176EFD"/>
    <w:rsid w:val="00176FDF"/>
    <w:rsid w:val="00177115"/>
    <w:rsid w:val="00177375"/>
    <w:rsid w:val="0017745F"/>
    <w:rsid w:val="001774FF"/>
    <w:rsid w:val="001814BA"/>
    <w:rsid w:val="0018237A"/>
    <w:rsid w:val="0018237E"/>
    <w:rsid w:val="00182401"/>
    <w:rsid w:val="001832E1"/>
    <w:rsid w:val="00184029"/>
    <w:rsid w:val="00184107"/>
    <w:rsid w:val="00185265"/>
    <w:rsid w:val="0018657A"/>
    <w:rsid w:val="0018675A"/>
    <w:rsid w:val="00186BEC"/>
    <w:rsid w:val="00186CFD"/>
    <w:rsid w:val="0018722D"/>
    <w:rsid w:val="00190778"/>
    <w:rsid w:val="00190F62"/>
    <w:rsid w:val="00191604"/>
    <w:rsid w:val="00191CFC"/>
    <w:rsid w:val="0019280B"/>
    <w:rsid w:val="001930CF"/>
    <w:rsid w:val="0019327B"/>
    <w:rsid w:val="0019339F"/>
    <w:rsid w:val="001937BC"/>
    <w:rsid w:val="001943D2"/>
    <w:rsid w:val="001958BE"/>
    <w:rsid w:val="00196BDB"/>
    <w:rsid w:val="001A008F"/>
    <w:rsid w:val="001A0566"/>
    <w:rsid w:val="001A173C"/>
    <w:rsid w:val="001A1BCF"/>
    <w:rsid w:val="001A243B"/>
    <w:rsid w:val="001A3E14"/>
    <w:rsid w:val="001A4593"/>
    <w:rsid w:val="001A4FE5"/>
    <w:rsid w:val="001A50B3"/>
    <w:rsid w:val="001A5341"/>
    <w:rsid w:val="001A5744"/>
    <w:rsid w:val="001A60E1"/>
    <w:rsid w:val="001A69F3"/>
    <w:rsid w:val="001A6C98"/>
    <w:rsid w:val="001A7539"/>
    <w:rsid w:val="001B031C"/>
    <w:rsid w:val="001B1C4D"/>
    <w:rsid w:val="001B2115"/>
    <w:rsid w:val="001B2EC4"/>
    <w:rsid w:val="001B32AC"/>
    <w:rsid w:val="001B33B6"/>
    <w:rsid w:val="001B41CB"/>
    <w:rsid w:val="001B48CE"/>
    <w:rsid w:val="001B508F"/>
    <w:rsid w:val="001B5E48"/>
    <w:rsid w:val="001B6A43"/>
    <w:rsid w:val="001B7119"/>
    <w:rsid w:val="001B7AA9"/>
    <w:rsid w:val="001C0EC1"/>
    <w:rsid w:val="001C122C"/>
    <w:rsid w:val="001C150D"/>
    <w:rsid w:val="001C1818"/>
    <w:rsid w:val="001C1ED3"/>
    <w:rsid w:val="001C2988"/>
    <w:rsid w:val="001C3068"/>
    <w:rsid w:val="001C3304"/>
    <w:rsid w:val="001C3EFB"/>
    <w:rsid w:val="001C459C"/>
    <w:rsid w:val="001C558C"/>
    <w:rsid w:val="001C5955"/>
    <w:rsid w:val="001C72D0"/>
    <w:rsid w:val="001D0468"/>
    <w:rsid w:val="001D0C8E"/>
    <w:rsid w:val="001D0E6D"/>
    <w:rsid w:val="001D22A3"/>
    <w:rsid w:val="001D2593"/>
    <w:rsid w:val="001D2717"/>
    <w:rsid w:val="001D2FBB"/>
    <w:rsid w:val="001D3729"/>
    <w:rsid w:val="001D5418"/>
    <w:rsid w:val="001D5A71"/>
    <w:rsid w:val="001D6365"/>
    <w:rsid w:val="001D663D"/>
    <w:rsid w:val="001D6F14"/>
    <w:rsid w:val="001D739F"/>
    <w:rsid w:val="001D7D81"/>
    <w:rsid w:val="001E0CC1"/>
    <w:rsid w:val="001E17D6"/>
    <w:rsid w:val="001E2024"/>
    <w:rsid w:val="001E2335"/>
    <w:rsid w:val="001E2BEB"/>
    <w:rsid w:val="001E2CC1"/>
    <w:rsid w:val="001E3432"/>
    <w:rsid w:val="001E3D6E"/>
    <w:rsid w:val="001E43B5"/>
    <w:rsid w:val="001E54BE"/>
    <w:rsid w:val="001E5878"/>
    <w:rsid w:val="001E5CCD"/>
    <w:rsid w:val="001E6D95"/>
    <w:rsid w:val="001E742D"/>
    <w:rsid w:val="001E764C"/>
    <w:rsid w:val="001E7978"/>
    <w:rsid w:val="001F0158"/>
    <w:rsid w:val="001F0356"/>
    <w:rsid w:val="001F10BD"/>
    <w:rsid w:val="001F1296"/>
    <w:rsid w:val="001F1E5F"/>
    <w:rsid w:val="001F294D"/>
    <w:rsid w:val="001F368E"/>
    <w:rsid w:val="001F438D"/>
    <w:rsid w:val="001F51F0"/>
    <w:rsid w:val="001F6D38"/>
    <w:rsid w:val="001F7C65"/>
    <w:rsid w:val="00200E85"/>
    <w:rsid w:val="00200F94"/>
    <w:rsid w:val="00201668"/>
    <w:rsid w:val="00203F44"/>
    <w:rsid w:val="00205840"/>
    <w:rsid w:val="00205A81"/>
    <w:rsid w:val="00205F03"/>
    <w:rsid w:val="00206311"/>
    <w:rsid w:val="00207048"/>
    <w:rsid w:val="00207A7C"/>
    <w:rsid w:val="002107A6"/>
    <w:rsid w:val="00212259"/>
    <w:rsid w:val="00212907"/>
    <w:rsid w:val="00212AE7"/>
    <w:rsid w:val="002134BA"/>
    <w:rsid w:val="00213632"/>
    <w:rsid w:val="00213887"/>
    <w:rsid w:val="00213EB4"/>
    <w:rsid w:val="002143F4"/>
    <w:rsid w:val="00214534"/>
    <w:rsid w:val="00214B23"/>
    <w:rsid w:val="00215A5D"/>
    <w:rsid w:val="00215BA9"/>
    <w:rsid w:val="00215C8A"/>
    <w:rsid w:val="00216805"/>
    <w:rsid w:val="00216847"/>
    <w:rsid w:val="00217B89"/>
    <w:rsid w:val="00217BF2"/>
    <w:rsid w:val="00220122"/>
    <w:rsid w:val="0022030A"/>
    <w:rsid w:val="00220C03"/>
    <w:rsid w:val="0022137C"/>
    <w:rsid w:val="0022188E"/>
    <w:rsid w:val="00222742"/>
    <w:rsid w:val="00222811"/>
    <w:rsid w:val="002228E0"/>
    <w:rsid w:val="00223040"/>
    <w:rsid w:val="002251CE"/>
    <w:rsid w:val="00225913"/>
    <w:rsid w:val="00225D17"/>
    <w:rsid w:val="0022657E"/>
    <w:rsid w:val="0022675A"/>
    <w:rsid w:val="00226A24"/>
    <w:rsid w:val="00226E41"/>
    <w:rsid w:val="002270E9"/>
    <w:rsid w:val="002270EF"/>
    <w:rsid w:val="00227918"/>
    <w:rsid w:val="00227A0F"/>
    <w:rsid w:val="00227BDE"/>
    <w:rsid w:val="002306CC"/>
    <w:rsid w:val="00232235"/>
    <w:rsid w:val="00232455"/>
    <w:rsid w:val="00234A2A"/>
    <w:rsid w:val="00235A46"/>
    <w:rsid w:val="00235C7F"/>
    <w:rsid w:val="002365B5"/>
    <w:rsid w:val="00236B80"/>
    <w:rsid w:val="00236FF6"/>
    <w:rsid w:val="002401E5"/>
    <w:rsid w:val="002401F6"/>
    <w:rsid w:val="002402F2"/>
    <w:rsid w:val="00240917"/>
    <w:rsid w:val="002425AF"/>
    <w:rsid w:val="002428C8"/>
    <w:rsid w:val="00242D8C"/>
    <w:rsid w:val="00243764"/>
    <w:rsid w:val="002440CF"/>
    <w:rsid w:val="00244645"/>
    <w:rsid w:val="00244B58"/>
    <w:rsid w:val="00245B15"/>
    <w:rsid w:val="00245BC3"/>
    <w:rsid w:val="00245D93"/>
    <w:rsid w:val="00246101"/>
    <w:rsid w:val="00246120"/>
    <w:rsid w:val="00246BEA"/>
    <w:rsid w:val="00246D1B"/>
    <w:rsid w:val="00246E39"/>
    <w:rsid w:val="00247329"/>
    <w:rsid w:val="00247F74"/>
    <w:rsid w:val="00250475"/>
    <w:rsid w:val="00250ACA"/>
    <w:rsid w:val="0025127D"/>
    <w:rsid w:val="00252220"/>
    <w:rsid w:val="002526EA"/>
    <w:rsid w:val="00252B7F"/>
    <w:rsid w:val="002533BB"/>
    <w:rsid w:val="00253476"/>
    <w:rsid w:val="002535E8"/>
    <w:rsid w:val="002536A9"/>
    <w:rsid w:val="002549A0"/>
    <w:rsid w:val="0025511D"/>
    <w:rsid w:val="002551E8"/>
    <w:rsid w:val="0025529E"/>
    <w:rsid w:val="002555CD"/>
    <w:rsid w:val="00256969"/>
    <w:rsid w:val="00257044"/>
    <w:rsid w:val="0025705D"/>
    <w:rsid w:val="00257BF1"/>
    <w:rsid w:val="00257C62"/>
    <w:rsid w:val="0026029A"/>
    <w:rsid w:val="00260A6B"/>
    <w:rsid w:val="00260C73"/>
    <w:rsid w:val="00260E30"/>
    <w:rsid w:val="00261EFC"/>
    <w:rsid w:val="00263741"/>
    <w:rsid w:val="00263B75"/>
    <w:rsid w:val="00263C7D"/>
    <w:rsid w:val="00263CCD"/>
    <w:rsid w:val="0026422E"/>
    <w:rsid w:val="002643DA"/>
    <w:rsid w:val="0026474F"/>
    <w:rsid w:val="00264A42"/>
    <w:rsid w:val="00264CD0"/>
    <w:rsid w:val="002665BB"/>
    <w:rsid w:val="00267232"/>
    <w:rsid w:val="00267382"/>
    <w:rsid w:val="00267B2A"/>
    <w:rsid w:val="00267D36"/>
    <w:rsid w:val="00270B05"/>
    <w:rsid w:val="00271F86"/>
    <w:rsid w:val="00274C3A"/>
    <w:rsid w:val="00274E8B"/>
    <w:rsid w:val="00274EB6"/>
    <w:rsid w:val="002755E6"/>
    <w:rsid w:val="002757DB"/>
    <w:rsid w:val="00275ED2"/>
    <w:rsid w:val="00275F66"/>
    <w:rsid w:val="00275FF9"/>
    <w:rsid w:val="002765B5"/>
    <w:rsid w:val="00276C64"/>
    <w:rsid w:val="00276E2C"/>
    <w:rsid w:val="002778A1"/>
    <w:rsid w:val="00277F76"/>
    <w:rsid w:val="00280242"/>
    <w:rsid w:val="00281759"/>
    <w:rsid w:val="00281AEE"/>
    <w:rsid w:val="00281FF0"/>
    <w:rsid w:val="00283141"/>
    <w:rsid w:val="0028491D"/>
    <w:rsid w:val="00284D5A"/>
    <w:rsid w:val="00285925"/>
    <w:rsid w:val="00285B9C"/>
    <w:rsid w:val="00285FC1"/>
    <w:rsid w:val="0028603B"/>
    <w:rsid w:val="002860C5"/>
    <w:rsid w:val="00286C60"/>
    <w:rsid w:val="00286C91"/>
    <w:rsid w:val="00287526"/>
    <w:rsid w:val="00287D1C"/>
    <w:rsid w:val="00290093"/>
    <w:rsid w:val="00291BB8"/>
    <w:rsid w:val="002920D2"/>
    <w:rsid w:val="00294737"/>
    <w:rsid w:val="002965B1"/>
    <w:rsid w:val="00297481"/>
    <w:rsid w:val="00297E44"/>
    <w:rsid w:val="002A0451"/>
    <w:rsid w:val="002A0B83"/>
    <w:rsid w:val="002A0BC3"/>
    <w:rsid w:val="002A0C39"/>
    <w:rsid w:val="002A0D3A"/>
    <w:rsid w:val="002A133C"/>
    <w:rsid w:val="002A147A"/>
    <w:rsid w:val="002A3928"/>
    <w:rsid w:val="002A502B"/>
    <w:rsid w:val="002A5120"/>
    <w:rsid w:val="002A56B6"/>
    <w:rsid w:val="002A6AA5"/>
    <w:rsid w:val="002A7AF3"/>
    <w:rsid w:val="002A7C78"/>
    <w:rsid w:val="002A7C79"/>
    <w:rsid w:val="002B094C"/>
    <w:rsid w:val="002B0B39"/>
    <w:rsid w:val="002B15CF"/>
    <w:rsid w:val="002B1852"/>
    <w:rsid w:val="002B25A3"/>
    <w:rsid w:val="002B2AE5"/>
    <w:rsid w:val="002B32FF"/>
    <w:rsid w:val="002B440B"/>
    <w:rsid w:val="002B48C1"/>
    <w:rsid w:val="002B4B78"/>
    <w:rsid w:val="002B4C3C"/>
    <w:rsid w:val="002B4D3D"/>
    <w:rsid w:val="002B54CF"/>
    <w:rsid w:val="002B6430"/>
    <w:rsid w:val="002B7C41"/>
    <w:rsid w:val="002B7E80"/>
    <w:rsid w:val="002C175A"/>
    <w:rsid w:val="002C1C22"/>
    <w:rsid w:val="002C30AC"/>
    <w:rsid w:val="002C317A"/>
    <w:rsid w:val="002C4A66"/>
    <w:rsid w:val="002C4B46"/>
    <w:rsid w:val="002C4C80"/>
    <w:rsid w:val="002C5BA2"/>
    <w:rsid w:val="002C5BAA"/>
    <w:rsid w:val="002C6366"/>
    <w:rsid w:val="002C6463"/>
    <w:rsid w:val="002C702B"/>
    <w:rsid w:val="002C77DC"/>
    <w:rsid w:val="002C7961"/>
    <w:rsid w:val="002D1ADC"/>
    <w:rsid w:val="002D1EB1"/>
    <w:rsid w:val="002D26F6"/>
    <w:rsid w:val="002D35D5"/>
    <w:rsid w:val="002D527E"/>
    <w:rsid w:val="002D5942"/>
    <w:rsid w:val="002D7F2C"/>
    <w:rsid w:val="002E0785"/>
    <w:rsid w:val="002E0F63"/>
    <w:rsid w:val="002E11C7"/>
    <w:rsid w:val="002E1B82"/>
    <w:rsid w:val="002E26FA"/>
    <w:rsid w:val="002E3115"/>
    <w:rsid w:val="002E4E84"/>
    <w:rsid w:val="002E4FA9"/>
    <w:rsid w:val="002E5193"/>
    <w:rsid w:val="002E56D4"/>
    <w:rsid w:val="002E7263"/>
    <w:rsid w:val="002F042B"/>
    <w:rsid w:val="002F04B4"/>
    <w:rsid w:val="002F052B"/>
    <w:rsid w:val="002F0660"/>
    <w:rsid w:val="002F08D2"/>
    <w:rsid w:val="002F0D7F"/>
    <w:rsid w:val="002F14BA"/>
    <w:rsid w:val="002F229B"/>
    <w:rsid w:val="002F2325"/>
    <w:rsid w:val="002F2420"/>
    <w:rsid w:val="002F3433"/>
    <w:rsid w:val="002F34CC"/>
    <w:rsid w:val="002F3838"/>
    <w:rsid w:val="002F403B"/>
    <w:rsid w:val="002F4E09"/>
    <w:rsid w:val="002F5F52"/>
    <w:rsid w:val="002F6DF6"/>
    <w:rsid w:val="002F778A"/>
    <w:rsid w:val="002F7ED3"/>
    <w:rsid w:val="003000F6"/>
    <w:rsid w:val="003004D9"/>
    <w:rsid w:val="00300DC1"/>
    <w:rsid w:val="00302CBB"/>
    <w:rsid w:val="00303C61"/>
    <w:rsid w:val="00303D9E"/>
    <w:rsid w:val="003043AC"/>
    <w:rsid w:val="00304778"/>
    <w:rsid w:val="003062FF"/>
    <w:rsid w:val="00307435"/>
    <w:rsid w:val="0030759E"/>
    <w:rsid w:val="00310C1F"/>
    <w:rsid w:val="003125A1"/>
    <w:rsid w:val="00313689"/>
    <w:rsid w:val="003136B5"/>
    <w:rsid w:val="00314279"/>
    <w:rsid w:val="0031433D"/>
    <w:rsid w:val="00314EB0"/>
    <w:rsid w:val="003155E5"/>
    <w:rsid w:val="0031590F"/>
    <w:rsid w:val="00316100"/>
    <w:rsid w:val="00320F69"/>
    <w:rsid w:val="00320F71"/>
    <w:rsid w:val="00320FFF"/>
    <w:rsid w:val="00321C98"/>
    <w:rsid w:val="00321F27"/>
    <w:rsid w:val="00322661"/>
    <w:rsid w:val="003228CB"/>
    <w:rsid w:val="0032339D"/>
    <w:rsid w:val="0032340F"/>
    <w:rsid w:val="00323715"/>
    <w:rsid w:val="0032389B"/>
    <w:rsid w:val="0032398D"/>
    <w:rsid w:val="00323D96"/>
    <w:rsid w:val="00324794"/>
    <w:rsid w:val="00325536"/>
    <w:rsid w:val="0032650A"/>
    <w:rsid w:val="003266A4"/>
    <w:rsid w:val="00326D3C"/>
    <w:rsid w:val="00327F1C"/>
    <w:rsid w:val="0033002F"/>
    <w:rsid w:val="0033038C"/>
    <w:rsid w:val="00330679"/>
    <w:rsid w:val="00330BEF"/>
    <w:rsid w:val="003319C8"/>
    <w:rsid w:val="00332072"/>
    <w:rsid w:val="00333429"/>
    <w:rsid w:val="003334A3"/>
    <w:rsid w:val="00333D70"/>
    <w:rsid w:val="00333E8C"/>
    <w:rsid w:val="003346A7"/>
    <w:rsid w:val="0033502D"/>
    <w:rsid w:val="00335042"/>
    <w:rsid w:val="00335B9A"/>
    <w:rsid w:val="00336886"/>
    <w:rsid w:val="0033700B"/>
    <w:rsid w:val="00337352"/>
    <w:rsid w:val="00340129"/>
    <w:rsid w:val="00340E61"/>
    <w:rsid w:val="00341156"/>
    <w:rsid w:val="00341373"/>
    <w:rsid w:val="00341520"/>
    <w:rsid w:val="00341797"/>
    <w:rsid w:val="00342235"/>
    <w:rsid w:val="003424E6"/>
    <w:rsid w:val="003431ED"/>
    <w:rsid w:val="003438B0"/>
    <w:rsid w:val="00344133"/>
    <w:rsid w:val="003442F7"/>
    <w:rsid w:val="003459BF"/>
    <w:rsid w:val="00346379"/>
    <w:rsid w:val="0034642B"/>
    <w:rsid w:val="003467EC"/>
    <w:rsid w:val="00347C00"/>
    <w:rsid w:val="00347FBC"/>
    <w:rsid w:val="0035104C"/>
    <w:rsid w:val="003528AB"/>
    <w:rsid w:val="0035294C"/>
    <w:rsid w:val="00353D97"/>
    <w:rsid w:val="00355196"/>
    <w:rsid w:val="00356C16"/>
    <w:rsid w:val="00356E55"/>
    <w:rsid w:val="003578ED"/>
    <w:rsid w:val="00361064"/>
    <w:rsid w:val="00362179"/>
    <w:rsid w:val="0036305A"/>
    <w:rsid w:val="003632C8"/>
    <w:rsid w:val="003641CF"/>
    <w:rsid w:val="003643B6"/>
    <w:rsid w:val="00364FD0"/>
    <w:rsid w:val="003653E3"/>
    <w:rsid w:val="00365BD2"/>
    <w:rsid w:val="003665BF"/>
    <w:rsid w:val="003668C8"/>
    <w:rsid w:val="00367C0D"/>
    <w:rsid w:val="003707F9"/>
    <w:rsid w:val="00370977"/>
    <w:rsid w:val="00371721"/>
    <w:rsid w:val="00371E21"/>
    <w:rsid w:val="00372C14"/>
    <w:rsid w:val="0037329A"/>
    <w:rsid w:val="003760E7"/>
    <w:rsid w:val="00376526"/>
    <w:rsid w:val="003765FB"/>
    <w:rsid w:val="003778E8"/>
    <w:rsid w:val="0038190E"/>
    <w:rsid w:val="00381B75"/>
    <w:rsid w:val="00381E63"/>
    <w:rsid w:val="00382000"/>
    <w:rsid w:val="003823F0"/>
    <w:rsid w:val="00383083"/>
    <w:rsid w:val="003852D6"/>
    <w:rsid w:val="00386483"/>
    <w:rsid w:val="00386EDD"/>
    <w:rsid w:val="00390622"/>
    <w:rsid w:val="00390E4E"/>
    <w:rsid w:val="00391014"/>
    <w:rsid w:val="00391232"/>
    <w:rsid w:val="00391391"/>
    <w:rsid w:val="003917F9"/>
    <w:rsid w:val="00391D34"/>
    <w:rsid w:val="003920DF"/>
    <w:rsid w:val="0039316C"/>
    <w:rsid w:val="003935AA"/>
    <w:rsid w:val="0039380F"/>
    <w:rsid w:val="00394AB6"/>
    <w:rsid w:val="0039551A"/>
    <w:rsid w:val="0039591B"/>
    <w:rsid w:val="0039627F"/>
    <w:rsid w:val="00396A82"/>
    <w:rsid w:val="003970D0"/>
    <w:rsid w:val="003971E8"/>
    <w:rsid w:val="003A130B"/>
    <w:rsid w:val="003A1497"/>
    <w:rsid w:val="003A1768"/>
    <w:rsid w:val="003A26C1"/>
    <w:rsid w:val="003A3112"/>
    <w:rsid w:val="003A40D2"/>
    <w:rsid w:val="003A5BE4"/>
    <w:rsid w:val="003A5C30"/>
    <w:rsid w:val="003A5DF9"/>
    <w:rsid w:val="003A6472"/>
    <w:rsid w:val="003A713F"/>
    <w:rsid w:val="003A7392"/>
    <w:rsid w:val="003A7676"/>
    <w:rsid w:val="003A7C08"/>
    <w:rsid w:val="003B05B9"/>
    <w:rsid w:val="003B07D8"/>
    <w:rsid w:val="003B0846"/>
    <w:rsid w:val="003B1144"/>
    <w:rsid w:val="003B2B08"/>
    <w:rsid w:val="003B2F39"/>
    <w:rsid w:val="003B3661"/>
    <w:rsid w:val="003B3B71"/>
    <w:rsid w:val="003B474E"/>
    <w:rsid w:val="003B4CD6"/>
    <w:rsid w:val="003B5A86"/>
    <w:rsid w:val="003B67C3"/>
    <w:rsid w:val="003B69EA"/>
    <w:rsid w:val="003B6AB5"/>
    <w:rsid w:val="003B735E"/>
    <w:rsid w:val="003C164F"/>
    <w:rsid w:val="003C2CE3"/>
    <w:rsid w:val="003C2DF8"/>
    <w:rsid w:val="003C3A49"/>
    <w:rsid w:val="003C4139"/>
    <w:rsid w:val="003C5068"/>
    <w:rsid w:val="003C59AC"/>
    <w:rsid w:val="003C5C59"/>
    <w:rsid w:val="003C72D7"/>
    <w:rsid w:val="003C7F06"/>
    <w:rsid w:val="003C7FAE"/>
    <w:rsid w:val="003D080A"/>
    <w:rsid w:val="003D0A72"/>
    <w:rsid w:val="003D253C"/>
    <w:rsid w:val="003D3594"/>
    <w:rsid w:val="003D36D3"/>
    <w:rsid w:val="003D60B3"/>
    <w:rsid w:val="003D6698"/>
    <w:rsid w:val="003D6EF9"/>
    <w:rsid w:val="003E15DF"/>
    <w:rsid w:val="003E177E"/>
    <w:rsid w:val="003E1839"/>
    <w:rsid w:val="003E1C93"/>
    <w:rsid w:val="003E206D"/>
    <w:rsid w:val="003E285C"/>
    <w:rsid w:val="003E293E"/>
    <w:rsid w:val="003E2FF3"/>
    <w:rsid w:val="003E363B"/>
    <w:rsid w:val="003E4628"/>
    <w:rsid w:val="003E5151"/>
    <w:rsid w:val="003E5424"/>
    <w:rsid w:val="003E5647"/>
    <w:rsid w:val="003E5BE7"/>
    <w:rsid w:val="003E603F"/>
    <w:rsid w:val="003E6E3A"/>
    <w:rsid w:val="003E7695"/>
    <w:rsid w:val="003E77A2"/>
    <w:rsid w:val="003F1040"/>
    <w:rsid w:val="003F1395"/>
    <w:rsid w:val="003F207D"/>
    <w:rsid w:val="003F253A"/>
    <w:rsid w:val="003F347D"/>
    <w:rsid w:val="003F3B70"/>
    <w:rsid w:val="003F46E0"/>
    <w:rsid w:val="003F4717"/>
    <w:rsid w:val="003F5344"/>
    <w:rsid w:val="003F548B"/>
    <w:rsid w:val="003F78A0"/>
    <w:rsid w:val="003F7936"/>
    <w:rsid w:val="00400B45"/>
    <w:rsid w:val="004010A7"/>
    <w:rsid w:val="00401614"/>
    <w:rsid w:val="00402ADE"/>
    <w:rsid w:val="00402B41"/>
    <w:rsid w:val="004039BC"/>
    <w:rsid w:val="004044D5"/>
    <w:rsid w:val="00404C8B"/>
    <w:rsid w:val="00405894"/>
    <w:rsid w:val="00407454"/>
    <w:rsid w:val="0040756D"/>
    <w:rsid w:val="00410B81"/>
    <w:rsid w:val="00410D20"/>
    <w:rsid w:val="00410F01"/>
    <w:rsid w:val="0041164A"/>
    <w:rsid w:val="00411D4B"/>
    <w:rsid w:val="0041270C"/>
    <w:rsid w:val="0041285C"/>
    <w:rsid w:val="0041293E"/>
    <w:rsid w:val="00413091"/>
    <w:rsid w:val="00413615"/>
    <w:rsid w:val="004137BF"/>
    <w:rsid w:val="004138A1"/>
    <w:rsid w:val="00413A33"/>
    <w:rsid w:val="004145E4"/>
    <w:rsid w:val="004156BD"/>
    <w:rsid w:val="004158D5"/>
    <w:rsid w:val="00416EE0"/>
    <w:rsid w:val="00417060"/>
    <w:rsid w:val="004170E1"/>
    <w:rsid w:val="00420DF0"/>
    <w:rsid w:val="00420E3C"/>
    <w:rsid w:val="0042129C"/>
    <w:rsid w:val="00421EF9"/>
    <w:rsid w:val="00422EA7"/>
    <w:rsid w:val="00424344"/>
    <w:rsid w:val="00424A12"/>
    <w:rsid w:val="0042640C"/>
    <w:rsid w:val="004274A6"/>
    <w:rsid w:val="00427C54"/>
    <w:rsid w:val="00427D34"/>
    <w:rsid w:val="004305E6"/>
    <w:rsid w:val="00430BED"/>
    <w:rsid w:val="00431C87"/>
    <w:rsid w:val="004328DE"/>
    <w:rsid w:val="00433589"/>
    <w:rsid w:val="00433C6F"/>
    <w:rsid w:val="004342CB"/>
    <w:rsid w:val="00434550"/>
    <w:rsid w:val="00435274"/>
    <w:rsid w:val="00436B2F"/>
    <w:rsid w:val="00436CA9"/>
    <w:rsid w:val="004371A7"/>
    <w:rsid w:val="00437824"/>
    <w:rsid w:val="0043796A"/>
    <w:rsid w:val="00437CCC"/>
    <w:rsid w:val="00437DC6"/>
    <w:rsid w:val="00440123"/>
    <w:rsid w:val="00440288"/>
    <w:rsid w:val="00440B51"/>
    <w:rsid w:val="00440C00"/>
    <w:rsid w:val="00441C1C"/>
    <w:rsid w:val="004441CB"/>
    <w:rsid w:val="00444383"/>
    <w:rsid w:val="004443DE"/>
    <w:rsid w:val="004446EB"/>
    <w:rsid w:val="00444D72"/>
    <w:rsid w:val="00444D9F"/>
    <w:rsid w:val="00444EBB"/>
    <w:rsid w:val="00445CF7"/>
    <w:rsid w:val="00445CFC"/>
    <w:rsid w:val="00445F79"/>
    <w:rsid w:val="004465D1"/>
    <w:rsid w:val="00446F74"/>
    <w:rsid w:val="004471F8"/>
    <w:rsid w:val="00450649"/>
    <w:rsid w:val="004509B4"/>
    <w:rsid w:val="00451F6B"/>
    <w:rsid w:val="00452450"/>
    <w:rsid w:val="00452705"/>
    <w:rsid w:val="0045330E"/>
    <w:rsid w:val="004536DF"/>
    <w:rsid w:val="00455AC0"/>
    <w:rsid w:val="00455F12"/>
    <w:rsid w:val="00457209"/>
    <w:rsid w:val="004578FA"/>
    <w:rsid w:val="004614E3"/>
    <w:rsid w:val="00461F60"/>
    <w:rsid w:val="00462604"/>
    <w:rsid w:val="0046308E"/>
    <w:rsid w:val="00463362"/>
    <w:rsid w:val="0046358E"/>
    <w:rsid w:val="004640F8"/>
    <w:rsid w:val="004645D8"/>
    <w:rsid w:val="00464F53"/>
    <w:rsid w:val="004656C4"/>
    <w:rsid w:val="00465780"/>
    <w:rsid w:val="0046592A"/>
    <w:rsid w:val="00465C26"/>
    <w:rsid w:val="00466D4D"/>
    <w:rsid w:val="00466D83"/>
    <w:rsid w:val="0046710A"/>
    <w:rsid w:val="004679AB"/>
    <w:rsid w:val="00470232"/>
    <w:rsid w:val="00470270"/>
    <w:rsid w:val="0047035C"/>
    <w:rsid w:val="00470604"/>
    <w:rsid w:val="00470E7D"/>
    <w:rsid w:val="004714C4"/>
    <w:rsid w:val="00472A0C"/>
    <w:rsid w:val="004733B9"/>
    <w:rsid w:val="00473879"/>
    <w:rsid w:val="00473A94"/>
    <w:rsid w:val="004745FF"/>
    <w:rsid w:val="00474979"/>
    <w:rsid w:val="0047507C"/>
    <w:rsid w:val="00475C0A"/>
    <w:rsid w:val="00476CA0"/>
    <w:rsid w:val="00477B29"/>
    <w:rsid w:val="00477BB6"/>
    <w:rsid w:val="0048047C"/>
    <w:rsid w:val="00480921"/>
    <w:rsid w:val="00480E6C"/>
    <w:rsid w:val="00481560"/>
    <w:rsid w:val="00481A63"/>
    <w:rsid w:val="00481B21"/>
    <w:rsid w:val="0048233D"/>
    <w:rsid w:val="0048272D"/>
    <w:rsid w:val="0048378E"/>
    <w:rsid w:val="004841F8"/>
    <w:rsid w:val="00484BE7"/>
    <w:rsid w:val="0048648E"/>
    <w:rsid w:val="00486A9B"/>
    <w:rsid w:val="00486D36"/>
    <w:rsid w:val="00487748"/>
    <w:rsid w:val="00487984"/>
    <w:rsid w:val="00487EC8"/>
    <w:rsid w:val="00487F7A"/>
    <w:rsid w:val="0049082D"/>
    <w:rsid w:val="00491585"/>
    <w:rsid w:val="00491984"/>
    <w:rsid w:val="00492657"/>
    <w:rsid w:val="0049337B"/>
    <w:rsid w:val="00494ABE"/>
    <w:rsid w:val="004953B9"/>
    <w:rsid w:val="00495BB8"/>
    <w:rsid w:val="00496377"/>
    <w:rsid w:val="00496F0E"/>
    <w:rsid w:val="0049701C"/>
    <w:rsid w:val="004971E3"/>
    <w:rsid w:val="0049754B"/>
    <w:rsid w:val="004975C3"/>
    <w:rsid w:val="004978FC"/>
    <w:rsid w:val="00497B60"/>
    <w:rsid w:val="004A0207"/>
    <w:rsid w:val="004A1E00"/>
    <w:rsid w:val="004A22E2"/>
    <w:rsid w:val="004A257A"/>
    <w:rsid w:val="004A26AB"/>
    <w:rsid w:val="004A30B9"/>
    <w:rsid w:val="004A3233"/>
    <w:rsid w:val="004A35D8"/>
    <w:rsid w:val="004A4A5B"/>
    <w:rsid w:val="004A4F57"/>
    <w:rsid w:val="004A52E0"/>
    <w:rsid w:val="004A550C"/>
    <w:rsid w:val="004A607B"/>
    <w:rsid w:val="004A62F2"/>
    <w:rsid w:val="004A6A36"/>
    <w:rsid w:val="004A6D0B"/>
    <w:rsid w:val="004A79D2"/>
    <w:rsid w:val="004A7E32"/>
    <w:rsid w:val="004B0804"/>
    <w:rsid w:val="004B0F3A"/>
    <w:rsid w:val="004B1E7D"/>
    <w:rsid w:val="004B288C"/>
    <w:rsid w:val="004B2E1B"/>
    <w:rsid w:val="004B389D"/>
    <w:rsid w:val="004B4718"/>
    <w:rsid w:val="004B47F9"/>
    <w:rsid w:val="004B57BB"/>
    <w:rsid w:val="004C0867"/>
    <w:rsid w:val="004C0C7D"/>
    <w:rsid w:val="004C0DDD"/>
    <w:rsid w:val="004C1494"/>
    <w:rsid w:val="004C1D0C"/>
    <w:rsid w:val="004C1FF8"/>
    <w:rsid w:val="004C23B0"/>
    <w:rsid w:val="004C2609"/>
    <w:rsid w:val="004C372C"/>
    <w:rsid w:val="004C525B"/>
    <w:rsid w:val="004C5407"/>
    <w:rsid w:val="004C56A6"/>
    <w:rsid w:val="004C580E"/>
    <w:rsid w:val="004C59CD"/>
    <w:rsid w:val="004C656A"/>
    <w:rsid w:val="004C66B5"/>
    <w:rsid w:val="004C6DE8"/>
    <w:rsid w:val="004C6F1E"/>
    <w:rsid w:val="004C76F8"/>
    <w:rsid w:val="004D0329"/>
    <w:rsid w:val="004D21CD"/>
    <w:rsid w:val="004D36A5"/>
    <w:rsid w:val="004D3A47"/>
    <w:rsid w:val="004D3E22"/>
    <w:rsid w:val="004D5834"/>
    <w:rsid w:val="004D5856"/>
    <w:rsid w:val="004D5B43"/>
    <w:rsid w:val="004D61F0"/>
    <w:rsid w:val="004D6C84"/>
    <w:rsid w:val="004D6DA5"/>
    <w:rsid w:val="004D71A2"/>
    <w:rsid w:val="004D7653"/>
    <w:rsid w:val="004D78D7"/>
    <w:rsid w:val="004E019B"/>
    <w:rsid w:val="004E03C1"/>
    <w:rsid w:val="004E041D"/>
    <w:rsid w:val="004E0CF6"/>
    <w:rsid w:val="004E1CE5"/>
    <w:rsid w:val="004E22D0"/>
    <w:rsid w:val="004E2B95"/>
    <w:rsid w:val="004E2D4F"/>
    <w:rsid w:val="004E48F7"/>
    <w:rsid w:val="004E5226"/>
    <w:rsid w:val="004E5B55"/>
    <w:rsid w:val="004E5EDC"/>
    <w:rsid w:val="004E664F"/>
    <w:rsid w:val="004E6888"/>
    <w:rsid w:val="004E7185"/>
    <w:rsid w:val="004E735F"/>
    <w:rsid w:val="004E797C"/>
    <w:rsid w:val="004F1FF9"/>
    <w:rsid w:val="004F200D"/>
    <w:rsid w:val="004F26CC"/>
    <w:rsid w:val="004F4756"/>
    <w:rsid w:val="004F4DF4"/>
    <w:rsid w:val="004F4E49"/>
    <w:rsid w:val="004F572C"/>
    <w:rsid w:val="004F5FE8"/>
    <w:rsid w:val="004F6559"/>
    <w:rsid w:val="004F6B8C"/>
    <w:rsid w:val="004F6D87"/>
    <w:rsid w:val="004F7C53"/>
    <w:rsid w:val="004F7F99"/>
    <w:rsid w:val="005006BA"/>
    <w:rsid w:val="0050121F"/>
    <w:rsid w:val="005013EC"/>
    <w:rsid w:val="00501ABD"/>
    <w:rsid w:val="00501E49"/>
    <w:rsid w:val="005020AA"/>
    <w:rsid w:val="00502AC4"/>
    <w:rsid w:val="00502F38"/>
    <w:rsid w:val="00504275"/>
    <w:rsid w:val="005045AA"/>
    <w:rsid w:val="0050639A"/>
    <w:rsid w:val="005069BE"/>
    <w:rsid w:val="0050769F"/>
    <w:rsid w:val="00507782"/>
    <w:rsid w:val="00507F90"/>
    <w:rsid w:val="00510502"/>
    <w:rsid w:val="00510FB7"/>
    <w:rsid w:val="005115E1"/>
    <w:rsid w:val="005126A9"/>
    <w:rsid w:val="00513C52"/>
    <w:rsid w:val="00513E41"/>
    <w:rsid w:val="0051402E"/>
    <w:rsid w:val="005144D5"/>
    <w:rsid w:val="00514816"/>
    <w:rsid w:val="00517234"/>
    <w:rsid w:val="00517405"/>
    <w:rsid w:val="005174F8"/>
    <w:rsid w:val="0051782A"/>
    <w:rsid w:val="005178DF"/>
    <w:rsid w:val="00517939"/>
    <w:rsid w:val="00517B83"/>
    <w:rsid w:val="00517FBA"/>
    <w:rsid w:val="005211F6"/>
    <w:rsid w:val="005218AE"/>
    <w:rsid w:val="00521BDF"/>
    <w:rsid w:val="00522BF6"/>
    <w:rsid w:val="005241CE"/>
    <w:rsid w:val="00525365"/>
    <w:rsid w:val="00525521"/>
    <w:rsid w:val="005257D0"/>
    <w:rsid w:val="005257E3"/>
    <w:rsid w:val="00525A08"/>
    <w:rsid w:val="00525EE8"/>
    <w:rsid w:val="005269F1"/>
    <w:rsid w:val="00530D51"/>
    <w:rsid w:val="00531228"/>
    <w:rsid w:val="00531A08"/>
    <w:rsid w:val="00531EBE"/>
    <w:rsid w:val="00531F25"/>
    <w:rsid w:val="0053212B"/>
    <w:rsid w:val="00533ADC"/>
    <w:rsid w:val="00533C54"/>
    <w:rsid w:val="005349A1"/>
    <w:rsid w:val="0053530B"/>
    <w:rsid w:val="005354E6"/>
    <w:rsid w:val="005356D9"/>
    <w:rsid w:val="00535D5B"/>
    <w:rsid w:val="005361B1"/>
    <w:rsid w:val="00537235"/>
    <w:rsid w:val="0053780B"/>
    <w:rsid w:val="00540762"/>
    <w:rsid w:val="00540BB0"/>
    <w:rsid w:val="00542410"/>
    <w:rsid w:val="00542FDC"/>
    <w:rsid w:val="00543898"/>
    <w:rsid w:val="0054396F"/>
    <w:rsid w:val="00543A85"/>
    <w:rsid w:val="00543CCC"/>
    <w:rsid w:val="00544908"/>
    <w:rsid w:val="00544ADA"/>
    <w:rsid w:val="005461E7"/>
    <w:rsid w:val="00547097"/>
    <w:rsid w:val="00550093"/>
    <w:rsid w:val="005505AD"/>
    <w:rsid w:val="00550861"/>
    <w:rsid w:val="00550E9F"/>
    <w:rsid w:val="00550F27"/>
    <w:rsid w:val="005512A8"/>
    <w:rsid w:val="00551557"/>
    <w:rsid w:val="00551838"/>
    <w:rsid w:val="005521A6"/>
    <w:rsid w:val="00554C1C"/>
    <w:rsid w:val="00555B62"/>
    <w:rsid w:val="00556C8A"/>
    <w:rsid w:val="0055734A"/>
    <w:rsid w:val="005575F4"/>
    <w:rsid w:val="0055783D"/>
    <w:rsid w:val="00557B67"/>
    <w:rsid w:val="00557E64"/>
    <w:rsid w:val="00560849"/>
    <w:rsid w:val="00560AF3"/>
    <w:rsid w:val="00560D72"/>
    <w:rsid w:val="00560F60"/>
    <w:rsid w:val="00561093"/>
    <w:rsid w:val="005610C6"/>
    <w:rsid w:val="0056166A"/>
    <w:rsid w:val="00561992"/>
    <w:rsid w:val="005633B0"/>
    <w:rsid w:val="005647CF"/>
    <w:rsid w:val="005655BD"/>
    <w:rsid w:val="00565E0D"/>
    <w:rsid w:val="00565FBA"/>
    <w:rsid w:val="00566053"/>
    <w:rsid w:val="0056635D"/>
    <w:rsid w:val="00566FE3"/>
    <w:rsid w:val="005671D9"/>
    <w:rsid w:val="00567337"/>
    <w:rsid w:val="00567946"/>
    <w:rsid w:val="00570099"/>
    <w:rsid w:val="00570487"/>
    <w:rsid w:val="0057064C"/>
    <w:rsid w:val="00571446"/>
    <w:rsid w:val="00571BE1"/>
    <w:rsid w:val="00572159"/>
    <w:rsid w:val="00572484"/>
    <w:rsid w:val="00572E86"/>
    <w:rsid w:val="00573054"/>
    <w:rsid w:val="00574AE7"/>
    <w:rsid w:val="00574BA1"/>
    <w:rsid w:val="00574FE9"/>
    <w:rsid w:val="00575350"/>
    <w:rsid w:val="00575425"/>
    <w:rsid w:val="005758D5"/>
    <w:rsid w:val="00575E66"/>
    <w:rsid w:val="00576C25"/>
    <w:rsid w:val="00577344"/>
    <w:rsid w:val="00577455"/>
    <w:rsid w:val="0057781D"/>
    <w:rsid w:val="0057798B"/>
    <w:rsid w:val="00577F1C"/>
    <w:rsid w:val="00581084"/>
    <w:rsid w:val="005810F6"/>
    <w:rsid w:val="005819DB"/>
    <w:rsid w:val="0058242D"/>
    <w:rsid w:val="005831F3"/>
    <w:rsid w:val="00583A5E"/>
    <w:rsid w:val="00583BEF"/>
    <w:rsid w:val="00584F46"/>
    <w:rsid w:val="00585EC4"/>
    <w:rsid w:val="00585EE1"/>
    <w:rsid w:val="005860A6"/>
    <w:rsid w:val="00586179"/>
    <w:rsid w:val="005863D2"/>
    <w:rsid w:val="00587CB0"/>
    <w:rsid w:val="00590601"/>
    <w:rsid w:val="00590EF3"/>
    <w:rsid w:val="0059197D"/>
    <w:rsid w:val="00592068"/>
    <w:rsid w:val="00592700"/>
    <w:rsid w:val="00593316"/>
    <w:rsid w:val="005951DB"/>
    <w:rsid w:val="00595B02"/>
    <w:rsid w:val="00595D32"/>
    <w:rsid w:val="00596130"/>
    <w:rsid w:val="00596597"/>
    <w:rsid w:val="00596AF4"/>
    <w:rsid w:val="00597BE4"/>
    <w:rsid w:val="005A0BF6"/>
    <w:rsid w:val="005A106A"/>
    <w:rsid w:val="005A1D13"/>
    <w:rsid w:val="005A1D36"/>
    <w:rsid w:val="005A2157"/>
    <w:rsid w:val="005A375F"/>
    <w:rsid w:val="005A3CBF"/>
    <w:rsid w:val="005A4F7D"/>
    <w:rsid w:val="005A62B4"/>
    <w:rsid w:val="005A68D0"/>
    <w:rsid w:val="005A6D95"/>
    <w:rsid w:val="005A702E"/>
    <w:rsid w:val="005A74A3"/>
    <w:rsid w:val="005A7532"/>
    <w:rsid w:val="005A7D68"/>
    <w:rsid w:val="005A7ECC"/>
    <w:rsid w:val="005B046E"/>
    <w:rsid w:val="005B0E7C"/>
    <w:rsid w:val="005B0F6D"/>
    <w:rsid w:val="005B12F8"/>
    <w:rsid w:val="005B240C"/>
    <w:rsid w:val="005B2489"/>
    <w:rsid w:val="005B40BB"/>
    <w:rsid w:val="005B41FD"/>
    <w:rsid w:val="005B4E22"/>
    <w:rsid w:val="005B531E"/>
    <w:rsid w:val="005B5663"/>
    <w:rsid w:val="005B5871"/>
    <w:rsid w:val="005B5E2D"/>
    <w:rsid w:val="005B60FA"/>
    <w:rsid w:val="005B6926"/>
    <w:rsid w:val="005C06BE"/>
    <w:rsid w:val="005C0C61"/>
    <w:rsid w:val="005C0D0F"/>
    <w:rsid w:val="005C17A0"/>
    <w:rsid w:val="005C19C6"/>
    <w:rsid w:val="005C1A8B"/>
    <w:rsid w:val="005C2A0F"/>
    <w:rsid w:val="005C306D"/>
    <w:rsid w:val="005C3F98"/>
    <w:rsid w:val="005C402F"/>
    <w:rsid w:val="005C48EF"/>
    <w:rsid w:val="005C548F"/>
    <w:rsid w:val="005C5EF7"/>
    <w:rsid w:val="005C5F78"/>
    <w:rsid w:val="005C6DA3"/>
    <w:rsid w:val="005C7107"/>
    <w:rsid w:val="005C79A8"/>
    <w:rsid w:val="005D0F0D"/>
    <w:rsid w:val="005D1000"/>
    <w:rsid w:val="005D1468"/>
    <w:rsid w:val="005D21E1"/>
    <w:rsid w:val="005D2A9F"/>
    <w:rsid w:val="005D30C2"/>
    <w:rsid w:val="005D3CDE"/>
    <w:rsid w:val="005D3E9C"/>
    <w:rsid w:val="005D48CD"/>
    <w:rsid w:val="005D5279"/>
    <w:rsid w:val="005D5C34"/>
    <w:rsid w:val="005D6912"/>
    <w:rsid w:val="005D77EB"/>
    <w:rsid w:val="005D7B20"/>
    <w:rsid w:val="005E0197"/>
    <w:rsid w:val="005E046A"/>
    <w:rsid w:val="005E0B7E"/>
    <w:rsid w:val="005E19BB"/>
    <w:rsid w:val="005E19D3"/>
    <w:rsid w:val="005E253E"/>
    <w:rsid w:val="005E2C8F"/>
    <w:rsid w:val="005E3595"/>
    <w:rsid w:val="005E35C6"/>
    <w:rsid w:val="005E35DC"/>
    <w:rsid w:val="005E37F3"/>
    <w:rsid w:val="005E3874"/>
    <w:rsid w:val="005E38AC"/>
    <w:rsid w:val="005E3D0A"/>
    <w:rsid w:val="005E42DF"/>
    <w:rsid w:val="005E4DF3"/>
    <w:rsid w:val="005E5766"/>
    <w:rsid w:val="005E74C2"/>
    <w:rsid w:val="005F0419"/>
    <w:rsid w:val="005F0AE2"/>
    <w:rsid w:val="005F0F2A"/>
    <w:rsid w:val="005F1520"/>
    <w:rsid w:val="005F2EEF"/>
    <w:rsid w:val="005F410D"/>
    <w:rsid w:val="005F4DF7"/>
    <w:rsid w:val="005F50E7"/>
    <w:rsid w:val="005F55AD"/>
    <w:rsid w:val="005F5F81"/>
    <w:rsid w:val="005F6E89"/>
    <w:rsid w:val="005F76A5"/>
    <w:rsid w:val="005F7DA8"/>
    <w:rsid w:val="00600FE8"/>
    <w:rsid w:val="006015AC"/>
    <w:rsid w:val="006019EA"/>
    <w:rsid w:val="00601A52"/>
    <w:rsid w:val="006020CB"/>
    <w:rsid w:val="0060215C"/>
    <w:rsid w:val="00603342"/>
    <w:rsid w:val="006039A4"/>
    <w:rsid w:val="00603B95"/>
    <w:rsid w:val="00603CCC"/>
    <w:rsid w:val="00603F7F"/>
    <w:rsid w:val="0060477B"/>
    <w:rsid w:val="00605919"/>
    <w:rsid w:val="00606451"/>
    <w:rsid w:val="00606E9E"/>
    <w:rsid w:val="00607A4C"/>
    <w:rsid w:val="00610038"/>
    <w:rsid w:val="00610165"/>
    <w:rsid w:val="006108DB"/>
    <w:rsid w:val="00611A7C"/>
    <w:rsid w:val="00612657"/>
    <w:rsid w:val="00613EDF"/>
    <w:rsid w:val="00614625"/>
    <w:rsid w:val="006161E9"/>
    <w:rsid w:val="00617C45"/>
    <w:rsid w:val="006209CB"/>
    <w:rsid w:val="0062206C"/>
    <w:rsid w:val="00622FE5"/>
    <w:rsid w:val="00623826"/>
    <w:rsid w:val="006247E1"/>
    <w:rsid w:val="00624EAC"/>
    <w:rsid w:val="00624EEF"/>
    <w:rsid w:val="00626333"/>
    <w:rsid w:val="006269B6"/>
    <w:rsid w:val="00627064"/>
    <w:rsid w:val="006271B4"/>
    <w:rsid w:val="00627A99"/>
    <w:rsid w:val="00627D1B"/>
    <w:rsid w:val="00630060"/>
    <w:rsid w:val="00630660"/>
    <w:rsid w:val="006309A9"/>
    <w:rsid w:val="00632BDA"/>
    <w:rsid w:val="00632F53"/>
    <w:rsid w:val="00633FA6"/>
    <w:rsid w:val="006340D8"/>
    <w:rsid w:val="00634584"/>
    <w:rsid w:val="00634B0D"/>
    <w:rsid w:val="00634D7E"/>
    <w:rsid w:val="0063517B"/>
    <w:rsid w:val="00637AE7"/>
    <w:rsid w:val="00640671"/>
    <w:rsid w:val="00640EE6"/>
    <w:rsid w:val="006418C2"/>
    <w:rsid w:val="00641905"/>
    <w:rsid w:val="00642130"/>
    <w:rsid w:val="00642596"/>
    <w:rsid w:val="00643472"/>
    <w:rsid w:val="00643C01"/>
    <w:rsid w:val="00643ED4"/>
    <w:rsid w:val="006468DE"/>
    <w:rsid w:val="0064704C"/>
    <w:rsid w:val="00647A9B"/>
    <w:rsid w:val="00647EDD"/>
    <w:rsid w:val="006502F5"/>
    <w:rsid w:val="0065086D"/>
    <w:rsid w:val="00650B14"/>
    <w:rsid w:val="00651918"/>
    <w:rsid w:val="00651BC2"/>
    <w:rsid w:val="0065317A"/>
    <w:rsid w:val="0065407E"/>
    <w:rsid w:val="006560BE"/>
    <w:rsid w:val="00656743"/>
    <w:rsid w:val="0065694C"/>
    <w:rsid w:val="00656E15"/>
    <w:rsid w:val="0066037E"/>
    <w:rsid w:val="00660BBC"/>
    <w:rsid w:val="00662013"/>
    <w:rsid w:val="0066202E"/>
    <w:rsid w:val="006624E6"/>
    <w:rsid w:val="00663A5A"/>
    <w:rsid w:val="00663CBA"/>
    <w:rsid w:val="00664070"/>
    <w:rsid w:val="006650D3"/>
    <w:rsid w:val="006654AB"/>
    <w:rsid w:val="00665683"/>
    <w:rsid w:val="00665E70"/>
    <w:rsid w:val="006672D5"/>
    <w:rsid w:val="00667398"/>
    <w:rsid w:val="006719BD"/>
    <w:rsid w:val="00672655"/>
    <w:rsid w:val="006736DE"/>
    <w:rsid w:val="00673EB4"/>
    <w:rsid w:val="0067421F"/>
    <w:rsid w:val="00674FD6"/>
    <w:rsid w:val="006751E5"/>
    <w:rsid w:val="00675473"/>
    <w:rsid w:val="00675636"/>
    <w:rsid w:val="0067571A"/>
    <w:rsid w:val="006768BE"/>
    <w:rsid w:val="00677321"/>
    <w:rsid w:val="00677614"/>
    <w:rsid w:val="00677847"/>
    <w:rsid w:val="00677C02"/>
    <w:rsid w:val="00677C71"/>
    <w:rsid w:val="00680549"/>
    <w:rsid w:val="00681463"/>
    <w:rsid w:val="00681FAB"/>
    <w:rsid w:val="00684676"/>
    <w:rsid w:val="00685651"/>
    <w:rsid w:val="006858C1"/>
    <w:rsid w:val="00685941"/>
    <w:rsid w:val="00686A74"/>
    <w:rsid w:val="00690155"/>
    <w:rsid w:val="00690A70"/>
    <w:rsid w:val="00690BF8"/>
    <w:rsid w:val="00690F8E"/>
    <w:rsid w:val="00691386"/>
    <w:rsid w:val="00692CF3"/>
    <w:rsid w:val="00693499"/>
    <w:rsid w:val="00694E60"/>
    <w:rsid w:val="00695048"/>
    <w:rsid w:val="006959DB"/>
    <w:rsid w:val="006962F9"/>
    <w:rsid w:val="00696677"/>
    <w:rsid w:val="006968EE"/>
    <w:rsid w:val="00696B0F"/>
    <w:rsid w:val="006A1A65"/>
    <w:rsid w:val="006A26BE"/>
    <w:rsid w:val="006A28AC"/>
    <w:rsid w:val="006A32D5"/>
    <w:rsid w:val="006A33F1"/>
    <w:rsid w:val="006A45C9"/>
    <w:rsid w:val="006A4AD7"/>
    <w:rsid w:val="006A54EF"/>
    <w:rsid w:val="006A58C9"/>
    <w:rsid w:val="006A6623"/>
    <w:rsid w:val="006B012D"/>
    <w:rsid w:val="006B0367"/>
    <w:rsid w:val="006B1C7D"/>
    <w:rsid w:val="006B1DAF"/>
    <w:rsid w:val="006B1E8F"/>
    <w:rsid w:val="006B20BA"/>
    <w:rsid w:val="006B2C9D"/>
    <w:rsid w:val="006B3519"/>
    <w:rsid w:val="006B4624"/>
    <w:rsid w:val="006B51C4"/>
    <w:rsid w:val="006B5650"/>
    <w:rsid w:val="006B5E97"/>
    <w:rsid w:val="006B630C"/>
    <w:rsid w:val="006B7D41"/>
    <w:rsid w:val="006B7F97"/>
    <w:rsid w:val="006C0EAD"/>
    <w:rsid w:val="006C18A8"/>
    <w:rsid w:val="006C2533"/>
    <w:rsid w:val="006C2C00"/>
    <w:rsid w:val="006C2E21"/>
    <w:rsid w:val="006C3999"/>
    <w:rsid w:val="006C3AAF"/>
    <w:rsid w:val="006C4986"/>
    <w:rsid w:val="006C50D6"/>
    <w:rsid w:val="006C528B"/>
    <w:rsid w:val="006C59ED"/>
    <w:rsid w:val="006C59FD"/>
    <w:rsid w:val="006C5E97"/>
    <w:rsid w:val="006C68D2"/>
    <w:rsid w:val="006C7AFA"/>
    <w:rsid w:val="006D0485"/>
    <w:rsid w:val="006D0B1E"/>
    <w:rsid w:val="006D1D37"/>
    <w:rsid w:val="006D467B"/>
    <w:rsid w:val="006D4834"/>
    <w:rsid w:val="006D4B47"/>
    <w:rsid w:val="006D546C"/>
    <w:rsid w:val="006D613B"/>
    <w:rsid w:val="006D7416"/>
    <w:rsid w:val="006E0156"/>
    <w:rsid w:val="006E07D9"/>
    <w:rsid w:val="006E23EB"/>
    <w:rsid w:val="006E3182"/>
    <w:rsid w:val="006E37ED"/>
    <w:rsid w:val="006E67FF"/>
    <w:rsid w:val="006E6CE0"/>
    <w:rsid w:val="006E74C7"/>
    <w:rsid w:val="006E786D"/>
    <w:rsid w:val="006E7EF4"/>
    <w:rsid w:val="006F026B"/>
    <w:rsid w:val="006F027E"/>
    <w:rsid w:val="006F0CF5"/>
    <w:rsid w:val="006F0E6B"/>
    <w:rsid w:val="006F1C09"/>
    <w:rsid w:val="006F25FC"/>
    <w:rsid w:val="006F32C2"/>
    <w:rsid w:val="006F450C"/>
    <w:rsid w:val="006F4701"/>
    <w:rsid w:val="006F5618"/>
    <w:rsid w:val="006F578F"/>
    <w:rsid w:val="006F59B9"/>
    <w:rsid w:val="006F5E1F"/>
    <w:rsid w:val="006F635D"/>
    <w:rsid w:val="006F6407"/>
    <w:rsid w:val="006F657B"/>
    <w:rsid w:val="006F6E3A"/>
    <w:rsid w:val="006F707D"/>
    <w:rsid w:val="006F714F"/>
    <w:rsid w:val="006F7430"/>
    <w:rsid w:val="006F7C62"/>
    <w:rsid w:val="0070003C"/>
    <w:rsid w:val="00700691"/>
    <w:rsid w:val="00700FE4"/>
    <w:rsid w:val="007020B0"/>
    <w:rsid w:val="00702125"/>
    <w:rsid w:val="0070243B"/>
    <w:rsid w:val="0070256C"/>
    <w:rsid w:val="007028FA"/>
    <w:rsid w:val="00703AA2"/>
    <w:rsid w:val="00703BAA"/>
    <w:rsid w:val="00704099"/>
    <w:rsid w:val="00704B8F"/>
    <w:rsid w:val="00706E7C"/>
    <w:rsid w:val="007106A0"/>
    <w:rsid w:val="00710798"/>
    <w:rsid w:val="00710C5E"/>
    <w:rsid w:val="00711C5D"/>
    <w:rsid w:val="00712979"/>
    <w:rsid w:val="00712AF1"/>
    <w:rsid w:val="0071429D"/>
    <w:rsid w:val="007145F7"/>
    <w:rsid w:val="007147B1"/>
    <w:rsid w:val="00715DA4"/>
    <w:rsid w:val="00715E46"/>
    <w:rsid w:val="00715F59"/>
    <w:rsid w:val="00716950"/>
    <w:rsid w:val="00716D62"/>
    <w:rsid w:val="00716E3C"/>
    <w:rsid w:val="00717070"/>
    <w:rsid w:val="00720629"/>
    <w:rsid w:val="0072180D"/>
    <w:rsid w:val="00721A55"/>
    <w:rsid w:val="00722588"/>
    <w:rsid w:val="007237F9"/>
    <w:rsid w:val="00723899"/>
    <w:rsid w:val="00724391"/>
    <w:rsid w:val="00726CF4"/>
    <w:rsid w:val="0072760D"/>
    <w:rsid w:val="00727ADD"/>
    <w:rsid w:val="00727D3D"/>
    <w:rsid w:val="0073031E"/>
    <w:rsid w:val="0073040B"/>
    <w:rsid w:val="007325FF"/>
    <w:rsid w:val="00732CAC"/>
    <w:rsid w:val="00733222"/>
    <w:rsid w:val="0073352D"/>
    <w:rsid w:val="0073381D"/>
    <w:rsid w:val="00733C34"/>
    <w:rsid w:val="00735539"/>
    <w:rsid w:val="00735715"/>
    <w:rsid w:val="00735839"/>
    <w:rsid w:val="007359E8"/>
    <w:rsid w:val="0073621C"/>
    <w:rsid w:val="007367A1"/>
    <w:rsid w:val="0073689E"/>
    <w:rsid w:val="00736A5E"/>
    <w:rsid w:val="00736FDB"/>
    <w:rsid w:val="0073739E"/>
    <w:rsid w:val="007373D7"/>
    <w:rsid w:val="00740B06"/>
    <w:rsid w:val="00740C18"/>
    <w:rsid w:val="00741413"/>
    <w:rsid w:val="00741440"/>
    <w:rsid w:val="00741D38"/>
    <w:rsid w:val="007433AA"/>
    <w:rsid w:val="00744123"/>
    <w:rsid w:val="00744A3D"/>
    <w:rsid w:val="00745152"/>
    <w:rsid w:val="00745A53"/>
    <w:rsid w:val="00745DEC"/>
    <w:rsid w:val="00746266"/>
    <w:rsid w:val="00746E71"/>
    <w:rsid w:val="007477FC"/>
    <w:rsid w:val="00750375"/>
    <w:rsid w:val="007508BA"/>
    <w:rsid w:val="007516F5"/>
    <w:rsid w:val="00751730"/>
    <w:rsid w:val="00751900"/>
    <w:rsid w:val="00751BBA"/>
    <w:rsid w:val="00752260"/>
    <w:rsid w:val="00752444"/>
    <w:rsid w:val="00752FC9"/>
    <w:rsid w:val="0075386F"/>
    <w:rsid w:val="00753AB3"/>
    <w:rsid w:val="00754064"/>
    <w:rsid w:val="00754533"/>
    <w:rsid w:val="00754ED8"/>
    <w:rsid w:val="0075578E"/>
    <w:rsid w:val="00756048"/>
    <w:rsid w:val="00756071"/>
    <w:rsid w:val="00756D82"/>
    <w:rsid w:val="0075703A"/>
    <w:rsid w:val="00757FD0"/>
    <w:rsid w:val="00760144"/>
    <w:rsid w:val="00762125"/>
    <w:rsid w:val="00762328"/>
    <w:rsid w:val="007623BC"/>
    <w:rsid w:val="00763214"/>
    <w:rsid w:val="00763830"/>
    <w:rsid w:val="00763AE0"/>
    <w:rsid w:val="00765217"/>
    <w:rsid w:val="00765222"/>
    <w:rsid w:val="0076586F"/>
    <w:rsid w:val="00765A88"/>
    <w:rsid w:val="007662E5"/>
    <w:rsid w:val="007663A7"/>
    <w:rsid w:val="00766522"/>
    <w:rsid w:val="0076676A"/>
    <w:rsid w:val="00766CF7"/>
    <w:rsid w:val="0076747B"/>
    <w:rsid w:val="00767F2D"/>
    <w:rsid w:val="00770C11"/>
    <w:rsid w:val="007716D0"/>
    <w:rsid w:val="00772526"/>
    <w:rsid w:val="00772870"/>
    <w:rsid w:val="00773241"/>
    <w:rsid w:val="00773668"/>
    <w:rsid w:val="007736E3"/>
    <w:rsid w:val="00773C71"/>
    <w:rsid w:val="00774981"/>
    <w:rsid w:val="007749D1"/>
    <w:rsid w:val="00775291"/>
    <w:rsid w:val="007757D3"/>
    <w:rsid w:val="007758AD"/>
    <w:rsid w:val="00775D1C"/>
    <w:rsid w:val="00776551"/>
    <w:rsid w:val="00776962"/>
    <w:rsid w:val="00776C60"/>
    <w:rsid w:val="0077753A"/>
    <w:rsid w:val="0077794C"/>
    <w:rsid w:val="00777D37"/>
    <w:rsid w:val="0078094D"/>
    <w:rsid w:val="007818F4"/>
    <w:rsid w:val="00782D18"/>
    <w:rsid w:val="00782F73"/>
    <w:rsid w:val="00782F84"/>
    <w:rsid w:val="007839D7"/>
    <w:rsid w:val="00784DA6"/>
    <w:rsid w:val="007853D9"/>
    <w:rsid w:val="007863DE"/>
    <w:rsid w:val="0078660A"/>
    <w:rsid w:val="00787030"/>
    <w:rsid w:val="00787863"/>
    <w:rsid w:val="00787A65"/>
    <w:rsid w:val="00787AF0"/>
    <w:rsid w:val="00791257"/>
    <w:rsid w:val="00791A1D"/>
    <w:rsid w:val="0079278B"/>
    <w:rsid w:val="00793327"/>
    <w:rsid w:val="00794031"/>
    <w:rsid w:val="007942F6"/>
    <w:rsid w:val="0079550A"/>
    <w:rsid w:val="00796328"/>
    <w:rsid w:val="00796EA3"/>
    <w:rsid w:val="00797315"/>
    <w:rsid w:val="00797403"/>
    <w:rsid w:val="007A021F"/>
    <w:rsid w:val="007A056E"/>
    <w:rsid w:val="007A0DC0"/>
    <w:rsid w:val="007A2E97"/>
    <w:rsid w:val="007A38F0"/>
    <w:rsid w:val="007A3996"/>
    <w:rsid w:val="007A39FF"/>
    <w:rsid w:val="007A3F27"/>
    <w:rsid w:val="007A40A5"/>
    <w:rsid w:val="007A4266"/>
    <w:rsid w:val="007A4BA7"/>
    <w:rsid w:val="007A4EE5"/>
    <w:rsid w:val="007A544C"/>
    <w:rsid w:val="007A6177"/>
    <w:rsid w:val="007A7831"/>
    <w:rsid w:val="007A7F2F"/>
    <w:rsid w:val="007B003A"/>
    <w:rsid w:val="007B011D"/>
    <w:rsid w:val="007B0244"/>
    <w:rsid w:val="007B043E"/>
    <w:rsid w:val="007B04C6"/>
    <w:rsid w:val="007B0A45"/>
    <w:rsid w:val="007B1750"/>
    <w:rsid w:val="007B1E81"/>
    <w:rsid w:val="007B2CF1"/>
    <w:rsid w:val="007B2F94"/>
    <w:rsid w:val="007B5BAB"/>
    <w:rsid w:val="007B68AF"/>
    <w:rsid w:val="007B7208"/>
    <w:rsid w:val="007C0840"/>
    <w:rsid w:val="007C0E99"/>
    <w:rsid w:val="007C11A8"/>
    <w:rsid w:val="007C1730"/>
    <w:rsid w:val="007C1C38"/>
    <w:rsid w:val="007C215D"/>
    <w:rsid w:val="007C3121"/>
    <w:rsid w:val="007C322A"/>
    <w:rsid w:val="007C39BD"/>
    <w:rsid w:val="007C3BB5"/>
    <w:rsid w:val="007C3D88"/>
    <w:rsid w:val="007C4958"/>
    <w:rsid w:val="007C571A"/>
    <w:rsid w:val="007C5A38"/>
    <w:rsid w:val="007C66FC"/>
    <w:rsid w:val="007C71E4"/>
    <w:rsid w:val="007C73D7"/>
    <w:rsid w:val="007D0863"/>
    <w:rsid w:val="007D16B0"/>
    <w:rsid w:val="007D18B1"/>
    <w:rsid w:val="007D1C1E"/>
    <w:rsid w:val="007D22E8"/>
    <w:rsid w:val="007D246E"/>
    <w:rsid w:val="007D35FD"/>
    <w:rsid w:val="007D3600"/>
    <w:rsid w:val="007D3D47"/>
    <w:rsid w:val="007D4AF2"/>
    <w:rsid w:val="007D4F85"/>
    <w:rsid w:val="007D560A"/>
    <w:rsid w:val="007D5E4B"/>
    <w:rsid w:val="007D642E"/>
    <w:rsid w:val="007D6C21"/>
    <w:rsid w:val="007D6D55"/>
    <w:rsid w:val="007D78F3"/>
    <w:rsid w:val="007E06EB"/>
    <w:rsid w:val="007E0A2A"/>
    <w:rsid w:val="007E0C92"/>
    <w:rsid w:val="007E0D38"/>
    <w:rsid w:val="007E0F02"/>
    <w:rsid w:val="007E24E2"/>
    <w:rsid w:val="007E24EC"/>
    <w:rsid w:val="007E2CC1"/>
    <w:rsid w:val="007E2D2B"/>
    <w:rsid w:val="007E307E"/>
    <w:rsid w:val="007E3695"/>
    <w:rsid w:val="007E36CA"/>
    <w:rsid w:val="007E3CDB"/>
    <w:rsid w:val="007E49A0"/>
    <w:rsid w:val="007E5229"/>
    <w:rsid w:val="007E539A"/>
    <w:rsid w:val="007E5B52"/>
    <w:rsid w:val="007E6FA7"/>
    <w:rsid w:val="007E7B78"/>
    <w:rsid w:val="007F0DF2"/>
    <w:rsid w:val="007F137D"/>
    <w:rsid w:val="007F1511"/>
    <w:rsid w:val="007F27C6"/>
    <w:rsid w:val="007F3783"/>
    <w:rsid w:val="007F38C7"/>
    <w:rsid w:val="007F524F"/>
    <w:rsid w:val="007F541A"/>
    <w:rsid w:val="007F5E46"/>
    <w:rsid w:val="007F6293"/>
    <w:rsid w:val="007F7692"/>
    <w:rsid w:val="007F7CA8"/>
    <w:rsid w:val="008003E3"/>
    <w:rsid w:val="00800DC8"/>
    <w:rsid w:val="0080131C"/>
    <w:rsid w:val="00801A56"/>
    <w:rsid w:val="00801C4D"/>
    <w:rsid w:val="00802178"/>
    <w:rsid w:val="00802999"/>
    <w:rsid w:val="0080299E"/>
    <w:rsid w:val="008036AD"/>
    <w:rsid w:val="008039FA"/>
    <w:rsid w:val="008044DC"/>
    <w:rsid w:val="00805556"/>
    <w:rsid w:val="00805B24"/>
    <w:rsid w:val="00805D9E"/>
    <w:rsid w:val="00807E7F"/>
    <w:rsid w:val="00810E83"/>
    <w:rsid w:val="008116FF"/>
    <w:rsid w:val="00811D3F"/>
    <w:rsid w:val="0081211A"/>
    <w:rsid w:val="008125B2"/>
    <w:rsid w:val="0081269C"/>
    <w:rsid w:val="0081358C"/>
    <w:rsid w:val="008153B9"/>
    <w:rsid w:val="0081570E"/>
    <w:rsid w:val="00815DD4"/>
    <w:rsid w:val="00816547"/>
    <w:rsid w:val="0081717D"/>
    <w:rsid w:val="0081749B"/>
    <w:rsid w:val="00817744"/>
    <w:rsid w:val="00820126"/>
    <w:rsid w:val="00820DEE"/>
    <w:rsid w:val="00820E98"/>
    <w:rsid w:val="0082132F"/>
    <w:rsid w:val="008229AC"/>
    <w:rsid w:val="00822B3F"/>
    <w:rsid w:val="00822F59"/>
    <w:rsid w:val="00823009"/>
    <w:rsid w:val="008231E7"/>
    <w:rsid w:val="00823E6F"/>
    <w:rsid w:val="008251FD"/>
    <w:rsid w:val="008254A1"/>
    <w:rsid w:val="00825E2F"/>
    <w:rsid w:val="00826D97"/>
    <w:rsid w:val="008275D9"/>
    <w:rsid w:val="008279A5"/>
    <w:rsid w:val="008301CE"/>
    <w:rsid w:val="008302A9"/>
    <w:rsid w:val="008304D8"/>
    <w:rsid w:val="00830640"/>
    <w:rsid w:val="00830C68"/>
    <w:rsid w:val="00831976"/>
    <w:rsid w:val="008319B3"/>
    <w:rsid w:val="008325CD"/>
    <w:rsid w:val="0083347D"/>
    <w:rsid w:val="0083376D"/>
    <w:rsid w:val="00833B79"/>
    <w:rsid w:val="0083408B"/>
    <w:rsid w:val="008352D5"/>
    <w:rsid w:val="0083541B"/>
    <w:rsid w:val="0083774D"/>
    <w:rsid w:val="00837C0E"/>
    <w:rsid w:val="00837ECD"/>
    <w:rsid w:val="00837FE9"/>
    <w:rsid w:val="008401B9"/>
    <w:rsid w:val="008408F2"/>
    <w:rsid w:val="00840E9C"/>
    <w:rsid w:val="00841686"/>
    <w:rsid w:val="00842339"/>
    <w:rsid w:val="0084282F"/>
    <w:rsid w:val="0084288D"/>
    <w:rsid w:val="0084300B"/>
    <w:rsid w:val="0084354E"/>
    <w:rsid w:val="00843692"/>
    <w:rsid w:val="0084384E"/>
    <w:rsid w:val="00843A28"/>
    <w:rsid w:val="00843B9C"/>
    <w:rsid w:val="00843C86"/>
    <w:rsid w:val="0084415D"/>
    <w:rsid w:val="008449BA"/>
    <w:rsid w:val="00844A8E"/>
    <w:rsid w:val="00844B43"/>
    <w:rsid w:val="00844C4C"/>
    <w:rsid w:val="00845CBD"/>
    <w:rsid w:val="00845F4B"/>
    <w:rsid w:val="008469FF"/>
    <w:rsid w:val="008472FC"/>
    <w:rsid w:val="00847A1E"/>
    <w:rsid w:val="00847E25"/>
    <w:rsid w:val="00850722"/>
    <w:rsid w:val="00850C3F"/>
    <w:rsid w:val="0085116A"/>
    <w:rsid w:val="00851B2F"/>
    <w:rsid w:val="00851E76"/>
    <w:rsid w:val="00852A30"/>
    <w:rsid w:val="00853A27"/>
    <w:rsid w:val="00853BB4"/>
    <w:rsid w:val="0085409E"/>
    <w:rsid w:val="00854132"/>
    <w:rsid w:val="00856409"/>
    <w:rsid w:val="00856855"/>
    <w:rsid w:val="00856D1B"/>
    <w:rsid w:val="008575F4"/>
    <w:rsid w:val="00860465"/>
    <w:rsid w:val="00860CC9"/>
    <w:rsid w:val="008613C1"/>
    <w:rsid w:val="00861E51"/>
    <w:rsid w:val="0086224D"/>
    <w:rsid w:val="00863576"/>
    <w:rsid w:val="00863F4E"/>
    <w:rsid w:val="00864BF2"/>
    <w:rsid w:val="008655D7"/>
    <w:rsid w:val="0086704B"/>
    <w:rsid w:val="00867230"/>
    <w:rsid w:val="0086743A"/>
    <w:rsid w:val="00867740"/>
    <w:rsid w:val="00867741"/>
    <w:rsid w:val="0086797F"/>
    <w:rsid w:val="008710EC"/>
    <w:rsid w:val="00871EC3"/>
    <w:rsid w:val="00874217"/>
    <w:rsid w:val="008742BE"/>
    <w:rsid w:val="00875BDB"/>
    <w:rsid w:val="00875CDB"/>
    <w:rsid w:val="00875F8F"/>
    <w:rsid w:val="00876D82"/>
    <w:rsid w:val="00876E17"/>
    <w:rsid w:val="00877D28"/>
    <w:rsid w:val="008805EE"/>
    <w:rsid w:val="00880C08"/>
    <w:rsid w:val="00880E5E"/>
    <w:rsid w:val="0088108B"/>
    <w:rsid w:val="008819A1"/>
    <w:rsid w:val="008858C1"/>
    <w:rsid w:val="00885DF9"/>
    <w:rsid w:val="00885F77"/>
    <w:rsid w:val="0088653D"/>
    <w:rsid w:val="0088694B"/>
    <w:rsid w:val="008879AD"/>
    <w:rsid w:val="00890403"/>
    <w:rsid w:val="008904BE"/>
    <w:rsid w:val="008913BA"/>
    <w:rsid w:val="00892E3A"/>
    <w:rsid w:val="008941DC"/>
    <w:rsid w:val="00894D37"/>
    <w:rsid w:val="00894FF0"/>
    <w:rsid w:val="00896E2D"/>
    <w:rsid w:val="00897210"/>
    <w:rsid w:val="0089749D"/>
    <w:rsid w:val="00897A0C"/>
    <w:rsid w:val="008A0A1F"/>
    <w:rsid w:val="008A1047"/>
    <w:rsid w:val="008A16D2"/>
    <w:rsid w:val="008A1EF2"/>
    <w:rsid w:val="008A23C6"/>
    <w:rsid w:val="008A366C"/>
    <w:rsid w:val="008A3825"/>
    <w:rsid w:val="008A390B"/>
    <w:rsid w:val="008A49C5"/>
    <w:rsid w:val="008A4DC4"/>
    <w:rsid w:val="008A6478"/>
    <w:rsid w:val="008A65A6"/>
    <w:rsid w:val="008A6859"/>
    <w:rsid w:val="008A69EF"/>
    <w:rsid w:val="008A6B6B"/>
    <w:rsid w:val="008A6BBA"/>
    <w:rsid w:val="008A7D99"/>
    <w:rsid w:val="008A7E20"/>
    <w:rsid w:val="008B01D2"/>
    <w:rsid w:val="008B0682"/>
    <w:rsid w:val="008B11D6"/>
    <w:rsid w:val="008B1C0C"/>
    <w:rsid w:val="008B1C95"/>
    <w:rsid w:val="008B23D9"/>
    <w:rsid w:val="008B2C76"/>
    <w:rsid w:val="008B3235"/>
    <w:rsid w:val="008B3AF6"/>
    <w:rsid w:val="008B3C1C"/>
    <w:rsid w:val="008B4228"/>
    <w:rsid w:val="008B48F4"/>
    <w:rsid w:val="008B4D2B"/>
    <w:rsid w:val="008B5458"/>
    <w:rsid w:val="008B58F1"/>
    <w:rsid w:val="008B5E74"/>
    <w:rsid w:val="008B60A8"/>
    <w:rsid w:val="008B618D"/>
    <w:rsid w:val="008B61B5"/>
    <w:rsid w:val="008B6504"/>
    <w:rsid w:val="008B7145"/>
    <w:rsid w:val="008B7D01"/>
    <w:rsid w:val="008C0B1D"/>
    <w:rsid w:val="008C0EB2"/>
    <w:rsid w:val="008C18DA"/>
    <w:rsid w:val="008C1E19"/>
    <w:rsid w:val="008C236E"/>
    <w:rsid w:val="008C2942"/>
    <w:rsid w:val="008C2FE4"/>
    <w:rsid w:val="008C345D"/>
    <w:rsid w:val="008C3C54"/>
    <w:rsid w:val="008C42E6"/>
    <w:rsid w:val="008C5C9F"/>
    <w:rsid w:val="008C5E29"/>
    <w:rsid w:val="008C61C8"/>
    <w:rsid w:val="008D094B"/>
    <w:rsid w:val="008D09F0"/>
    <w:rsid w:val="008D14D7"/>
    <w:rsid w:val="008D16F5"/>
    <w:rsid w:val="008D1BBD"/>
    <w:rsid w:val="008D1FC3"/>
    <w:rsid w:val="008D278E"/>
    <w:rsid w:val="008D35EE"/>
    <w:rsid w:val="008D3906"/>
    <w:rsid w:val="008D3F80"/>
    <w:rsid w:val="008D41EB"/>
    <w:rsid w:val="008D438E"/>
    <w:rsid w:val="008D470E"/>
    <w:rsid w:val="008D4E79"/>
    <w:rsid w:val="008D5A36"/>
    <w:rsid w:val="008D5ABD"/>
    <w:rsid w:val="008D5AE2"/>
    <w:rsid w:val="008D6291"/>
    <w:rsid w:val="008D62D8"/>
    <w:rsid w:val="008D6488"/>
    <w:rsid w:val="008D6747"/>
    <w:rsid w:val="008D7918"/>
    <w:rsid w:val="008E13CF"/>
    <w:rsid w:val="008E1937"/>
    <w:rsid w:val="008E3B79"/>
    <w:rsid w:val="008E5594"/>
    <w:rsid w:val="008E5767"/>
    <w:rsid w:val="008E5E98"/>
    <w:rsid w:val="008E65D4"/>
    <w:rsid w:val="008E743D"/>
    <w:rsid w:val="008E7EF2"/>
    <w:rsid w:val="008F1C74"/>
    <w:rsid w:val="008F22FB"/>
    <w:rsid w:val="008F2E82"/>
    <w:rsid w:val="008F30E6"/>
    <w:rsid w:val="008F3DBC"/>
    <w:rsid w:val="008F4372"/>
    <w:rsid w:val="008F4800"/>
    <w:rsid w:val="008F4932"/>
    <w:rsid w:val="008F5917"/>
    <w:rsid w:val="008F5C4D"/>
    <w:rsid w:val="008F5DA2"/>
    <w:rsid w:val="008F5EC8"/>
    <w:rsid w:val="008F6644"/>
    <w:rsid w:val="008F74FE"/>
    <w:rsid w:val="008F7970"/>
    <w:rsid w:val="008F7FB8"/>
    <w:rsid w:val="009003C5"/>
    <w:rsid w:val="0090189E"/>
    <w:rsid w:val="00902CB6"/>
    <w:rsid w:val="00903522"/>
    <w:rsid w:val="00904270"/>
    <w:rsid w:val="009046B1"/>
    <w:rsid w:val="00905108"/>
    <w:rsid w:val="009061A7"/>
    <w:rsid w:val="0090639A"/>
    <w:rsid w:val="00906D5C"/>
    <w:rsid w:val="0090719E"/>
    <w:rsid w:val="009111E0"/>
    <w:rsid w:val="00911AF5"/>
    <w:rsid w:val="0091267A"/>
    <w:rsid w:val="0091282D"/>
    <w:rsid w:val="00913E7D"/>
    <w:rsid w:val="009144B0"/>
    <w:rsid w:val="00914601"/>
    <w:rsid w:val="009148A4"/>
    <w:rsid w:val="00914ED0"/>
    <w:rsid w:val="00915BB7"/>
    <w:rsid w:val="00916272"/>
    <w:rsid w:val="0091659A"/>
    <w:rsid w:val="00920300"/>
    <w:rsid w:val="00920D7B"/>
    <w:rsid w:val="00920DF4"/>
    <w:rsid w:val="00921863"/>
    <w:rsid w:val="00921EBE"/>
    <w:rsid w:val="009225D4"/>
    <w:rsid w:val="0092473B"/>
    <w:rsid w:val="00924B6E"/>
    <w:rsid w:val="00924D62"/>
    <w:rsid w:val="009263A0"/>
    <w:rsid w:val="00926491"/>
    <w:rsid w:val="00926640"/>
    <w:rsid w:val="00926BDE"/>
    <w:rsid w:val="00927208"/>
    <w:rsid w:val="00931595"/>
    <w:rsid w:val="009329CD"/>
    <w:rsid w:val="00933BDA"/>
    <w:rsid w:val="00933C31"/>
    <w:rsid w:val="00934569"/>
    <w:rsid w:val="00934A6C"/>
    <w:rsid w:val="009354F3"/>
    <w:rsid w:val="00935FDB"/>
    <w:rsid w:val="0093621E"/>
    <w:rsid w:val="009368DF"/>
    <w:rsid w:val="00937486"/>
    <w:rsid w:val="0094068B"/>
    <w:rsid w:val="00942A87"/>
    <w:rsid w:val="00942D93"/>
    <w:rsid w:val="00943F3B"/>
    <w:rsid w:val="009440DF"/>
    <w:rsid w:val="00945CFC"/>
    <w:rsid w:val="009464AA"/>
    <w:rsid w:val="00947245"/>
    <w:rsid w:val="009472F8"/>
    <w:rsid w:val="009477E4"/>
    <w:rsid w:val="00951623"/>
    <w:rsid w:val="00951D67"/>
    <w:rsid w:val="009522A2"/>
    <w:rsid w:val="00952402"/>
    <w:rsid w:val="00952498"/>
    <w:rsid w:val="009529D0"/>
    <w:rsid w:val="009545D3"/>
    <w:rsid w:val="00954FFA"/>
    <w:rsid w:val="00955D4E"/>
    <w:rsid w:val="00956AEB"/>
    <w:rsid w:val="00956BCE"/>
    <w:rsid w:val="009570CF"/>
    <w:rsid w:val="009572DA"/>
    <w:rsid w:val="009573A6"/>
    <w:rsid w:val="009575FF"/>
    <w:rsid w:val="00960064"/>
    <w:rsid w:val="009601A7"/>
    <w:rsid w:val="00960347"/>
    <w:rsid w:val="00961690"/>
    <w:rsid w:val="0096191C"/>
    <w:rsid w:val="00961963"/>
    <w:rsid w:val="00962D3B"/>
    <w:rsid w:val="00963330"/>
    <w:rsid w:val="00963A50"/>
    <w:rsid w:val="00966486"/>
    <w:rsid w:val="00966752"/>
    <w:rsid w:val="00966C48"/>
    <w:rsid w:val="00966D5E"/>
    <w:rsid w:val="00967503"/>
    <w:rsid w:val="00970CE1"/>
    <w:rsid w:val="00971892"/>
    <w:rsid w:val="00971E21"/>
    <w:rsid w:val="00972F76"/>
    <w:rsid w:val="009730D5"/>
    <w:rsid w:val="00973732"/>
    <w:rsid w:val="00973736"/>
    <w:rsid w:val="00974168"/>
    <w:rsid w:val="00974429"/>
    <w:rsid w:val="00975008"/>
    <w:rsid w:val="00976178"/>
    <w:rsid w:val="00976804"/>
    <w:rsid w:val="00976937"/>
    <w:rsid w:val="009769AF"/>
    <w:rsid w:val="00977713"/>
    <w:rsid w:val="009803E1"/>
    <w:rsid w:val="00980BB9"/>
    <w:rsid w:val="00980E26"/>
    <w:rsid w:val="00981ABE"/>
    <w:rsid w:val="00981EA2"/>
    <w:rsid w:val="0098216A"/>
    <w:rsid w:val="00982262"/>
    <w:rsid w:val="00982B80"/>
    <w:rsid w:val="00982DAA"/>
    <w:rsid w:val="00982F61"/>
    <w:rsid w:val="00982FD6"/>
    <w:rsid w:val="00983A81"/>
    <w:rsid w:val="009860E7"/>
    <w:rsid w:val="0098672F"/>
    <w:rsid w:val="009867B4"/>
    <w:rsid w:val="00986CAA"/>
    <w:rsid w:val="00987107"/>
    <w:rsid w:val="00987772"/>
    <w:rsid w:val="00991096"/>
    <w:rsid w:val="00991C27"/>
    <w:rsid w:val="00991D9A"/>
    <w:rsid w:val="009920EF"/>
    <w:rsid w:val="00992613"/>
    <w:rsid w:val="00992BDA"/>
    <w:rsid w:val="00994256"/>
    <w:rsid w:val="009946B8"/>
    <w:rsid w:val="00994A3E"/>
    <w:rsid w:val="00994F12"/>
    <w:rsid w:val="00995AD5"/>
    <w:rsid w:val="009964E2"/>
    <w:rsid w:val="00996A37"/>
    <w:rsid w:val="009A05DE"/>
    <w:rsid w:val="009A0C11"/>
    <w:rsid w:val="009A106B"/>
    <w:rsid w:val="009A3154"/>
    <w:rsid w:val="009A4C85"/>
    <w:rsid w:val="009A55F4"/>
    <w:rsid w:val="009A63B3"/>
    <w:rsid w:val="009A6794"/>
    <w:rsid w:val="009A67E4"/>
    <w:rsid w:val="009A693C"/>
    <w:rsid w:val="009A71E0"/>
    <w:rsid w:val="009A7265"/>
    <w:rsid w:val="009B02A1"/>
    <w:rsid w:val="009B0C72"/>
    <w:rsid w:val="009B1D4D"/>
    <w:rsid w:val="009B2334"/>
    <w:rsid w:val="009B2EEE"/>
    <w:rsid w:val="009B3777"/>
    <w:rsid w:val="009B3B87"/>
    <w:rsid w:val="009B3BDF"/>
    <w:rsid w:val="009B40C2"/>
    <w:rsid w:val="009B4E6A"/>
    <w:rsid w:val="009B6037"/>
    <w:rsid w:val="009B6ADD"/>
    <w:rsid w:val="009B6D8F"/>
    <w:rsid w:val="009B72F8"/>
    <w:rsid w:val="009B7D48"/>
    <w:rsid w:val="009C1012"/>
    <w:rsid w:val="009C127D"/>
    <w:rsid w:val="009C1AB9"/>
    <w:rsid w:val="009C2ACE"/>
    <w:rsid w:val="009C3727"/>
    <w:rsid w:val="009C40F2"/>
    <w:rsid w:val="009C412D"/>
    <w:rsid w:val="009C416A"/>
    <w:rsid w:val="009C4216"/>
    <w:rsid w:val="009C4465"/>
    <w:rsid w:val="009C4BC6"/>
    <w:rsid w:val="009C4DE9"/>
    <w:rsid w:val="009C514E"/>
    <w:rsid w:val="009C552E"/>
    <w:rsid w:val="009C6183"/>
    <w:rsid w:val="009C6878"/>
    <w:rsid w:val="009C6CF9"/>
    <w:rsid w:val="009C77A3"/>
    <w:rsid w:val="009C7D2D"/>
    <w:rsid w:val="009C7D40"/>
    <w:rsid w:val="009C7EC2"/>
    <w:rsid w:val="009D1264"/>
    <w:rsid w:val="009D18C7"/>
    <w:rsid w:val="009D1F0E"/>
    <w:rsid w:val="009D21A3"/>
    <w:rsid w:val="009D2601"/>
    <w:rsid w:val="009D303E"/>
    <w:rsid w:val="009D3453"/>
    <w:rsid w:val="009D35B7"/>
    <w:rsid w:val="009D4082"/>
    <w:rsid w:val="009D46BD"/>
    <w:rsid w:val="009D4709"/>
    <w:rsid w:val="009D4D64"/>
    <w:rsid w:val="009D4E07"/>
    <w:rsid w:val="009D4FA6"/>
    <w:rsid w:val="009D50ED"/>
    <w:rsid w:val="009D61CA"/>
    <w:rsid w:val="009D6B0A"/>
    <w:rsid w:val="009D6EBD"/>
    <w:rsid w:val="009D781C"/>
    <w:rsid w:val="009E0A69"/>
    <w:rsid w:val="009E0FAB"/>
    <w:rsid w:val="009E1AD1"/>
    <w:rsid w:val="009E2377"/>
    <w:rsid w:val="009E2CA8"/>
    <w:rsid w:val="009E2D19"/>
    <w:rsid w:val="009E30A2"/>
    <w:rsid w:val="009E329E"/>
    <w:rsid w:val="009E34B2"/>
    <w:rsid w:val="009E3960"/>
    <w:rsid w:val="009E4262"/>
    <w:rsid w:val="009E47AE"/>
    <w:rsid w:val="009E4E92"/>
    <w:rsid w:val="009E5889"/>
    <w:rsid w:val="009E6493"/>
    <w:rsid w:val="009E6801"/>
    <w:rsid w:val="009E6BD1"/>
    <w:rsid w:val="009E7B76"/>
    <w:rsid w:val="009F2580"/>
    <w:rsid w:val="009F342D"/>
    <w:rsid w:val="009F3583"/>
    <w:rsid w:val="009F3976"/>
    <w:rsid w:val="009F4E03"/>
    <w:rsid w:val="009F4E32"/>
    <w:rsid w:val="009F61FE"/>
    <w:rsid w:val="00A00127"/>
    <w:rsid w:val="00A0021E"/>
    <w:rsid w:val="00A0194D"/>
    <w:rsid w:val="00A023AE"/>
    <w:rsid w:val="00A03DB9"/>
    <w:rsid w:val="00A03F1F"/>
    <w:rsid w:val="00A041FF"/>
    <w:rsid w:val="00A04614"/>
    <w:rsid w:val="00A0493C"/>
    <w:rsid w:val="00A050E9"/>
    <w:rsid w:val="00A0589B"/>
    <w:rsid w:val="00A06444"/>
    <w:rsid w:val="00A064CA"/>
    <w:rsid w:val="00A0660E"/>
    <w:rsid w:val="00A068E6"/>
    <w:rsid w:val="00A06E63"/>
    <w:rsid w:val="00A07426"/>
    <w:rsid w:val="00A07D7D"/>
    <w:rsid w:val="00A114E6"/>
    <w:rsid w:val="00A11775"/>
    <w:rsid w:val="00A11E89"/>
    <w:rsid w:val="00A12B6A"/>
    <w:rsid w:val="00A13981"/>
    <w:rsid w:val="00A140AE"/>
    <w:rsid w:val="00A140EA"/>
    <w:rsid w:val="00A14B2F"/>
    <w:rsid w:val="00A1518C"/>
    <w:rsid w:val="00A1529A"/>
    <w:rsid w:val="00A15595"/>
    <w:rsid w:val="00A1577F"/>
    <w:rsid w:val="00A15796"/>
    <w:rsid w:val="00A16831"/>
    <w:rsid w:val="00A17FB5"/>
    <w:rsid w:val="00A20D61"/>
    <w:rsid w:val="00A21319"/>
    <w:rsid w:val="00A2362D"/>
    <w:rsid w:val="00A23A47"/>
    <w:rsid w:val="00A23DFB"/>
    <w:rsid w:val="00A243B9"/>
    <w:rsid w:val="00A255A1"/>
    <w:rsid w:val="00A256B9"/>
    <w:rsid w:val="00A25A45"/>
    <w:rsid w:val="00A26DED"/>
    <w:rsid w:val="00A273BA"/>
    <w:rsid w:val="00A27506"/>
    <w:rsid w:val="00A27C3E"/>
    <w:rsid w:val="00A3000C"/>
    <w:rsid w:val="00A30D08"/>
    <w:rsid w:val="00A30DB5"/>
    <w:rsid w:val="00A31FA5"/>
    <w:rsid w:val="00A32B7E"/>
    <w:rsid w:val="00A32CF2"/>
    <w:rsid w:val="00A33D88"/>
    <w:rsid w:val="00A33D8A"/>
    <w:rsid w:val="00A3627D"/>
    <w:rsid w:val="00A36A31"/>
    <w:rsid w:val="00A36FD2"/>
    <w:rsid w:val="00A3700F"/>
    <w:rsid w:val="00A37862"/>
    <w:rsid w:val="00A378C9"/>
    <w:rsid w:val="00A37BFA"/>
    <w:rsid w:val="00A40003"/>
    <w:rsid w:val="00A40062"/>
    <w:rsid w:val="00A40941"/>
    <w:rsid w:val="00A40F85"/>
    <w:rsid w:val="00A413F7"/>
    <w:rsid w:val="00A4164C"/>
    <w:rsid w:val="00A42066"/>
    <w:rsid w:val="00A42AA9"/>
    <w:rsid w:val="00A42BF6"/>
    <w:rsid w:val="00A43631"/>
    <w:rsid w:val="00A43898"/>
    <w:rsid w:val="00A43966"/>
    <w:rsid w:val="00A43C76"/>
    <w:rsid w:val="00A44130"/>
    <w:rsid w:val="00A4463F"/>
    <w:rsid w:val="00A4543A"/>
    <w:rsid w:val="00A4702B"/>
    <w:rsid w:val="00A4712E"/>
    <w:rsid w:val="00A47599"/>
    <w:rsid w:val="00A47A4B"/>
    <w:rsid w:val="00A47EC0"/>
    <w:rsid w:val="00A52109"/>
    <w:rsid w:val="00A52428"/>
    <w:rsid w:val="00A526D1"/>
    <w:rsid w:val="00A532BB"/>
    <w:rsid w:val="00A54A01"/>
    <w:rsid w:val="00A55705"/>
    <w:rsid w:val="00A55D41"/>
    <w:rsid w:val="00A60165"/>
    <w:rsid w:val="00A60CCB"/>
    <w:rsid w:val="00A60DE1"/>
    <w:rsid w:val="00A61270"/>
    <w:rsid w:val="00A619B3"/>
    <w:rsid w:val="00A620A9"/>
    <w:rsid w:val="00A621D5"/>
    <w:rsid w:val="00A62428"/>
    <w:rsid w:val="00A62A29"/>
    <w:rsid w:val="00A63A81"/>
    <w:rsid w:val="00A643CF"/>
    <w:rsid w:val="00A64EDF"/>
    <w:rsid w:val="00A65337"/>
    <w:rsid w:val="00A65656"/>
    <w:rsid w:val="00A65D33"/>
    <w:rsid w:val="00A66BEC"/>
    <w:rsid w:val="00A67436"/>
    <w:rsid w:val="00A67D11"/>
    <w:rsid w:val="00A70224"/>
    <w:rsid w:val="00A70865"/>
    <w:rsid w:val="00A71953"/>
    <w:rsid w:val="00A71C11"/>
    <w:rsid w:val="00A71EF6"/>
    <w:rsid w:val="00A730A4"/>
    <w:rsid w:val="00A735F0"/>
    <w:rsid w:val="00A73D98"/>
    <w:rsid w:val="00A74331"/>
    <w:rsid w:val="00A745F6"/>
    <w:rsid w:val="00A74AEE"/>
    <w:rsid w:val="00A74E42"/>
    <w:rsid w:val="00A75160"/>
    <w:rsid w:val="00A7563F"/>
    <w:rsid w:val="00A75793"/>
    <w:rsid w:val="00A75EF4"/>
    <w:rsid w:val="00A76747"/>
    <w:rsid w:val="00A77021"/>
    <w:rsid w:val="00A7720E"/>
    <w:rsid w:val="00A77A13"/>
    <w:rsid w:val="00A77B2D"/>
    <w:rsid w:val="00A77CA5"/>
    <w:rsid w:val="00A77CA8"/>
    <w:rsid w:val="00A80246"/>
    <w:rsid w:val="00A80659"/>
    <w:rsid w:val="00A80F38"/>
    <w:rsid w:val="00A817A2"/>
    <w:rsid w:val="00A81C32"/>
    <w:rsid w:val="00A82A1C"/>
    <w:rsid w:val="00A8337B"/>
    <w:rsid w:val="00A83891"/>
    <w:rsid w:val="00A841A8"/>
    <w:rsid w:val="00A84DFA"/>
    <w:rsid w:val="00A84F0C"/>
    <w:rsid w:val="00A85081"/>
    <w:rsid w:val="00A85869"/>
    <w:rsid w:val="00A85977"/>
    <w:rsid w:val="00A86CC7"/>
    <w:rsid w:val="00A8742F"/>
    <w:rsid w:val="00A87D2A"/>
    <w:rsid w:val="00A908B0"/>
    <w:rsid w:val="00A91937"/>
    <w:rsid w:val="00A91C8E"/>
    <w:rsid w:val="00A91D04"/>
    <w:rsid w:val="00A91D3E"/>
    <w:rsid w:val="00A91F5D"/>
    <w:rsid w:val="00A92A00"/>
    <w:rsid w:val="00A92BA0"/>
    <w:rsid w:val="00A93682"/>
    <w:rsid w:val="00A94332"/>
    <w:rsid w:val="00A949D2"/>
    <w:rsid w:val="00A94AB2"/>
    <w:rsid w:val="00A94B87"/>
    <w:rsid w:val="00A94D24"/>
    <w:rsid w:val="00A94DF3"/>
    <w:rsid w:val="00A94E45"/>
    <w:rsid w:val="00A94EC1"/>
    <w:rsid w:val="00A9581F"/>
    <w:rsid w:val="00A95E7E"/>
    <w:rsid w:val="00A95F81"/>
    <w:rsid w:val="00A9638C"/>
    <w:rsid w:val="00AA07AD"/>
    <w:rsid w:val="00AA168B"/>
    <w:rsid w:val="00AA1A57"/>
    <w:rsid w:val="00AA2717"/>
    <w:rsid w:val="00AA289E"/>
    <w:rsid w:val="00AA2A96"/>
    <w:rsid w:val="00AA309D"/>
    <w:rsid w:val="00AA37A9"/>
    <w:rsid w:val="00AA3AC6"/>
    <w:rsid w:val="00AA505E"/>
    <w:rsid w:val="00AA5968"/>
    <w:rsid w:val="00AA6821"/>
    <w:rsid w:val="00AA6BDD"/>
    <w:rsid w:val="00AA6C41"/>
    <w:rsid w:val="00AB0232"/>
    <w:rsid w:val="00AB0318"/>
    <w:rsid w:val="00AB0843"/>
    <w:rsid w:val="00AB0BF9"/>
    <w:rsid w:val="00AB1B3E"/>
    <w:rsid w:val="00AB1D72"/>
    <w:rsid w:val="00AB3560"/>
    <w:rsid w:val="00AB36AF"/>
    <w:rsid w:val="00AB4804"/>
    <w:rsid w:val="00AB56BF"/>
    <w:rsid w:val="00AB6053"/>
    <w:rsid w:val="00AB6D1C"/>
    <w:rsid w:val="00AB7013"/>
    <w:rsid w:val="00AB73A3"/>
    <w:rsid w:val="00AB7602"/>
    <w:rsid w:val="00AB78A5"/>
    <w:rsid w:val="00AC0ADD"/>
    <w:rsid w:val="00AC0C99"/>
    <w:rsid w:val="00AC17F6"/>
    <w:rsid w:val="00AC2586"/>
    <w:rsid w:val="00AC2ACC"/>
    <w:rsid w:val="00AC2E67"/>
    <w:rsid w:val="00AC30CB"/>
    <w:rsid w:val="00AC394D"/>
    <w:rsid w:val="00AC4916"/>
    <w:rsid w:val="00AC4BED"/>
    <w:rsid w:val="00AC5229"/>
    <w:rsid w:val="00AC5325"/>
    <w:rsid w:val="00AC6A22"/>
    <w:rsid w:val="00AC707C"/>
    <w:rsid w:val="00AC7747"/>
    <w:rsid w:val="00AD0527"/>
    <w:rsid w:val="00AD121F"/>
    <w:rsid w:val="00AD1520"/>
    <w:rsid w:val="00AD1549"/>
    <w:rsid w:val="00AD1616"/>
    <w:rsid w:val="00AD1A5D"/>
    <w:rsid w:val="00AD2CFC"/>
    <w:rsid w:val="00AD324E"/>
    <w:rsid w:val="00AD3B14"/>
    <w:rsid w:val="00AD3B26"/>
    <w:rsid w:val="00AD44E7"/>
    <w:rsid w:val="00AD565E"/>
    <w:rsid w:val="00AD7EA3"/>
    <w:rsid w:val="00AE04BC"/>
    <w:rsid w:val="00AE06F2"/>
    <w:rsid w:val="00AE0893"/>
    <w:rsid w:val="00AE0C8F"/>
    <w:rsid w:val="00AE1424"/>
    <w:rsid w:val="00AE197B"/>
    <w:rsid w:val="00AE2D99"/>
    <w:rsid w:val="00AE37B5"/>
    <w:rsid w:val="00AE3BCA"/>
    <w:rsid w:val="00AE4268"/>
    <w:rsid w:val="00AE51C8"/>
    <w:rsid w:val="00AE696B"/>
    <w:rsid w:val="00AE7598"/>
    <w:rsid w:val="00AE7685"/>
    <w:rsid w:val="00AE7B03"/>
    <w:rsid w:val="00AF0273"/>
    <w:rsid w:val="00AF0D62"/>
    <w:rsid w:val="00AF139F"/>
    <w:rsid w:val="00AF1CD2"/>
    <w:rsid w:val="00AF2A8A"/>
    <w:rsid w:val="00AF2D45"/>
    <w:rsid w:val="00AF30D8"/>
    <w:rsid w:val="00AF358C"/>
    <w:rsid w:val="00AF3986"/>
    <w:rsid w:val="00AF42A1"/>
    <w:rsid w:val="00AF4DB4"/>
    <w:rsid w:val="00AF5611"/>
    <w:rsid w:val="00AF5AD7"/>
    <w:rsid w:val="00AF5DAF"/>
    <w:rsid w:val="00AF614C"/>
    <w:rsid w:val="00AF62C3"/>
    <w:rsid w:val="00AF7962"/>
    <w:rsid w:val="00B025B6"/>
    <w:rsid w:val="00B02A9B"/>
    <w:rsid w:val="00B04420"/>
    <w:rsid w:val="00B049AA"/>
    <w:rsid w:val="00B06452"/>
    <w:rsid w:val="00B102F0"/>
    <w:rsid w:val="00B106DA"/>
    <w:rsid w:val="00B107B3"/>
    <w:rsid w:val="00B1285C"/>
    <w:rsid w:val="00B137A1"/>
    <w:rsid w:val="00B13AE2"/>
    <w:rsid w:val="00B14B9A"/>
    <w:rsid w:val="00B162D6"/>
    <w:rsid w:val="00B1691B"/>
    <w:rsid w:val="00B17C31"/>
    <w:rsid w:val="00B20AC9"/>
    <w:rsid w:val="00B20C82"/>
    <w:rsid w:val="00B21D64"/>
    <w:rsid w:val="00B223C5"/>
    <w:rsid w:val="00B2362B"/>
    <w:rsid w:val="00B2382F"/>
    <w:rsid w:val="00B23911"/>
    <w:rsid w:val="00B24481"/>
    <w:rsid w:val="00B24721"/>
    <w:rsid w:val="00B25AD8"/>
    <w:rsid w:val="00B266CD"/>
    <w:rsid w:val="00B270C8"/>
    <w:rsid w:val="00B27A15"/>
    <w:rsid w:val="00B27FAD"/>
    <w:rsid w:val="00B3011E"/>
    <w:rsid w:val="00B30322"/>
    <w:rsid w:val="00B3061B"/>
    <w:rsid w:val="00B3080F"/>
    <w:rsid w:val="00B31825"/>
    <w:rsid w:val="00B31B69"/>
    <w:rsid w:val="00B32165"/>
    <w:rsid w:val="00B32424"/>
    <w:rsid w:val="00B32D20"/>
    <w:rsid w:val="00B32FD0"/>
    <w:rsid w:val="00B33849"/>
    <w:rsid w:val="00B33AC5"/>
    <w:rsid w:val="00B34CB6"/>
    <w:rsid w:val="00B351BD"/>
    <w:rsid w:val="00B36D90"/>
    <w:rsid w:val="00B40DAD"/>
    <w:rsid w:val="00B412F2"/>
    <w:rsid w:val="00B41845"/>
    <w:rsid w:val="00B42B20"/>
    <w:rsid w:val="00B43939"/>
    <w:rsid w:val="00B44EA9"/>
    <w:rsid w:val="00B4507F"/>
    <w:rsid w:val="00B455FF"/>
    <w:rsid w:val="00B4576E"/>
    <w:rsid w:val="00B4599B"/>
    <w:rsid w:val="00B46EA7"/>
    <w:rsid w:val="00B47265"/>
    <w:rsid w:val="00B47F27"/>
    <w:rsid w:val="00B47FEF"/>
    <w:rsid w:val="00B50090"/>
    <w:rsid w:val="00B50623"/>
    <w:rsid w:val="00B508B8"/>
    <w:rsid w:val="00B508D5"/>
    <w:rsid w:val="00B50A95"/>
    <w:rsid w:val="00B512F3"/>
    <w:rsid w:val="00B5151F"/>
    <w:rsid w:val="00B51701"/>
    <w:rsid w:val="00B519F4"/>
    <w:rsid w:val="00B51A13"/>
    <w:rsid w:val="00B51BA7"/>
    <w:rsid w:val="00B52077"/>
    <w:rsid w:val="00B53C79"/>
    <w:rsid w:val="00B54D04"/>
    <w:rsid w:val="00B5505A"/>
    <w:rsid w:val="00B55341"/>
    <w:rsid w:val="00B5545D"/>
    <w:rsid w:val="00B556C3"/>
    <w:rsid w:val="00B558FD"/>
    <w:rsid w:val="00B55FDF"/>
    <w:rsid w:val="00B5600F"/>
    <w:rsid w:val="00B56232"/>
    <w:rsid w:val="00B56C86"/>
    <w:rsid w:val="00B57A9C"/>
    <w:rsid w:val="00B57F9C"/>
    <w:rsid w:val="00B6096E"/>
    <w:rsid w:val="00B6098D"/>
    <w:rsid w:val="00B61042"/>
    <w:rsid w:val="00B629CA"/>
    <w:rsid w:val="00B633DA"/>
    <w:rsid w:val="00B63BC7"/>
    <w:rsid w:val="00B64BBE"/>
    <w:rsid w:val="00B657B1"/>
    <w:rsid w:val="00B65F48"/>
    <w:rsid w:val="00B6636D"/>
    <w:rsid w:val="00B66CFB"/>
    <w:rsid w:val="00B676FA"/>
    <w:rsid w:val="00B7011F"/>
    <w:rsid w:val="00B705CE"/>
    <w:rsid w:val="00B7147E"/>
    <w:rsid w:val="00B71EAC"/>
    <w:rsid w:val="00B72134"/>
    <w:rsid w:val="00B73161"/>
    <w:rsid w:val="00B73892"/>
    <w:rsid w:val="00B75416"/>
    <w:rsid w:val="00B75607"/>
    <w:rsid w:val="00B75952"/>
    <w:rsid w:val="00B75D06"/>
    <w:rsid w:val="00B77B33"/>
    <w:rsid w:val="00B80AAF"/>
    <w:rsid w:val="00B80FF6"/>
    <w:rsid w:val="00B81535"/>
    <w:rsid w:val="00B82623"/>
    <w:rsid w:val="00B829D3"/>
    <w:rsid w:val="00B8436E"/>
    <w:rsid w:val="00B849B9"/>
    <w:rsid w:val="00B84DB1"/>
    <w:rsid w:val="00B84F25"/>
    <w:rsid w:val="00B86619"/>
    <w:rsid w:val="00B8718B"/>
    <w:rsid w:val="00B87405"/>
    <w:rsid w:val="00B8764E"/>
    <w:rsid w:val="00B91BA7"/>
    <w:rsid w:val="00B927C3"/>
    <w:rsid w:val="00B92857"/>
    <w:rsid w:val="00B9292E"/>
    <w:rsid w:val="00B92968"/>
    <w:rsid w:val="00B93276"/>
    <w:rsid w:val="00B943EA"/>
    <w:rsid w:val="00B9442D"/>
    <w:rsid w:val="00B94ADB"/>
    <w:rsid w:val="00B958D4"/>
    <w:rsid w:val="00B959FB"/>
    <w:rsid w:val="00B96646"/>
    <w:rsid w:val="00B97F73"/>
    <w:rsid w:val="00B97FB4"/>
    <w:rsid w:val="00BA06E5"/>
    <w:rsid w:val="00BA1094"/>
    <w:rsid w:val="00BA1352"/>
    <w:rsid w:val="00BA3D37"/>
    <w:rsid w:val="00BA4176"/>
    <w:rsid w:val="00BA42F1"/>
    <w:rsid w:val="00BA4869"/>
    <w:rsid w:val="00BA4E81"/>
    <w:rsid w:val="00BA5AF3"/>
    <w:rsid w:val="00BA651E"/>
    <w:rsid w:val="00BA6530"/>
    <w:rsid w:val="00BA67A3"/>
    <w:rsid w:val="00BA74B6"/>
    <w:rsid w:val="00BA7716"/>
    <w:rsid w:val="00BA7AFF"/>
    <w:rsid w:val="00BB2723"/>
    <w:rsid w:val="00BB3053"/>
    <w:rsid w:val="00BB3608"/>
    <w:rsid w:val="00BB37E4"/>
    <w:rsid w:val="00BB3873"/>
    <w:rsid w:val="00BB40FE"/>
    <w:rsid w:val="00BB4C1E"/>
    <w:rsid w:val="00BB4E1E"/>
    <w:rsid w:val="00BB5BFC"/>
    <w:rsid w:val="00BB6757"/>
    <w:rsid w:val="00BB6A87"/>
    <w:rsid w:val="00BB7E36"/>
    <w:rsid w:val="00BC19FC"/>
    <w:rsid w:val="00BC2047"/>
    <w:rsid w:val="00BC25ED"/>
    <w:rsid w:val="00BC3D21"/>
    <w:rsid w:val="00BC44D8"/>
    <w:rsid w:val="00BC48F1"/>
    <w:rsid w:val="00BC4A2A"/>
    <w:rsid w:val="00BC50D2"/>
    <w:rsid w:val="00BC51A7"/>
    <w:rsid w:val="00BC5305"/>
    <w:rsid w:val="00BC6157"/>
    <w:rsid w:val="00BC64A5"/>
    <w:rsid w:val="00BC735B"/>
    <w:rsid w:val="00BC7DC1"/>
    <w:rsid w:val="00BC7F48"/>
    <w:rsid w:val="00BD059E"/>
    <w:rsid w:val="00BD0CEB"/>
    <w:rsid w:val="00BD105B"/>
    <w:rsid w:val="00BD2D11"/>
    <w:rsid w:val="00BD2D1B"/>
    <w:rsid w:val="00BD2D86"/>
    <w:rsid w:val="00BD44EB"/>
    <w:rsid w:val="00BD49ED"/>
    <w:rsid w:val="00BD4FE3"/>
    <w:rsid w:val="00BD5732"/>
    <w:rsid w:val="00BD581E"/>
    <w:rsid w:val="00BD60B6"/>
    <w:rsid w:val="00BD65E3"/>
    <w:rsid w:val="00BD676D"/>
    <w:rsid w:val="00BD7123"/>
    <w:rsid w:val="00BD7198"/>
    <w:rsid w:val="00BD734E"/>
    <w:rsid w:val="00BD7A4E"/>
    <w:rsid w:val="00BD7FC6"/>
    <w:rsid w:val="00BE00AA"/>
    <w:rsid w:val="00BE016A"/>
    <w:rsid w:val="00BE202A"/>
    <w:rsid w:val="00BE249B"/>
    <w:rsid w:val="00BE3F70"/>
    <w:rsid w:val="00BE541D"/>
    <w:rsid w:val="00BE575B"/>
    <w:rsid w:val="00BE58A0"/>
    <w:rsid w:val="00BE65A4"/>
    <w:rsid w:val="00BE7124"/>
    <w:rsid w:val="00BE72D6"/>
    <w:rsid w:val="00BE73AA"/>
    <w:rsid w:val="00BE7647"/>
    <w:rsid w:val="00BF0EBB"/>
    <w:rsid w:val="00BF1310"/>
    <w:rsid w:val="00BF2401"/>
    <w:rsid w:val="00BF2A14"/>
    <w:rsid w:val="00BF454B"/>
    <w:rsid w:val="00BF49CA"/>
    <w:rsid w:val="00BF4BBA"/>
    <w:rsid w:val="00BF5AF4"/>
    <w:rsid w:val="00BF6CFB"/>
    <w:rsid w:val="00BF70FC"/>
    <w:rsid w:val="00BF7DFE"/>
    <w:rsid w:val="00C00008"/>
    <w:rsid w:val="00C005CE"/>
    <w:rsid w:val="00C01633"/>
    <w:rsid w:val="00C0173A"/>
    <w:rsid w:val="00C0673B"/>
    <w:rsid w:val="00C0685F"/>
    <w:rsid w:val="00C079CE"/>
    <w:rsid w:val="00C10CB8"/>
    <w:rsid w:val="00C11190"/>
    <w:rsid w:val="00C1159A"/>
    <w:rsid w:val="00C12FCE"/>
    <w:rsid w:val="00C131CD"/>
    <w:rsid w:val="00C13320"/>
    <w:rsid w:val="00C147BE"/>
    <w:rsid w:val="00C14B6D"/>
    <w:rsid w:val="00C150A1"/>
    <w:rsid w:val="00C15193"/>
    <w:rsid w:val="00C15671"/>
    <w:rsid w:val="00C16076"/>
    <w:rsid w:val="00C16DF2"/>
    <w:rsid w:val="00C20A4F"/>
    <w:rsid w:val="00C218C5"/>
    <w:rsid w:val="00C219C8"/>
    <w:rsid w:val="00C219F2"/>
    <w:rsid w:val="00C223DB"/>
    <w:rsid w:val="00C22D3E"/>
    <w:rsid w:val="00C23DC0"/>
    <w:rsid w:val="00C24735"/>
    <w:rsid w:val="00C260B1"/>
    <w:rsid w:val="00C26741"/>
    <w:rsid w:val="00C27416"/>
    <w:rsid w:val="00C279B2"/>
    <w:rsid w:val="00C27B6E"/>
    <w:rsid w:val="00C27DCD"/>
    <w:rsid w:val="00C305C1"/>
    <w:rsid w:val="00C305D8"/>
    <w:rsid w:val="00C31186"/>
    <w:rsid w:val="00C311E3"/>
    <w:rsid w:val="00C31236"/>
    <w:rsid w:val="00C31CB0"/>
    <w:rsid w:val="00C31D44"/>
    <w:rsid w:val="00C3234A"/>
    <w:rsid w:val="00C332C3"/>
    <w:rsid w:val="00C348A8"/>
    <w:rsid w:val="00C36555"/>
    <w:rsid w:val="00C36B95"/>
    <w:rsid w:val="00C36FC3"/>
    <w:rsid w:val="00C40914"/>
    <w:rsid w:val="00C40C55"/>
    <w:rsid w:val="00C40D68"/>
    <w:rsid w:val="00C40EDC"/>
    <w:rsid w:val="00C41BC0"/>
    <w:rsid w:val="00C41CDD"/>
    <w:rsid w:val="00C41DDB"/>
    <w:rsid w:val="00C41E52"/>
    <w:rsid w:val="00C425C5"/>
    <w:rsid w:val="00C43865"/>
    <w:rsid w:val="00C43C0D"/>
    <w:rsid w:val="00C4432A"/>
    <w:rsid w:val="00C448F3"/>
    <w:rsid w:val="00C44AAC"/>
    <w:rsid w:val="00C45D77"/>
    <w:rsid w:val="00C463C7"/>
    <w:rsid w:val="00C4669F"/>
    <w:rsid w:val="00C46947"/>
    <w:rsid w:val="00C46B5E"/>
    <w:rsid w:val="00C470DA"/>
    <w:rsid w:val="00C47703"/>
    <w:rsid w:val="00C47AA1"/>
    <w:rsid w:val="00C47AEE"/>
    <w:rsid w:val="00C508BE"/>
    <w:rsid w:val="00C50C4A"/>
    <w:rsid w:val="00C515AB"/>
    <w:rsid w:val="00C517A4"/>
    <w:rsid w:val="00C519CD"/>
    <w:rsid w:val="00C52189"/>
    <w:rsid w:val="00C52BBF"/>
    <w:rsid w:val="00C52BCC"/>
    <w:rsid w:val="00C52E7F"/>
    <w:rsid w:val="00C5302B"/>
    <w:rsid w:val="00C53480"/>
    <w:rsid w:val="00C53772"/>
    <w:rsid w:val="00C546E0"/>
    <w:rsid w:val="00C551A0"/>
    <w:rsid w:val="00C55ED4"/>
    <w:rsid w:val="00C55F0D"/>
    <w:rsid w:val="00C61543"/>
    <w:rsid w:val="00C6205C"/>
    <w:rsid w:val="00C62115"/>
    <w:rsid w:val="00C62C4E"/>
    <w:rsid w:val="00C62E85"/>
    <w:rsid w:val="00C644EC"/>
    <w:rsid w:val="00C657F7"/>
    <w:rsid w:val="00C65F01"/>
    <w:rsid w:val="00C67048"/>
    <w:rsid w:val="00C6784F"/>
    <w:rsid w:val="00C67877"/>
    <w:rsid w:val="00C703F4"/>
    <w:rsid w:val="00C70657"/>
    <w:rsid w:val="00C70797"/>
    <w:rsid w:val="00C7173A"/>
    <w:rsid w:val="00C72C70"/>
    <w:rsid w:val="00C73531"/>
    <w:rsid w:val="00C736FC"/>
    <w:rsid w:val="00C737A1"/>
    <w:rsid w:val="00C739C8"/>
    <w:rsid w:val="00C73EE9"/>
    <w:rsid w:val="00C75BF8"/>
    <w:rsid w:val="00C75C73"/>
    <w:rsid w:val="00C7600D"/>
    <w:rsid w:val="00C772CA"/>
    <w:rsid w:val="00C77327"/>
    <w:rsid w:val="00C779CF"/>
    <w:rsid w:val="00C77A92"/>
    <w:rsid w:val="00C8091A"/>
    <w:rsid w:val="00C80B36"/>
    <w:rsid w:val="00C81786"/>
    <w:rsid w:val="00C83452"/>
    <w:rsid w:val="00C845BE"/>
    <w:rsid w:val="00C8462F"/>
    <w:rsid w:val="00C855E8"/>
    <w:rsid w:val="00C85778"/>
    <w:rsid w:val="00C85F5F"/>
    <w:rsid w:val="00C87A5A"/>
    <w:rsid w:val="00C90A2E"/>
    <w:rsid w:val="00C90CE1"/>
    <w:rsid w:val="00C911F4"/>
    <w:rsid w:val="00C9172F"/>
    <w:rsid w:val="00C92FBA"/>
    <w:rsid w:val="00C933D4"/>
    <w:rsid w:val="00C93834"/>
    <w:rsid w:val="00C93C45"/>
    <w:rsid w:val="00C9453F"/>
    <w:rsid w:val="00C9488B"/>
    <w:rsid w:val="00C9493C"/>
    <w:rsid w:val="00C94BA5"/>
    <w:rsid w:val="00C950FE"/>
    <w:rsid w:val="00C95F29"/>
    <w:rsid w:val="00C966BA"/>
    <w:rsid w:val="00C97D01"/>
    <w:rsid w:val="00CA0434"/>
    <w:rsid w:val="00CA0ED2"/>
    <w:rsid w:val="00CA0F41"/>
    <w:rsid w:val="00CA19B7"/>
    <w:rsid w:val="00CA1CFF"/>
    <w:rsid w:val="00CA37AE"/>
    <w:rsid w:val="00CA52A7"/>
    <w:rsid w:val="00CA5BBE"/>
    <w:rsid w:val="00CA651E"/>
    <w:rsid w:val="00CA77CB"/>
    <w:rsid w:val="00CB013A"/>
    <w:rsid w:val="00CB043A"/>
    <w:rsid w:val="00CB0E93"/>
    <w:rsid w:val="00CB1CE7"/>
    <w:rsid w:val="00CB2060"/>
    <w:rsid w:val="00CB2107"/>
    <w:rsid w:val="00CB267A"/>
    <w:rsid w:val="00CB28E5"/>
    <w:rsid w:val="00CB319D"/>
    <w:rsid w:val="00CB33BB"/>
    <w:rsid w:val="00CB3847"/>
    <w:rsid w:val="00CB3EC1"/>
    <w:rsid w:val="00CB4609"/>
    <w:rsid w:val="00CB4EE2"/>
    <w:rsid w:val="00CB59DC"/>
    <w:rsid w:val="00CB6272"/>
    <w:rsid w:val="00CB65D8"/>
    <w:rsid w:val="00CB6E9F"/>
    <w:rsid w:val="00CB7B66"/>
    <w:rsid w:val="00CC05AC"/>
    <w:rsid w:val="00CC0B7E"/>
    <w:rsid w:val="00CC0E73"/>
    <w:rsid w:val="00CC159C"/>
    <w:rsid w:val="00CC18FC"/>
    <w:rsid w:val="00CC1AD7"/>
    <w:rsid w:val="00CC3F4C"/>
    <w:rsid w:val="00CC4DEE"/>
    <w:rsid w:val="00CC4EC9"/>
    <w:rsid w:val="00CC50A9"/>
    <w:rsid w:val="00CC53E8"/>
    <w:rsid w:val="00CC559C"/>
    <w:rsid w:val="00CC5944"/>
    <w:rsid w:val="00CC61DE"/>
    <w:rsid w:val="00CC7220"/>
    <w:rsid w:val="00CD1152"/>
    <w:rsid w:val="00CD1842"/>
    <w:rsid w:val="00CD1BDF"/>
    <w:rsid w:val="00CD1EC9"/>
    <w:rsid w:val="00CD2377"/>
    <w:rsid w:val="00CD243E"/>
    <w:rsid w:val="00CD2865"/>
    <w:rsid w:val="00CD2FBE"/>
    <w:rsid w:val="00CD36F3"/>
    <w:rsid w:val="00CD379E"/>
    <w:rsid w:val="00CD3A25"/>
    <w:rsid w:val="00CD3BD9"/>
    <w:rsid w:val="00CD3D1D"/>
    <w:rsid w:val="00CD41AF"/>
    <w:rsid w:val="00CD4EC7"/>
    <w:rsid w:val="00CD5524"/>
    <w:rsid w:val="00CD647C"/>
    <w:rsid w:val="00CD6DCE"/>
    <w:rsid w:val="00CD7174"/>
    <w:rsid w:val="00CD761E"/>
    <w:rsid w:val="00CE0899"/>
    <w:rsid w:val="00CE0F6A"/>
    <w:rsid w:val="00CE13F4"/>
    <w:rsid w:val="00CE17F9"/>
    <w:rsid w:val="00CE2206"/>
    <w:rsid w:val="00CE3EFA"/>
    <w:rsid w:val="00CE4543"/>
    <w:rsid w:val="00CE53F1"/>
    <w:rsid w:val="00CE56EE"/>
    <w:rsid w:val="00CE6306"/>
    <w:rsid w:val="00CE6CD0"/>
    <w:rsid w:val="00CE7CFA"/>
    <w:rsid w:val="00CE7E5D"/>
    <w:rsid w:val="00CE7F0B"/>
    <w:rsid w:val="00CF0537"/>
    <w:rsid w:val="00CF0BA2"/>
    <w:rsid w:val="00CF0FEA"/>
    <w:rsid w:val="00CF1F75"/>
    <w:rsid w:val="00CF28BE"/>
    <w:rsid w:val="00CF2CBE"/>
    <w:rsid w:val="00CF34D9"/>
    <w:rsid w:val="00CF3B6C"/>
    <w:rsid w:val="00CF3DF6"/>
    <w:rsid w:val="00CF42C6"/>
    <w:rsid w:val="00CF4F0B"/>
    <w:rsid w:val="00CF4FFE"/>
    <w:rsid w:val="00CF568A"/>
    <w:rsid w:val="00CF690E"/>
    <w:rsid w:val="00CF7573"/>
    <w:rsid w:val="00D01CDD"/>
    <w:rsid w:val="00D0200C"/>
    <w:rsid w:val="00D023E0"/>
    <w:rsid w:val="00D0274C"/>
    <w:rsid w:val="00D03617"/>
    <w:rsid w:val="00D04279"/>
    <w:rsid w:val="00D04293"/>
    <w:rsid w:val="00D05295"/>
    <w:rsid w:val="00D05460"/>
    <w:rsid w:val="00D05A9F"/>
    <w:rsid w:val="00D0602D"/>
    <w:rsid w:val="00D062ED"/>
    <w:rsid w:val="00D0698A"/>
    <w:rsid w:val="00D07706"/>
    <w:rsid w:val="00D0773C"/>
    <w:rsid w:val="00D07E0E"/>
    <w:rsid w:val="00D07E53"/>
    <w:rsid w:val="00D10530"/>
    <w:rsid w:val="00D107F9"/>
    <w:rsid w:val="00D10F6D"/>
    <w:rsid w:val="00D112DF"/>
    <w:rsid w:val="00D123B4"/>
    <w:rsid w:val="00D12E7E"/>
    <w:rsid w:val="00D1327F"/>
    <w:rsid w:val="00D14A18"/>
    <w:rsid w:val="00D14B0E"/>
    <w:rsid w:val="00D14F9D"/>
    <w:rsid w:val="00D15382"/>
    <w:rsid w:val="00D16D20"/>
    <w:rsid w:val="00D17C8D"/>
    <w:rsid w:val="00D2000D"/>
    <w:rsid w:val="00D200A3"/>
    <w:rsid w:val="00D201BB"/>
    <w:rsid w:val="00D204BC"/>
    <w:rsid w:val="00D20663"/>
    <w:rsid w:val="00D20867"/>
    <w:rsid w:val="00D20920"/>
    <w:rsid w:val="00D209D1"/>
    <w:rsid w:val="00D20CFE"/>
    <w:rsid w:val="00D210EE"/>
    <w:rsid w:val="00D21124"/>
    <w:rsid w:val="00D21504"/>
    <w:rsid w:val="00D2158B"/>
    <w:rsid w:val="00D21824"/>
    <w:rsid w:val="00D223D6"/>
    <w:rsid w:val="00D226D0"/>
    <w:rsid w:val="00D22D74"/>
    <w:rsid w:val="00D23434"/>
    <w:rsid w:val="00D24115"/>
    <w:rsid w:val="00D2462D"/>
    <w:rsid w:val="00D253EA"/>
    <w:rsid w:val="00D2582A"/>
    <w:rsid w:val="00D260CB"/>
    <w:rsid w:val="00D2670A"/>
    <w:rsid w:val="00D279FF"/>
    <w:rsid w:val="00D27E8E"/>
    <w:rsid w:val="00D30302"/>
    <w:rsid w:val="00D30A3A"/>
    <w:rsid w:val="00D312F8"/>
    <w:rsid w:val="00D32104"/>
    <w:rsid w:val="00D322CD"/>
    <w:rsid w:val="00D32E1F"/>
    <w:rsid w:val="00D3333B"/>
    <w:rsid w:val="00D33E8E"/>
    <w:rsid w:val="00D34CE7"/>
    <w:rsid w:val="00D35E9A"/>
    <w:rsid w:val="00D37601"/>
    <w:rsid w:val="00D4024E"/>
    <w:rsid w:val="00D402C7"/>
    <w:rsid w:val="00D422B5"/>
    <w:rsid w:val="00D43DD6"/>
    <w:rsid w:val="00D44A99"/>
    <w:rsid w:val="00D44AAD"/>
    <w:rsid w:val="00D44C72"/>
    <w:rsid w:val="00D45825"/>
    <w:rsid w:val="00D45C01"/>
    <w:rsid w:val="00D45D40"/>
    <w:rsid w:val="00D46FAF"/>
    <w:rsid w:val="00D47028"/>
    <w:rsid w:val="00D47706"/>
    <w:rsid w:val="00D47C83"/>
    <w:rsid w:val="00D5037B"/>
    <w:rsid w:val="00D519DD"/>
    <w:rsid w:val="00D53338"/>
    <w:rsid w:val="00D53667"/>
    <w:rsid w:val="00D536C4"/>
    <w:rsid w:val="00D53F83"/>
    <w:rsid w:val="00D54673"/>
    <w:rsid w:val="00D553D1"/>
    <w:rsid w:val="00D558A6"/>
    <w:rsid w:val="00D57487"/>
    <w:rsid w:val="00D574A0"/>
    <w:rsid w:val="00D576C2"/>
    <w:rsid w:val="00D57C2A"/>
    <w:rsid w:val="00D57FF0"/>
    <w:rsid w:val="00D6007E"/>
    <w:rsid w:val="00D60718"/>
    <w:rsid w:val="00D60C01"/>
    <w:rsid w:val="00D60E48"/>
    <w:rsid w:val="00D6110B"/>
    <w:rsid w:val="00D61D96"/>
    <w:rsid w:val="00D61E23"/>
    <w:rsid w:val="00D6364F"/>
    <w:rsid w:val="00D63C4F"/>
    <w:rsid w:val="00D64CC8"/>
    <w:rsid w:val="00D64E17"/>
    <w:rsid w:val="00D65DC2"/>
    <w:rsid w:val="00D666E7"/>
    <w:rsid w:val="00D67299"/>
    <w:rsid w:val="00D67515"/>
    <w:rsid w:val="00D67650"/>
    <w:rsid w:val="00D67EBA"/>
    <w:rsid w:val="00D70121"/>
    <w:rsid w:val="00D7036A"/>
    <w:rsid w:val="00D70957"/>
    <w:rsid w:val="00D71734"/>
    <w:rsid w:val="00D72564"/>
    <w:rsid w:val="00D7344C"/>
    <w:rsid w:val="00D73482"/>
    <w:rsid w:val="00D73BEA"/>
    <w:rsid w:val="00D73E3E"/>
    <w:rsid w:val="00D73EAA"/>
    <w:rsid w:val="00D75024"/>
    <w:rsid w:val="00D75D97"/>
    <w:rsid w:val="00D7614B"/>
    <w:rsid w:val="00D76ECE"/>
    <w:rsid w:val="00D80FB9"/>
    <w:rsid w:val="00D81070"/>
    <w:rsid w:val="00D8246D"/>
    <w:rsid w:val="00D831F0"/>
    <w:rsid w:val="00D83752"/>
    <w:rsid w:val="00D83E42"/>
    <w:rsid w:val="00D849CE"/>
    <w:rsid w:val="00D85266"/>
    <w:rsid w:val="00D8542E"/>
    <w:rsid w:val="00D85C60"/>
    <w:rsid w:val="00D868AD"/>
    <w:rsid w:val="00D86C3B"/>
    <w:rsid w:val="00D87A8A"/>
    <w:rsid w:val="00D90354"/>
    <w:rsid w:val="00D90D3D"/>
    <w:rsid w:val="00D90F60"/>
    <w:rsid w:val="00D91019"/>
    <w:rsid w:val="00D91774"/>
    <w:rsid w:val="00D920BA"/>
    <w:rsid w:val="00D923BD"/>
    <w:rsid w:val="00D92B19"/>
    <w:rsid w:val="00D93B15"/>
    <w:rsid w:val="00D94B17"/>
    <w:rsid w:val="00D95343"/>
    <w:rsid w:val="00D958CE"/>
    <w:rsid w:val="00D962EE"/>
    <w:rsid w:val="00D96EE4"/>
    <w:rsid w:val="00D9706E"/>
    <w:rsid w:val="00DA0042"/>
    <w:rsid w:val="00DA05A4"/>
    <w:rsid w:val="00DA0712"/>
    <w:rsid w:val="00DA0ABF"/>
    <w:rsid w:val="00DA1DFC"/>
    <w:rsid w:val="00DA264D"/>
    <w:rsid w:val="00DA2679"/>
    <w:rsid w:val="00DA2CFC"/>
    <w:rsid w:val="00DA3FCF"/>
    <w:rsid w:val="00DA625B"/>
    <w:rsid w:val="00DA6B00"/>
    <w:rsid w:val="00DA6BB4"/>
    <w:rsid w:val="00DA6F6D"/>
    <w:rsid w:val="00DA7BE9"/>
    <w:rsid w:val="00DA7D7F"/>
    <w:rsid w:val="00DB01B6"/>
    <w:rsid w:val="00DB02BB"/>
    <w:rsid w:val="00DB0341"/>
    <w:rsid w:val="00DB068B"/>
    <w:rsid w:val="00DB084B"/>
    <w:rsid w:val="00DB0915"/>
    <w:rsid w:val="00DB1515"/>
    <w:rsid w:val="00DB22D5"/>
    <w:rsid w:val="00DB2B2F"/>
    <w:rsid w:val="00DB2C0C"/>
    <w:rsid w:val="00DB2DB2"/>
    <w:rsid w:val="00DB3335"/>
    <w:rsid w:val="00DB4FDF"/>
    <w:rsid w:val="00DB55E6"/>
    <w:rsid w:val="00DB7870"/>
    <w:rsid w:val="00DC051D"/>
    <w:rsid w:val="00DC0791"/>
    <w:rsid w:val="00DC094A"/>
    <w:rsid w:val="00DC1287"/>
    <w:rsid w:val="00DC1725"/>
    <w:rsid w:val="00DC196C"/>
    <w:rsid w:val="00DC2447"/>
    <w:rsid w:val="00DC27B0"/>
    <w:rsid w:val="00DC304D"/>
    <w:rsid w:val="00DC324D"/>
    <w:rsid w:val="00DC3852"/>
    <w:rsid w:val="00DC394B"/>
    <w:rsid w:val="00DC4429"/>
    <w:rsid w:val="00DC4C4F"/>
    <w:rsid w:val="00DC56AF"/>
    <w:rsid w:val="00DC5E80"/>
    <w:rsid w:val="00DC6599"/>
    <w:rsid w:val="00DC65EA"/>
    <w:rsid w:val="00DC73D4"/>
    <w:rsid w:val="00DC7F99"/>
    <w:rsid w:val="00DD0672"/>
    <w:rsid w:val="00DD09BE"/>
    <w:rsid w:val="00DD13F6"/>
    <w:rsid w:val="00DD1CD0"/>
    <w:rsid w:val="00DD23A2"/>
    <w:rsid w:val="00DD2FCC"/>
    <w:rsid w:val="00DD3736"/>
    <w:rsid w:val="00DD4019"/>
    <w:rsid w:val="00DD47D6"/>
    <w:rsid w:val="00DD4D27"/>
    <w:rsid w:val="00DD6081"/>
    <w:rsid w:val="00DD60F2"/>
    <w:rsid w:val="00DD64AE"/>
    <w:rsid w:val="00DD7ADD"/>
    <w:rsid w:val="00DE01BF"/>
    <w:rsid w:val="00DE1337"/>
    <w:rsid w:val="00DE16DA"/>
    <w:rsid w:val="00DE182C"/>
    <w:rsid w:val="00DE3136"/>
    <w:rsid w:val="00DE3D2C"/>
    <w:rsid w:val="00DE423F"/>
    <w:rsid w:val="00DE655F"/>
    <w:rsid w:val="00DE67E4"/>
    <w:rsid w:val="00DE7B6D"/>
    <w:rsid w:val="00DF0074"/>
    <w:rsid w:val="00DF1994"/>
    <w:rsid w:val="00DF217F"/>
    <w:rsid w:val="00DF2564"/>
    <w:rsid w:val="00DF30F0"/>
    <w:rsid w:val="00DF4214"/>
    <w:rsid w:val="00DF44F4"/>
    <w:rsid w:val="00DF472B"/>
    <w:rsid w:val="00DF4809"/>
    <w:rsid w:val="00DF511A"/>
    <w:rsid w:val="00DF5B28"/>
    <w:rsid w:val="00DF5E3C"/>
    <w:rsid w:val="00DF69C4"/>
    <w:rsid w:val="00DF7743"/>
    <w:rsid w:val="00DF79B5"/>
    <w:rsid w:val="00DF7C3A"/>
    <w:rsid w:val="00DF7D7F"/>
    <w:rsid w:val="00E00838"/>
    <w:rsid w:val="00E008DC"/>
    <w:rsid w:val="00E00902"/>
    <w:rsid w:val="00E0094A"/>
    <w:rsid w:val="00E00E39"/>
    <w:rsid w:val="00E01C18"/>
    <w:rsid w:val="00E01CA3"/>
    <w:rsid w:val="00E037BD"/>
    <w:rsid w:val="00E06C15"/>
    <w:rsid w:val="00E06CF3"/>
    <w:rsid w:val="00E07CA2"/>
    <w:rsid w:val="00E103C8"/>
    <w:rsid w:val="00E105E1"/>
    <w:rsid w:val="00E113AF"/>
    <w:rsid w:val="00E127AE"/>
    <w:rsid w:val="00E13A77"/>
    <w:rsid w:val="00E14655"/>
    <w:rsid w:val="00E150D2"/>
    <w:rsid w:val="00E15A7A"/>
    <w:rsid w:val="00E15AFD"/>
    <w:rsid w:val="00E15EF0"/>
    <w:rsid w:val="00E1641B"/>
    <w:rsid w:val="00E206D6"/>
    <w:rsid w:val="00E207D7"/>
    <w:rsid w:val="00E20D8B"/>
    <w:rsid w:val="00E21E28"/>
    <w:rsid w:val="00E22052"/>
    <w:rsid w:val="00E22F10"/>
    <w:rsid w:val="00E23257"/>
    <w:rsid w:val="00E257F2"/>
    <w:rsid w:val="00E266BE"/>
    <w:rsid w:val="00E26E6A"/>
    <w:rsid w:val="00E26F3A"/>
    <w:rsid w:val="00E27FB7"/>
    <w:rsid w:val="00E3056F"/>
    <w:rsid w:val="00E30A1E"/>
    <w:rsid w:val="00E30A7E"/>
    <w:rsid w:val="00E3108A"/>
    <w:rsid w:val="00E3183E"/>
    <w:rsid w:val="00E325E7"/>
    <w:rsid w:val="00E33DC2"/>
    <w:rsid w:val="00E3428D"/>
    <w:rsid w:val="00E34370"/>
    <w:rsid w:val="00E3450C"/>
    <w:rsid w:val="00E34CF9"/>
    <w:rsid w:val="00E34F2A"/>
    <w:rsid w:val="00E35265"/>
    <w:rsid w:val="00E35290"/>
    <w:rsid w:val="00E35B29"/>
    <w:rsid w:val="00E35CBA"/>
    <w:rsid w:val="00E360F3"/>
    <w:rsid w:val="00E3679A"/>
    <w:rsid w:val="00E36E9B"/>
    <w:rsid w:val="00E3740F"/>
    <w:rsid w:val="00E37DB7"/>
    <w:rsid w:val="00E40131"/>
    <w:rsid w:val="00E40314"/>
    <w:rsid w:val="00E409BD"/>
    <w:rsid w:val="00E40A70"/>
    <w:rsid w:val="00E41474"/>
    <w:rsid w:val="00E41C31"/>
    <w:rsid w:val="00E4299A"/>
    <w:rsid w:val="00E429B4"/>
    <w:rsid w:val="00E42C8E"/>
    <w:rsid w:val="00E43A7D"/>
    <w:rsid w:val="00E44691"/>
    <w:rsid w:val="00E4470D"/>
    <w:rsid w:val="00E44745"/>
    <w:rsid w:val="00E45AA2"/>
    <w:rsid w:val="00E45C98"/>
    <w:rsid w:val="00E45F39"/>
    <w:rsid w:val="00E45FFB"/>
    <w:rsid w:val="00E5101E"/>
    <w:rsid w:val="00E51072"/>
    <w:rsid w:val="00E51C53"/>
    <w:rsid w:val="00E51F7F"/>
    <w:rsid w:val="00E531CC"/>
    <w:rsid w:val="00E53B66"/>
    <w:rsid w:val="00E53EAE"/>
    <w:rsid w:val="00E53F94"/>
    <w:rsid w:val="00E54052"/>
    <w:rsid w:val="00E54316"/>
    <w:rsid w:val="00E55A1F"/>
    <w:rsid w:val="00E56D27"/>
    <w:rsid w:val="00E57A4C"/>
    <w:rsid w:val="00E60485"/>
    <w:rsid w:val="00E60F55"/>
    <w:rsid w:val="00E618DE"/>
    <w:rsid w:val="00E623FC"/>
    <w:rsid w:val="00E6251E"/>
    <w:rsid w:val="00E62594"/>
    <w:rsid w:val="00E6278D"/>
    <w:rsid w:val="00E630D3"/>
    <w:rsid w:val="00E6356C"/>
    <w:rsid w:val="00E63B77"/>
    <w:rsid w:val="00E64110"/>
    <w:rsid w:val="00E6419C"/>
    <w:rsid w:val="00E652A4"/>
    <w:rsid w:val="00E65A30"/>
    <w:rsid w:val="00E6711D"/>
    <w:rsid w:val="00E673C4"/>
    <w:rsid w:val="00E70D31"/>
    <w:rsid w:val="00E71683"/>
    <w:rsid w:val="00E716F2"/>
    <w:rsid w:val="00E728CC"/>
    <w:rsid w:val="00E729C0"/>
    <w:rsid w:val="00E74265"/>
    <w:rsid w:val="00E74D55"/>
    <w:rsid w:val="00E74EAF"/>
    <w:rsid w:val="00E75AA2"/>
    <w:rsid w:val="00E761BA"/>
    <w:rsid w:val="00E761C3"/>
    <w:rsid w:val="00E769A4"/>
    <w:rsid w:val="00E769BF"/>
    <w:rsid w:val="00E77E89"/>
    <w:rsid w:val="00E8147D"/>
    <w:rsid w:val="00E81D3B"/>
    <w:rsid w:val="00E821EC"/>
    <w:rsid w:val="00E82C3D"/>
    <w:rsid w:val="00E82E30"/>
    <w:rsid w:val="00E83113"/>
    <w:rsid w:val="00E83674"/>
    <w:rsid w:val="00E83830"/>
    <w:rsid w:val="00E83C54"/>
    <w:rsid w:val="00E8448C"/>
    <w:rsid w:val="00E848E7"/>
    <w:rsid w:val="00E852B4"/>
    <w:rsid w:val="00E8565F"/>
    <w:rsid w:val="00E86D41"/>
    <w:rsid w:val="00E87451"/>
    <w:rsid w:val="00E87CB9"/>
    <w:rsid w:val="00E87FCA"/>
    <w:rsid w:val="00E9015B"/>
    <w:rsid w:val="00E90924"/>
    <w:rsid w:val="00E90A31"/>
    <w:rsid w:val="00E90ACF"/>
    <w:rsid w:val="00E91604"/>
    <w:rsid w:val="00E92D94"/>
    <w:rsid w:val="00E934FF"/>
    <w:rsid w:val="00E938D8"/>
    <w:rsid w:val="00E953CF"/>
    <w:rsid w:val="00E95E4D"/>
    <w:rsid w:val="00E963ED"/>
    <w:rsid w:val="00E96BBE"/>
    <w:rsid w:val="00E96BCD"/>
    <w:rsid w:val="00E97951"/>
    <w:rsid w:val="00EA017F"/>
    <w:rsid w:val="00EA030A"/>
    <w:rsid w:val="00EA0BDD"/>
    <w:rsid w:val="00EA136C"/>
    <w:rsid w:val="00EA198A"/>
    <w:rsid w:val="00EA2A18"/>
    <w:rsid w:val="00EA31C2"/>
    <w:rsid w:val="00EA334C"/>
    <w:rsid w:val="00EA3DE8"/>
    <w:rsid w:val="00EA4AEF"/>
    <w:rsid w:val="00EA4EDA"/>
    <w:rsid w:val="00EA568B"/>
    <w:rsid w:val="00EA5C35"/>
    <w:rsid w:val="00EA5E82"/>
    <w:rsid w:val="00EA63CE"/>
    <w:rsid w:val="00EA6D2C"/>
    <w:rsid w:val="00EA7A6C"/>
    <w:rsid w:val="00EA7AD9"/>
    <w:rsid w:val="00EB01B4"/>
    <w:rsid w:val="00EB0576"/>
    <w:rsid w:val="00EB08D9"/>
    <w:rsid w:val="00EB0984"/>
    <w:rsid w:val="00EB09B5"/>
    <w:rsid w:val="00EB11E3"/>
    <w:rsid w:val="00EB12FF"/>
    <w:rsid w:val="00EB16AE"/>
    <w:rsid w:val="00EB1C34"/>
    <w:rsid w:val="00EB1FE7"/>
    <w:rsid w:val="00EB2247"/>
    <w:rsid w:val="00EB2558"/>
    <w:rsid w:val="00EB2E66"/>
    <w:rsid w:val="00EB36D4"/>
    <w:rsid w:val="00EB3ADB"/>
    <w:rsid w:val="00EB3AF0"/>
    <w:rsid w:val="00EB3F58"/>
    <w:rsid w:val="00EB40A5"/>
    <w:rsid w:val="00EB4924"/>
    <w:rsid w:val="00EB51A2"/>
    <w:rsid w:val="00EB552D"/>
    <w:rsid w:val="00EB5F85"/>
    <w:rsid w:val="00EB619D"/>
    <w:rsid w:val="00EB67FC"/>
    <w:rsid w:val="00EB69BA"/>
    <w:rsid w:val="00EB6C15"/>
    <w:rsid w:val="00EB75EA"/>
    <w:rsid w:val="00EC0147"/>
    <w:rsid w:val="00EC0FE1"/>
    <w:rsid w:val="00EC10EA"/>
    <w:rsid w:val="00EC1A46"/>
    <w:rsid w:val="00EC214B"/>
    <w:rsid w:val="00EC22F2"/>
    <w:rsid w:val="00EC54CA"/>
    <w:rsid w:val="00EC5861"/>
    <w:rsid w:val="00EC5C91"/>
    <w:rsid w:val="00EC5FF1"/>
    <w:rsid w:val="00EC69EA"/>
    <w:rsid w:val="00EC6E9C"/>
    <w:rsid w:val="00EC6F19"/>
    <w:rsid w:val="00EC7B8F"/>
    <w:rsid w:val="00ED1497"/>
    <w:rsid w:val="00ED152C"/>
    <w:rsid w:val="00ED321E"/>
    <w:rsid w:val="00ED4862"/>
    <w:rsid w:val="00ED494D"/>
    <w:rsid w:val="00ED5B67"/>
    <w:rsid w:val="00ED5BF5"/>
    <w:rsid w:val="00ED6AB6"/>
    <w:rsid w:val="00ED751F"/>
    <w:rsid w:val="00ED7C1F"/>
    <w:rsid w:val="00EE0F91"/>
    <w:rsid w:val="00EE1796"/>
    <w:rsid w:val="00EE1F1A"/>
    <w:rsid w:val="00EE3013"/>
    <w:rsid w:val="00EE32B6"/>
    <w:rsid w:val="00EE3575"/>
    <w:rsid w:val="00EE3635"/>
    <w:rsid w:val="00EE408C"/>
    <w:rsid w:val="00EE41FE"/>
    <w:rsid w:val="00EE4D54"/>
    <w:rsid w:val="00EE6352"/>
    <w:rsid w:val="00EE69D4"/>
    <w:rsid w:val="00EE6FB8"/>
    <w:rsid w:val="00EE717D"/>
    <w:rsid w:val="00EE7306"/>
    <w:rsid w:val="00EE7D41"/>
    <w:rsid w:val="00EE7FFE"/>
    <w:rsid w:val="00EF0279"/>
    <w:rsid w:val="00EF0AE6"/>
    <w:rsid w:val="00EF0F1B"/>
    <w:rsid w:val="00EF13AE"/>
    <w:rsid w:val="00EF149C"/>
    <w:rsid w:val="00EF1770"/>
    <w:rsid w:val="00EF3934"/>
    <w:rsid w:val="00EF3DC5"/>
    <w:rsid w:val="00EF5039"/>
    <w:rsid w:val="00EF5D98"/>
    <w:rsid w:val="00EF6205"/>
    <w:rsid w:val="00EF6A7A"/>
    <w:rsid w:val="00EF7C38"/>
    <w:rsid w:val="00EF7CED"/>
    <w:rsid w:val="00F0014B"/>
    <w:rsid w:val="00F00731"/>
    <w:rsid w:val="00F01BF0"/>
    <w:rsid w:val="00F01C26"/>
    <w:rsid w:val="00F02661"/>
    <w:rsid w:val="00F03A7E"/>
    <w:rsid w:val="00F05168"/>
    <w:rsid w:val="00F066CC"/>
    <w:rsid w:val="00F0716E"/>
    <w:rsid w:val="00F0736F"/>
    <w:rsid w:val="00F101D6"/>
    <w:rsid w:val="00F11281"/>
    <w:rsid w:val="00F115C4"/>
    <w:rsid w:val="00F11D4E"/>
    <w:rsid w:val="00F122F7"/>
    <w:rsid w:val="00F123E6"/>
    <w:rsid w:val="00F124DF"/>
    <w:rsid w:val="00F12F69"/>
    <w:rsid w:val="00F14602"/>
    <w:rsid w:val="00F14741"/>
    <w:rsid w:val="00F1603F"/>
    <w:rsid w:val="00F177AB"/>
    <w:rsid w:val="00F178B3"/>
    <w:rsid w:val="00F17F45"/>
    <w:rsid w:val="00F221DA"/>
    <w:rsid w:val="00F226AC"/>
    <w:rsid w:val="00F23D08"/>
    <w:rsid w:val="00F2425D"/>
    <w:rsid w:val="00F24530"/>
    <w:rsid w:val="00F245B2"/>
    <w:rsid w:val="00F254C0"/>
    <w:rsid w:val="00F258E8"/>
    <w:rsid w:val="00F266D6"/>
    <w:rsid w:val="00F26714"/>
    <w:rsid w:val="00F27D75"/>
    <w:rsid w:val="00F27DDE"/>
    <w:rsid w:val="00F30040"/>
    <w:rsid w:val="00F3080E"/>
    <w:rsid w:val="00F31ACB"/>
    <w:rsid w:val="00F3265C"/>
    <w:rsid w:val="00F33A68"/>
    <w:rsid w:val="00F33D5B"/>
    <w:rsid w:val="00F33D99"/>
    <w:rsid w:val="00F33F5A"/>
    <w:rsid w:val="00F35791"/>
    <w:rsid w:val="00F35DEA"/>
    <w:rsid w:val="00F362DC"/>
    <w:rsid w:val="00F365F8"/>
    <w:rsid w:val="00F36CE5"/>
    <w:rsid w:val="00F37503"/>
    <w:rsid w:val="00F400BB"/>
    <w:rsid w:val="00F407B0"/>
    <w:rsid w:val="00F40BB6"/>
    <w:rsid w:val="00F41119"/>
    <w:rsid w:val="00F419FB"/>
    <w:rsid w:val="00F41E6C"/>
    <w:rsid w:val="00F43033"/>
    <w:rsid w:val="00F44458"/>
    <w:rsid w:val="00F4457C"/>
    <w:rsid w:val="00F44B95"/>
    <w:rsid w:val="00F44BA3"/>
    <w:rsid w:val="00F45860"/>
    <w:rsid w:val="00F45881"/>
    <w:rsid w:val="00F45DCF"/>
    <w:rsid w:val="00F46148"/>
    <w:rsid w:val="00F471B0"/>
    <w:rsid w:val="00F47D18"/>
    <w:rsid w:val="00F50943"/>
    <w:rsid w:val="00F5185F"/>
    <w:rsid w:val="00F5197A"/>
    <w:rsid w:val="00F521C6"/>
    <w:rsid w:val="00F52E34"/>
    <w:rsid w:val="00F550ED"/>
    <w:rsid w:val="00F557FB"/>
    <w:rsid w:val="00F56026"/>
    <w:rsid w:val="00F5683B"/>
    <w:rsid w:val="00F56D9E"/>
    <w:rsid w:val="00F57951"/>
    <w:rsid w:val="00F6033B"/>
    <w:rsid w:val="00F605C9"/>
    <w:rsid w:val="00F60C8D"/>
    <w:rsid w:val="00F60F86"/>
    <w:rsid w:val="00F61037"/>
    <w:rsid w:val="00F61142"/>
    <w:rsid w:val="00F6120F"/>
    <w:rsid w:val="00F61373"/>
    <w:rsid w:val="00F618CF"/>
    <w:rsid w:val="00F62DE4"/>
    <w:rsid w:val="00F6374A"/>
    <w:rsid w:val="00F63BFF"/>
    <w:rsid w:val="00F6428C"/>
    <w:rsid w:val="00F649B6"/>
    <w:rsid w:val="00F64D25"/>
    <w:rsid w:val="00F6549D"/>
    <w:rsid w:val="00F6568E"/>
    <w:rsid w:val="00F65EAC"/>
    <w:rsid w:val="00F66A2D"/>
    <w:rsid w:val="00F66B34"/>
    <w:rsid w:val="00F67893"/>
    <w:rsid w:val="00F7112F"/>
    <w:rsid w:val="00F722DF"/>
    <w:rsid w:val="00F72334"/>
    <w:rsid w:val="00F724DF"/>
    <w:rsid w:val="00F73E84"/>
    <w:rsid w:val="00F7582A"/>
    <w:rsid w:val="00F7591C"/>
    <w:rsid w:val="00F75FAB"/>
    <w:rsid w:val="00F76132"/>
    <w:rsid w:val="00F765D8"/>
    <w:rsid w:val="00F77773"/>
    <w:rsid w:val="00F7795A"/>
    <w:rsid w:val="00F77AB6"/>
    <w:rsid w:val="00F77FE2"/>
    <w:rsid w:val="00F8068F"/>
    <w:rsid w:val="00F808AC"/>
    <w:rsid w:val="00F811B5"/>
    <w:rsid w:val="00F81400"/>
    <w:rsid w:val="00F81FF3"/>
    <w:rsid w:val="00F8337D"/>
    <w:rsid w:val="00F835ED"/>
    <w:rsid w:val="00F83DA2"/>
    <w:rsid w:val="00F83EF0"/>
    <w:rsid w:val="00F84102"/>
    <w:rsid w:val="00F84ADB"/>
    <w:rsid w:val="00F85147"/>
    <w:rsid w:val="00F85AEC"/>
    <w:rsid w:val="00F86252"/>
    <w:rsid w:val="00F87548"/>
    <w:rsid w:val="00F875B8"/>
    <w:rsid w:val="00F87F63"/>
    <w:rsid w:val="00F90092"/>
    <w:rsid w:val="00F92105"/>
    <w:rsid w:val="00F939DF"/>
    <w:rsid w:val="00F93DA0"/>
    <w:rsid w:val="00F94877"/>
    <w:rsid w:val="00F94C08"/>
    <w:rsid w:val="00F957B6"/>
    <w:rsid w:val="00F95C7C"/>
    <w:rsid w:val="00F95DD8"/>
    <w:rsid w:val="00F968EA"/>
    <w:rsid w:val="00F9772C"/>
    <w:rsid w:val="00FA09DD"/>
    <w:rsid w:val="00FA0E61"/>
    <w:rsid w:val="00FA241E"/>
    <w:rsid w:val="00FA24FA"/>
    <w:rsid w:val="00FA37D1"/>
    <w:rsid w:val="00FA3B73"/>
    <w:rsid w:val="00FA421E"/>
    <w:rsid w:val="00FA5040"/>
    <w:rsid w:val="00FA50E8"/>
    <w:rsid w:val="00FA529B"/>
    <w:rsid w:val="00FA56CD"/>
    <w:rsid w:val="00FA5907"/>
    <w:rsid w:val="00FA5B99"/>
    <w:rsid w:val="00FA668A"/>
    <w:rsid w:val="00FA7359"/>
    <w:rsid w:val="00FA7A75"/>
    <w:rsid w:val="00FA7F2F"/>
    <w:rsid w:val="00FB0B32"/>
    <w:rsid w:val="00FB2C29"/>
    <w:rsid w:val="00FB2ECD"/>
    <w:rsid w:val="00FB33DA"/>
    <w:rsid w:val="00FB3C7E"/>
    <w:rsid w:val="00FB40BF"/>
    <w:rsid w:val="00FB4BEA"/>
    <w:rsid w:val="00FB4E43"/>
    <w:rsid w:val="00FB58F0"/>
    <w:rsid w:val="00FB5F62"/>
    <w:rsid w:val="00FB686F"/>
    <w:rsid w:val="00FB7B56"/>
    <w:rsid w:val="00FC02F4"/>
    <w:rsid w:val="00FC1339"/>
    <w:rsid w:val="00FC1377"/>
    <w:rsid w:val="00FC2DDE"/>
    <w:rsid w:val="00FC37A3"/>
    <w:rsid w:val="00FC38C3"/>
    <w:rsid w:val="00FC43B6"/>
    <w:rsid w:val="00FC45AC"/>
    <w:rsid w:val="00FC48A6"/>
    <w:rsid w:val="00FC5056"/>
    <w:rsid w:val="00FC65BC"/>
    <w:rsid w:val="00FC6A12"/>
    <w:rsid w:val="00FC7485"/>
    <w:rsid w:val="00FC74F9"/>
    <w:rsid w:val="00FC7615"/>
    <w:rsid w:val="00FD008D"/>
    <w:rsid w:val="00FD145C"/>
    <w:rsid w:val="00FD1761"/>
    <w:rsid w:val="00FD1C6D"/>
    <w:rsid w:val="00FD1D70"/>
    <w:rsid w:val="00FD2A4A"/>
    <w:rsid w:val="00FD344D"/>
    <w:rsid w:val="00FD346A"/>
    <w:rsid w:val="00FD3F4C"/>
    <w:rsid w:val="00FD47F8"/>
    <w:rsid w:val="00FD4848"/>
    <w:rsid w:val="00FD48EB"/>
    <w:rsid w:val="00FD4B44"/>
    <w:rsid w:val="00FD5745"/>
    <w:rsid w:val="00FD5AED"/>
    <w:rsid w:val="00FD5FFD"/>
    <w:rsid w:val="00FD6273"/>
    <w:rsid w:val="00FD665C"/>
    <w:rsid w:val="00FD6985"/>
    <w:rsid w:val="00FD726A"/>
    <w:rsid w:val="00FD7DB8"/>
    <w:rsid w:val="00FD7E8B"/>
    <w:rsid w:val="00FE0439"/>
    <w:rsid w:val="00FE065F"/>
    <w:rsid w:val="00FE1712"/>
    <w:rsid w:val="00FE1B62"/>
    <w:rsid w:val="00FE1E56"/>
    <w:rsid w:val="00FE229F"/>
    <w:rsid w:val="00FE238A"/>
    <w:rsid w:val="00FE2582"/>
    <w:rsid w:val="00FE2E29"/>
    <w:rsid w:val="00FE3F16"/>
    <w:rsid w:val="00FE4011"/>
    <w:rsid w:val="00FE42D5"/>
    <w:rsid w:val="00FE4822"/>
    <w:rsid w:val="00FE4A2C"/>
    <w:rsid w:val="00FE4E1F"/>
    <w:rsid w:val="00FE4E7A"/>
    <w:rsid w:val="00FE6E4B"/>
    <w:rsid w:val="00FE7A96"/>
    <w:rsid w:val="00FE7C84"/>
    <w:rsid w:val="00FE7E05"/>
    <w:rsid w:val="00FF003D"/>
    <w:rsid w:val="00FF01AC"/>
    <w:rsid w:val="00FF1205"/>
    <w:rsid w:val="00FF1875"/>
    <w:rsid w:val="00FF1D33"/>
    <w:rsid w:val="00FF1DFD"/>
    <w:rsid w:val="00FF22E2"/>
    <w:rsid w:val="00FF2571"/>
    <w:rsid w:val="00FF2B7B"/>
    <w:rsid w:val="00FF2DED"/>
    <w:rsid w:val="00FF3587"/>
    <w:rsid w:val="00FF3B26"/>
    <w:rsid w:val="00FF492B"/>
    <w:rsid w:val="00FF4BA3"/>
    <w:rsid w:val="00FF6CB3"/>
    <w:rsid w:val="00FF7042"/>
    <w:rsid w:val="00FF7295"/>
    <w:rsid w:val="00FF7617"/>
    <w:rsid w:val="00FF7F7F"/>
    <w:rsid w:val="0107ECF4"/>
    <w:rsid w:val="01166A8F"/>
    <w:rsid w:val="014ACA08"/>
    <w:rsid w:val="01F51A87"/>
    <w:rsid w:val="039F3E56"/>
    <w:rsid w:val="043A3086"/>
    <w:rsid w:val="047B8164"/>
    <w:rsid w:val="04914D89"/>
    <w:rsid w:val="04EE5582"/>
    <w:rsid w:val="05492F10"/>
    <w:rsid w:val="0571A708"/>
    <w:rsid w:val="0592DF61"/>
    <w:rsid w:val="0593EE75"/>
    <w:rsid w:val="05EB7A5D"/>
    <w:rsid w:val="06B2284C"/>
    <w:rsid w:val="06D61848"/>
    <w:rsid w:val="06DFE9EB"/>
    <w:rsid w:val="07096E71"/>
    <w:rsid w:val="0720E15F"/>
    <w:rsid w:val="07D3AA7D"/>
    <w:rsid w:val="07D429DB"/>
    <w:rsid w:val="08932A02"/>
    <w:rsid w:val="08FCD037"/>
    <w:rsid w:val="09398206"/>
    <w:rsid w:val="0A40F71A"/>
    <w:rsid w:val="0C1D58CF"/>
    <w:rsid w:val="0C64B5FC"/>
    <w:rsid w:val="0C6BFFA6"/>
    <w:rsid w:val="0CB61A95"/>
    <w:rsid w:val="0E5C7080"/>
    <w:rsid w:val="0E7FD037"/>
    <w:rsid w:val="0EB72DA8"/>
    <w:rsid w:val="0EFF7E11"/>
    <w:rsid w:val="0F1E8FBB"/>
    <w:rsid w:val="0FAD7C00"/>
    <w:rsid w:val="0FF8A8B5"/>
    <w:rsid w:val="0FFCFE90"/>
    <w:rsid w:val="1058A3AA"/>
    <w:rsid w:val="10A2F21B"/>
    <w:rsid w:val="10E1F610"/>
    <w:rsid w:val="11C3BC25"/>
    <w:rsid w:val="11C49B3D"/>
    <w:rsid w:val="13601DF6"/>
    <w:rsid w:val="138EE362"/>
    <w:rsid w:val="13C82851"/>
    <w:rsid w:val="14EB7139"/>
    <w:rsid w:val="150E5BA3"/>
    <w:rsid w:val="15167EE2"/>
    <w:rsid w:val="1530B58F"/>
    <w:rsid w:val="153B6B9B"/>
    <w:rsid w:val="158D99BD"/>
    <w:rsid w:val="15BF53F4"/>
    <w:rsid w:val="15BFF3F7"/>
    <w:rsid w:val="162353F4"/>
    <w:rsid w:val="16330DC7"/>
    <w:rsid w:val="16EDE0CA"/>
    <w:rsid w:val="170B3E75"/>
    <w:rsid w:val="171513F5"/>
    <w:rsid w:val="1756B97F"/>
    <w:rsid w:val="1769DFC3"/>
    <w:rsid w:val="17DB1D9B"/>
    <w:rsid w:val="188632AE"/>
    <w:rsid w:val="18C813F9"/>
    <w:rsid w:val="18F07D42"/>
    <w:rsid w:val="1A88559C"/>
    <w:rsid w:val="1A98D464"/>
    <w:rsid w:val="1AC3D31D"/>
    <w:rsid w:val="1B346DE6"/>
    <w:rsid w:val="1B64ABFB"/>
    <w:rsid w:val="1B658E98"/>
    <w:rsid w:val="1B8C8CDE"/>
    <w:rsid w:val="1BC6B2C7"/>
    <w:rsid w:val="1C1AB4A6"/>
    <w:rsid w:val="1C4A5BA8"/>
    <w:rsid w:val="1CD65005"/>
    <w:rsid w:val="1CE78D59"/>
    <w:rsid w:val="1CF115CF"/>
    <w:rsid w:val="1CF83E98"/>
    <w:rsid w:val="1D91E72C"/>
    <w:rsid w:val="1E24A397"/>
    <w:rsid w:val="1EDDDDC7"/>
    <w:rsid w:val="1F8FA9AB"/>
    <w:rsid w:val="1F9B59E1"/>
    <w:rsid w:val="1FA7D76F"/>
    <w:rsid w:val="1FBAE03C"/>
    <w:rsid w:val="1FD90F4F"/>
    <w:rsid w:val="20307AF5"/>
    <w:rsid w:val="20959E07"/>
    <w:rsid w:val="20C57C5E"/>
    <w:rsid w:val="21313981"/>
    <w:rsid w:val="2131E22E"/>
    <w:rsid w:val="21B99339"/>
    <w:rsid w:val="229161C2"/>
    <w:rsid w:val="22A25DE6"/>
    <w:rsid w:val="22FA1E1F"/>
    <w:rsid w:val="2309A4B8"/>
    <w:rsid w:val="2321194C"/>
    <w:rsid w:val="23A668B8"/>
    <w:rsid w:val="23B7F8D5"/>
    <w:rsid w:val="2445972B"/>
    <w:rsid w:val="245A74A6"/>
    <w:rsid w:val="24703DFA"/>
    <w:rsid w:val="25803E9A"/>
    <w:rsid w:val="25926D72"/>
    <w:rsid w:val="26CE9FD2"/>
    <w:rsid w:val="26E668E1"/>
    <w:rsid w:val="26EF3A9F"/>
    <w:rsid w:val="26FC8E27"/>
    <w:rsid w:val="2748BECF"/>
    <w:rsid w:val="27FE84BF"/>
    <w:rsid w:val="288E95FD"/>
    <w:rsid w:val="28DA508F"/>
    <w:rsid w:val="2949083D"/>
    <w:rsid w:val="297760DD"/>
    <w:rsid w:val="29CAF7DA"/>
    <w:rsid w:val="2A3E5824"/>
    <w:rsid w:val="2A4C5870"/>
    <w:rsid w:val="2A75AB8A"/>
    <w:rsid w:val="2A7F2370"/>
    <w:rsid w:val="2A8F9BD0"/>
    <w:rsid w:val="2A9D3330"/>
    <w:rsid w:val="2AD27AB7"/>
    <w:rsid w:val="2B6D3672"/>
    <w:rsid w:val="2B8DA121"/>
    <w:rsid w:val="2BF12AFA"/>
    <w:rsid w:val="2CB18824"/>
    <w:rsid w:val="2D2B202A"/>
    <w:rsid w:val="2DB3C74E"/>
    <w:rsid w:val="2DCFCAE3"/>
    <w:rsid w:val="2E1E4DF0"/>
    <w:rsid w:val="2E546F65"/>
    <w:rsid w:val="2E78E9E6"/>
    <w:rsid w:val="2E99AB22"/>
    <w:rsid w:val="2EB25489"/>
    <w:rsid w:val="2F330321"/>
    <w:rsid w:val="2F3E1AAC"/>
    <w:rsid w:val="2FBD87B4"/>
    <w:rsid w:val="2FDD484B"/>
    <w:rsid w:val="2FEBD252"/>
    <w:rsid w:val="308A6DCA"/>
    <w:rsid w:val="30C1072F"/>
    <w:rsid w:val="30F8ADDA"/>
    <w:rsid w:val="319E0357"/>
    <w:rsid w:val="31A088CC"/>
    <w:rsid w:val="32269E48"/>
    <w:rsid w:val="342D252F"/>
    <w:rsid w:val="344C3778"/>
    <w:rsid w:val="349E23A9"/>
    <w:rsid w:val="34A6206D"/>
    <w:rsid w:val="34D9A6C9"/>
    <w:rsid w:val="355DB23E"/>
    <w:rsid w:val="35A8A5CD"/>
    <w:rsid w:val="36010F14"/>
    <w:rsid w:val="367BE7C5"/>
    <w:rsid w:val="36B2D9B3"/>
    <w:rsid w:val="372AFF53"/>
    <w:rsid w:val="379AB1EE"/>
    <w:rsid w:val="37F9332A"/>
    <w:rsid w:val="380F8EA3"/>
    <w:rsid w:val="384F4149"/>
    <w:rsid w:val="3894F48A"/>
    <w:rsid w:val="39332017"/>
    <w:rsid w:val="394CA11C"/>
    <w:rsid w:val="39567F0D"/>
    <w:rsid w:val="397262A5"/>
    <w:rsid w:val="398BE156"/>
    <w:rsid w:val="3A98A9ED"/>
    <w:rsid w:val="3ABB4236"/>
    <w:rsid w:val="3ADBF596"/>
    <w:rsid w:val="3BF168DF"/>
    <w:rsid w:val="3C1ABF5B"/>
    <w:rsid w:val="3C494640"/>
    <w:rsid w:val="3CAA8D8A"/>
    <w:rsid w:val="3CC01B0C"/>
    <w:rsid w:val="3CE3FE6C"/>
    <w:rsid w:val="3D36B4EA"/>
    <w:rsid w:val="3D99B83F"/>
    <w:rsid w:val="3DDEE119"/>
    <w:rsid w:val="3E28357E"/>
    <w:rsid w:val="3E959E23"/>
    <w:rsid w:val="3EFBE238"/>
    <w:rsid w:val="3F4529F3"/>
    <w:rsid w:val="4049E19B"/>
    <w:rsid w:val="405DDD56"/>
    <w:rsid w:val="410BC8C0"/>
    <w:rsid w:val="4195F330"/>
    <w:rsid w:val="422AEBA1"/>
    <w:rsid w:val="422ECBD5"/>
    <w:rsid w:val="42891C0D"/>
    <w:rsid w:val="43509C0A"/>
    <w:rsid w:val="4371DCF6"/>
    <w:rsid w:val="43F614DB"/>
    <w:rsid w:val="441664F1"/>
    <w:rsid w:val="4487E8B5"/>
    <w:rsid w:val="44D53152"/>
    <w:rsid w:val="44E7BC01"/>
    <w:rsid w:val="462954FC"/>
    <w:rsid w:val="46B61212"/>
    <w:rsid w:val="46C169A9"/>
    <w:rsid w:val="47045DDF"/>
    <w:rsid w:val="4748154E"/>
    <w:rsid w:val="474AEF98"/>
    <w:rsid w:val="480EA7A9"/>
    <w:rsid w:val="4876E690"/>
    <w:rsid w:val="48BE6233"/>
    <w:rsid w:val="4A4FB103"/>
    <w:rsid w:val="4A847477"/>
    <w:rsid w:val="4AE7E2AC"/>
    <w:rsid w:val="4B40CC8C"/>
    <w:rsid w:val="4B4DB75B"/>
    <w:rsid w:val="4CEC0E86"/>
    <w:rsid w:val="4E24A4F8"/>
    <w:rsid w:val="4E37DA12"/>
    <w:rsid w:val="4E70F5DA"/>
    <w:rsid w:val="4E76CFA8"/>
    <w:rsid w:val="4E7903C7"/>
    <w:rsid w:val="4F14656C"/>
    <w:rsid w:val="4F437B17"/>
    <w:rsid w:val="4FCD1E4C"/>
    <w:rsid w:val="4FD53336"/>
    <w:rsid w:val="4FEAFF20"/>
    <w:rsid w:val="50807C82"/>
    <w:rsid w:val="50B86092"/>
    <w:rsid w:val="50D16919"/>
    <w:rsid w:val="51307BDD"/>
    <w:rsid w:val="5133DE4A"/>
    <w:rsid w:val="517518EF"/>
    <w:rsid w:val="51B0E423"/>
    <w:rsid w:val="51B6102B"/>
    <w:rsid w:val="51BD24D3"/>
    <w:rsid w:val="51C31128"/>
    <w:rsid w:val="520FE9AC"/>
    <w:rsid w:val="525535B5"/>
    <w:rsid w:val="526EE399"/>
    <w:rsid w:val="52BD79EF"/>
    <w:rsid w:val="52BF5AAB"/>
    <w:rsid w:val="5308FB3B"/>
    <w:rsid w:val="53745592"/>
    <w:rsid w:val="53825BA0"/>
    <w:rsid w:val="53AC83AC"/>
    <w:rsid w:val="53AFC1DB"/>
    <w:rsid w:val="53CF4CBF"/>
    <w:rsid w:val="53E3F4DD"/>
    <w:rsid w:val="546CAEB2"/>
    <w:rsid w:val="5485C4FF"/>
    <w:rsid w:val="548E1407"/>
    <w:rsid w:val="5559F626"/>
    <w:rsid w:val="559105F7"/>
    <w:rsid w:val="55E9D829"/>
    <w:rsid w:val="564452E3"/>
    <w:rsid w:val="56B26131"/>
    <w:rsid w:val="575BB62E"/>
    <w:rsid w:val="57B139AA"/>
    <w:rsid w:val="588B9D47"/>
    <w:rsid w:val="592B21AD"/>
    <w:rsid w:val="59389608"/>
    <w:rsid w:val="59638A77"/>
    <w:rsid w:val="59769856"/>
    <w:rsid w:val="59A57B08"/>
    <w:rsid w:val="59EF06F0"/>
    <w:rsid w:val="5A08FE5A"/>
    <w:rsid w:val="5A49E21B"/>
    <w:rsid w:val="5A4BF841"/>
    <w:rsid w:val="5B6BD5D8"/>
    <w:rsid w:val="5B6EC43C"/>
    <w:rsid w:val="5CDF18D9"/>
    <w:rsid w:val="5D0575E2"/>
    <w:rsid w:val="5D1AE199"/>
    <w:rsid w:val="5D3AFB0A"/>
    <w:rsid w:val="5D8C49FE"/>
    <w:rsid w:val="5DB1F5A8"/>
    <w:rsid w:val="5DD8519C"/>
    <w:rsid w:val="5F4AEDA5"/>
    <w:rsid w:val="5F619B63"/>
    <w:rsid w:val="5F66AC52"/>
    <w:rsid w:val="5FE90A47"/>
    <w:rsid w:val="5FF0B2B8"/>
    <w:rsid w:val="604CE74B"/>
    <w:rsid w:val="6078A91D"/>
    <w:rsid w:val="6107750D"/>
    <w:rsid w:val="618B9C62"/>
    <w:rsid w:val="61D9F159"/>
    <w:rsid w:val="6226D32C"/>
    <w:rsid w:val="627307D0"/>
    <w:rsid w:val="627D6DFB"/>
    <w:rsid w:val="632A6C95"/>
    <w:rsid w:val="637DED66"/>
    <w:rsid w:val="64DE9CBF"/>
    <w:rsid w:val="64E53C0C"/>
    <w:rsid w:val="65076980"/>
    <w:rsid w:val="65C1210B"/>
    <w:rsid w:val="65FF1F53"/>
    <w:rsid w:val="666538DD"/>
    <w:rsid w:val="672D5922"/>
    <w:rsid w:val="67362186"/>
    <w:rsid w:val="681E6CDA"/>
    <w:rsid w:val="683CE96E"/>
    <w:rsid w:val="69231140"/>
    <w:rsid w:val="693715CF"/>
    <w:rsid w:val="698A60E9"/>
    <w:rsid w:val="69958047"/>
    <w:rsid w:val="699FA731"/>
    <w:rsid w:val="69BCF29F"/>
    <w:rsid w:val="69DF2623"/>
    <w:rsid w:val="69F3D753"/>
    <w:rsid w:val="6A43CDA4"/>
    <w:rsid w:val="6A4448CE"/>
    <w:rsid w:val="6AA6278E"/>
    <w:rsid w:val="6AAA5792"/>
    <w:rsid w:val="6B7FCB01"/>
    <w:rsid w:val="6BFCBF13"/>
    <w:rsid w:val="6C1A52EF"/>
    <w:rsid w:val="6C9C03F3"/>
    <w:rsid w:val="6CB5CD2F"/>
    <w:rsid w:val="6CBCA30D"/>
    <w:rsid w:val="6D0589B5"/>
    <w:rsid w:val="6D712FC7"/>
    <w:rsid w:val="6E579789"/>
    <w:rsid w:val="6E901FA6"/>
    <w:rsid w:val="6EBACA6D"/>
    <w:rsid w:val="6F2A2ACC"/>
    <w:rsid w:val="6F311B5F"/>
    <w:rsid w:val="6F3F0EF2"/>
    <w:rsid w:val="6F5D5329"/>
    <w:rsid w:val="708C9FA0"/>
    <w:rsid w:val="70A9F489"/>
    <w:rsid w:val="7135C058"/>
    <w:rsid w:val="7157A4BE"/>
    <w:rsid w:val="7178FCFB"/>
    <w:rsid w:val="72E163E0"/>
    <w:rsid w:val="733ADA6F"/>
    <w:rsid w:val="735A3006"/>
    <w:rsid w:val="73D9845F"/>
    <w:rsid w:val="73E259DA"/>
    <w:rsid w:val="7424FC7F"/>
    <w:rsid w:val="744E5D26"/>
    <w:rsid w:val="74D21FD4"/>
    <w:rsid w:val="74D5DC1D"/>
    <w:rsid w:val="75852CF6"/>
    <w:rsid w:val="75D7DD6A"/>
    <w:rsid w:val="761F7772"/>
    <w:rsid w:val="77A35549"/>
    <w:rsid w:val="78206A71"/>
    <w:rsid w:val="784DD09D"/>
    <w:rsid w:val="78ADC463"/>
    <w:rsid w:val="7935AEF7"/>
    <w:rsid w:val="79C5E532"/>
    <w:rsid w:val="7A2BC702"/>
    <w:rsid w:val="7A2F290B"/>
    <w:rsid w:val="7BA789A1"/>
    <w:rsid w:val="7BAA5B2A"/>
    <w:rsid w:val="7BADAF38"/>
    <w:rsid w:val="7BC30CCE"/>
    <w:rsid w:val="7C3928C9"/>
    <w:rsid w:val="7D9126F5"/>
    <w:rsid w:val="7ECFCFFC"/>
    <w:rsid w:val="7EE1717E"/>
    <w:rsid w:val="7EEE4E93"/>
    <w:rsid w:val="7EEF1EE8"/>
    <w:rsid w:val="7F4B57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2739D"/>
  <w15:docId w15:val="{9EB2E61E-BF0C-443D-84C3-E8D1DDE7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0341"/>
    <w:pPr>
      <w:spacing w:after="120"/>
    </w:pPr>
    <w:rPr>
      <w:rFonts w:ascii="Arial" w:hAnsi="Arial" w:cs="Arial"/>
      <w:szCs w:val="24"/>
      <w:lang w:eastAsia="en-US"/>
    </w:rPr>
  </w:style>
  <w:style w:type="paragraph" w:styleId="Heading1">
    <w:name w:val="heading 1"/>
    <w:basedOn w:val="Normal"/>
    <w:next w:val="Normal"/>
    <w:link w:val="Heading1Char"/>
    <w:uiPriority w:val="99"/>
    <w:qFormat/>
    <w:rsid w:val="00411D4B"/>
    <w:pPr>
      <w:spacing w:after="600" w:line="460" w:lineRule="atLeast"/>
      <w:outlineLvl w:val="0"/>
    </w:pPr>
    <w:rPr>
      <w:b/>
      <w:color w:val="002060"/>
      <w:sz w:val="32"/>
      <w:szCs w:val="32"/>
      <w:lang w:val="en-US"/>
    </w:rPr>
  </w:style>
  <w:style w:type="paragraph" w:styleId="Heading2">
    <w:name w:val="heading 2"/>
    <w:basedOn w:val="Normal"/>
    <w:next w:val="Normal"/>
    <w:qFormat/>
    <w:rsid w:val="007D16B0"/>
    <w:pPr>
      <w:spacing w:before="360" w:after="113" w:line="300" w:lineRule="atLeast"/>
      <w:outlineLvl w:val="1"/>
    </w:pPr>
    <w:rPr>
      <w:b/>
      <w:color w:val="2E1E66" w:themeColor="accent3" w:themeTint="E6"/>
      <w:sz w:val="28"/>
    </w:rPr>
  </w:style>
  <w:style w:type="paragraph" w:styleId="Heading3">
    <w:name w:val="heading 3"/>
    <w:basedOn w:val="Normal"/>
    <w:next w:val="Normal"/>
    <w:link w:val="Heading3Char"/>
    <w:qFormat/>
    <w:rsid w:val="007D16B0"/>
    <w:pPr>
      <w:spacing w:before="140" w:after="57" w:line="220" w:lineRule="atLeast"/>
      <w:outlineLvl w:val="2"/>
    </w:pPr>
    <w:rPr>
      <w:b/>
      <w:sz w:val="24"/>
    </w:rPr>
  </w:style>
  <w:style w:type="paragraph" w:styleId="Heading4">
    <w:name w:val="heading 4"/>
    <w:basedOn w:val="Normal"/>
    <w:next w:val="Normal"/>
    <w:link w:val="Heading4Char"/>
    <w:qFormat/>
    <w:rsid w:val="007D16B0"/>
    <w:pPr>
      <w:spacing w:before="57" w:after="57" w:line="220" w:lineRule="atLeast"/>
      <w:outlineLvl w:val="3"/>
    </w:pPr>
    <w:rPr>
      <w:b/>
      <w:i/>
      <w:sz w:val="22"/>
    </w:rPr>
  </w:style>
  <w:style w:type="paragraph" w:styleId="Heading5">
    <w:name w:val="heading 5"/>
    <w:aliases w:val="- Title"/>
    <w:basedOn w:val="Normal"/>
    <w:next w:val="Normal"/>
    <w:link w:val="Heading5Char"/>
    <w:rsid w:val="00F968EA"/>
    <w:pPr>
      <w:spacing w:before="240" w:after="60"/>
      <w:outlineLvl w:val="4"/>
    </w:pPr>
    <w:rPr>
      <w:b/>
      <w:bCs/>
      <w:i/>
      <w:iCs/>
      <w:sz w:val="26"/>
      <w:szCs w:val="26"/>
    </w:rPr>
  </w:style>
  <w:style w:type="paragraph" w:styleId="Heading6">
    <w:name w:val="heading 6"/>
    <w:aliases w:val="App 2"/>
    <w:basedOn w:val="Normal"/>
    <w:next w:val="Normal"/>
    <w:rsid w:val="00F968EA"/>
    <w:pPr>
      <w:spacing w:before="240" w:after="60"/>
      <w:outlineLvl w:val="5"/>
    </w:pPr>
    <w:rPr>
      <w:b/>
      <w:bCs/>
      <w:szCs w:val="22"/>
    </w:rPr>
  </w:style>
  <w:style w:type="paragraph" w:styleId="Heading7">
    <w:name w:val="heading 7"/>
    <w:aliases w:val="App 3"/>
    <w:basedOn w:val="Normal"/>
    <w:next w:val="Normal"/>
    <w:rsid w:val="00F968EA"/>
    <w:pPr>
      <w:spacing w:before="240" w:after="60"/>
      <w:outlineLvl w:val="6"/>
    </w:pPr>
  </w:style>
  <w:style w:type="paragraph" w:styleId="Heading8">
    <w:name w:val="heading 8"/>
    <w:aliases w:val="App 4"/>
    <w:basedOn w:val="Normal"/>
    <w:next w:val="Normal"/>
    <w:rsid w:val="00F968EA"/>
    <w:pPr>
      <w:spacing w:before="240" w:after="60"/>
      <w:outlineLvl w:val="7"/>
    </w:pPr>
    <w:rPr>
      <w:i/>
      <w:iCs/>
    </w:rPr>
  </w:style>
  <w:style w:type="paragraph" w:styleId="Heading9">
    <w:name w:val="heading 9"/>
    <w:basedOn w:val="Normal"/>
    <w:next w:val="Normal"/>
    <w:rsid w:val="00F968EA"/>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rtHFWhite">
    <w:name w:val="_CertHFWhite"/>
    <w:semiHidden/>
    <w:rsid w:val="005211F6"/>
    <w:pPr>
      <w:spacing w:line="400" w:lineRule="atLeast"/>
    </w:pPr>
    <w:rPr>
      <w:rFonts w:ascii="Arial" w:hAnsi="Arial" w:cs="Arial"/>
      <w:color w:val="FFFFFF"/>
      <w:sz w:val="28"/>
      <w:lang w:eastAsia="en-US"/>
    </w:rPr>
  </w:style>
  <w:style w:type="paragraph" w:customStyle="1" w:styleId="Bullet2">
    <w:name w:val="_Bullet2"/>
    <w:basedOn w:val="Bullet"/>
    <w:rsid w:val="00F968EA"/>
    <w:pPr>
      <w:numPr>
        <w:ilvl w:val="1"/>
        <w:numId w:val="23"/>
      </w:numPr>
      <w:tabs>
        <w:tab w:val="clear" w:pos="170"/>
      </w:tabs>
    </w:pPr>
  </w:style>
  <w:style w:type="paragraph" w:styleId="Header">
    <w:name w:val="header"/>
    <w:basedOn w:val="Normal"/>
    <w:rsid w:val="00E90924"/>
    <w:pPr>
      <w:tabs>
        <w:tab w:val="center" w:pos="4320"/>
        <w:tab w:val="right" w:pos="8640"/>
      </w:tabs>
    </w:pPr>
  </w:style>
  <w:style w:type="paragraph" w:styleId="Footer">
    <w:name w:val="footer"/>
    <w:basedOn w:val="Normal"/>
    <w:link w:val="FooterChar"/>
    <w:uiPriority w:val="99"/>
    <w:rsid w:val="00E90924"/>
    <w:pPr>
      <w:tabs>
        <w:tab w:val="center" w:pos="4320"/>
        <w:tab w:val="right" w:pos="8640"/>
      </w:tabs>
    </w:pPr>
  </w:style>
  <w:style w:type="paragraph" w:customStyle="1" w:styleId="Bullet">
    <w:name w:val="_Bullet"/>
    <w:link w:val="BulletChar"/>
    <w:rsid w:val="00F968EA"/>
    <w:pPr>
      <w:numPr>
        <w:numId w:val="14"/>
      </w:numPr>
      <w:tabs>
        <w:tab w:val="clear" w:pos="720"/>
        <w:tab w:val="left" w:pos="170"/>
      </w:tabs>
      <w:spacing w:after="113" w:line="220" w:lineRule="atLeast"/>
      <w:ind w:left="170" w:hanging="170"/>
    </w:pPr>
    <w:rPr>
      <w:rFonts w:ascii="Calibri" w:hAnsi="Calibri" w:cs="Arial"/>
      <w:sz w:val="22"/>
      <w:szCs w:val="24"/>
      <w:lang w:eastAsia="en-US"/>
    </w:rPr>
  </w:style>
  <w:style w:type="character" w:customStyle="1" w:styleId="BulletChar">
    <w:name w:val="_Bullet Char"/>
    <w:link w:val="Bullet"/>
    <w:rsid w:val="00F968EA"/>
    <w:rPr>
      <w:rFonts w:ascii="Calibri" w:hAnsi="Calibri" w:cs="Arial"/>
      <w:sz w:val="22"/>
      <w:szCs w:val="24"/>
      <w:lang w:eastAsia="en-US"/>
    </w:rPr>
  </w:style>
  <w:style w:type="paragraph" w:customStyle="1" w:styleId="Caption">
    <w:name w:val="_Caption"/>
    <w:rsid w:val="00F968EA"/>
    <w:pPr>
      <w:spacing w:before="120" w:after="120" w:line="170" w:lineRule="atLeast"/>
    </w:pPr>
    <w:rPr>
      <w:rFonts w:ascii="Calibri" w:hAnsi="Calibri" w:cs="Arial"/>
      <w:b/>
      <w:color w:val="404040"/>
      <w:lang w:eastAsia="en-US"/>
    </w:rPr>
  </w:style>
  <w:style w:type="paragraph" w:customStyle="1" w:styleId="CertHA">
    <w:name w:val="_CertHA"/>
    <w:semiHidden/>
    <w:rsid w:val="00801A56"/>
    <w:pPr>
      <w:spacing w:line="1172" w:lineRule="atLeast"/>
    </w:pPr>
    <w:rPr>
      <w:rFonts w:ascii="Arial" w:hAnsi="Arial" w:cs="Arial"/>
      <w:color w:val="F58426"/>
      <w:sz w:val="96"/>
      <w:lang w:eastAsia="en-US"/>
    </w:rPr>
  </w:style>
  <w:style w:type="paragraph" w:customStyle="1" w:styleId="CertHAWhite">
    <w:name w:val="_CertHAWhite"/>
    <w:semiHidden/>
    <w:rsid w:val="004578FA"/>
    <w:pPr>
      <w:spacing w:line="1172" w:lineRule="exact"/>
    </w:pPr>
    <w:rPr>
      <w:rFonts w:ascii="Arial" w:hAnsi="Arial" w:cs="Arial"/>
      <w:color w:val="FFFFFF"/>
      <w:sz w:val="96"/>
      <w:lang w:eastAsia="en-US"/>
    </w:rPr>
  </w:style>
  <w:style w:type="paragraph" w:customStyle="1" w:styleId="CertHB">
    <w:name w:val="_CertHB"/>
    <w:semiHidden/>
    <w:rsid w:val="00801A56"/>
    <w:pPr>
      <w:spacing w:line="720" w:lineRule="atLeast"/>
    </w:pPr>
    <w:rPr>
      <w:rFonts w:ascii="Arial" w:hAnsi="Arial" w:cs="Arial"/>
      <w:color w:val="F58426"/>
      <w:sz w:val="72"/>
      <w:lang w:eastAsia="en-US"/>
    </w:rPr>
  </w:style>
  <w:style w:type="paragraph" w:customStyle="1" w:styleId="CertHBWhite">
    <w:name w:val="_CertHBWhite"/>
    <w:semiHidden/>
    <w:rsid w:val="00F101D6"/>
    <w:pPr>
      <w:spacing w:line="720" w:lineRule="atLeast"/>
    </w:pPr>
    <w:rPr>
      <w:rFonts w:ascii="Arial" w:hAnsi="Arial" w:cs="Arial"/>
      <w:color w:val="FFFFFF"/>
      <w:sz w:val="72"/>
      <w:lang w:eastAsia="en-US"/>
    </w:rPr>
  </w:style>
  <w:style w:type="paragraph" w:customStyle="1" w:styleId="CertHC">
    <w:name w:val="_CertHC"/>
    <w:link w:val="CertHCChar"/>
    <w:semiHidden/>
    <w:rsid w:val="00801A56"/>
    <w:pPr>
      <w:spacing w:line="600" w:lineRule="atLeast"/>
    </w:pPr>
    <w:rPr>
      <w:rFonts w:ascii="Arial" w:hAnsi="Arial" w:cs="Arial"/>
      <w:color w:val="F58426"/>
      <w:sz w:val="52"/>
      <w:lang w:eastAsia="en-US"/>
    </w:rPr>
  </w:style>
  <w:style w:type="character" w:customStyle="1" w:styleId="CertHCChar">
    <w:name w:val="_CertHC Char"/>
    <w:link w:val="CertHC"/>
    <w:semiHidden/>
    <w:rsid w:val="00801A56"/>
    <w:rPr>
      <w:rFonts w:ascii="Arial" w:hAnsi="Arial" w:cs="Arial"/>
      <w:color w:val="F58426"/>
      <w:sz w:val="52"/>
      <w:szCs w:val="24"/>
      <w:lang w:eastAsia="en-US"/>
    </w:rPr>
  </w:style>
  <w:style w:type="paragraph" w:customStyle="1" w:styleId="CertHCWhite">
    <w:name w:val="_CertHCWhite"/>
    <w:semiHidden/>
    <w:rsid w:val="004578FA"/>
    <w:pPr>
      <w:spacing w:line="600" w:lineRule="atLeast"/>
    </w:pPr>
    <w:rPr>
      <w:rFonts w:ascii="Arial" w:hAnsi="Arial" w:cs="Arial"/>
      <w:color w:val="FFFFFF"/>
      <w:sz w:val="52"/>
      <w:lang w:eastAsia="en-US"/>
    </w:rPr>
  </w:style>
  <w:style w:type="paragraph" w:customStyle="1" w:styleId="CertHD">
    <w:name w:val="_CertHD"/>
    <w:link w:val="CertHDChar"/>
    <w:semiHidden/>
    <w:rsid w:val="00801A56"/>
    <w:pPr>
      <w:spacing w:line="440" w:lineRule="atLeast"/>
    </w:pPr>
    <w:rPr>
      <w:rFonts w:ascii="Arial" w:hAnsi="Arial" w:cs="Arial"/>
      <w:color w:val="F58426"/>
      <w:sz w:val="36"/>
      <w:lang w:eastAsia="en-US"/>
    </w:rPr>
  </w:style>
  <w:style w:type="character" w:customStyle="1" w:styleId="CertHDChar">
    <w:name w:val="_CertHD Char"/>
    <w:link w:val="CertHD"/>
    <w:semiHidden/>
    <w:rsid w:val="00801A56"/>
    <w:rPr>
      <w:rFonts w:ascii="Arial" w:hAnsi="Arial" w:cs="Arial"/>
      <w:color w:val="F58426"/>
      <w:sz w:val="36"/>
      <w:szCs w:val="24"/>
      <w:lang w:eastAsia="en-US"/>
    </w:rPr>
  </w:style>
  <w:style w:type="paragraph" w:customStyle="1" w:styleId="CertHDWhite">
    <w:name w:val="_CertHDWhite"/>
    <w:semiHidden/>
    <w:rsid w:val="004578FA"/>
    <w:pPr>
      <w:spacing w:line="440" w:lineRule="atLeast"/>
    </w:pPr>
    <w:rPr>
      <w:rFonts w:ascii="Arial" w:hAnsi="Arial" w:cs="Arial"/>
      <w:color w:val="FFFFFF"/>
      <w:sz w:val="36"/>
      <w:lang w:eastAsia="en-US"/>
    </w:rPr>
  </w:style>
  <w:style w:type="paragraph" w:customStyle="1" w:styleId="CertHE">
    <w:name w:val="_CertHE"/>
    <w:link w:val="CertHEChar"/>
    <w:semiHidden/>
    <w:rsid w:val="00801A56"/>
    <w:pPr>
      <w:spacing w:line="520" w:lineRule="atLeast"/>
    </w:pPr>
    <w:rPr>
      <w:rFonts w:ascii="Arial" w:hAnsi="Arial" w:cs="Arial"/>
      <w:color w:val="F58426"/>
      <w:sz w:val="32"/>
      <w:lang w:eastAsia="en-US"/>
    </w:rPr>
  </w:style>
  <w:style w:type="character" w:customStyle="1" w:styleId="CertHEChar">
    <w:name w:val="_CertHE Char"/>
    <w:link w:val="CertHE"/>
    <w:semiHidden/>
    <w:rsid w:val="00801A56"/>
    <w:rPr>
      <w:rFonts w:ascii="Arial" w:hAnsi="Arial" w:cs="Arial"/>
      <w:color w:val="F58426"/>
      <w:sz w:val="32"/>
      <w:szCs w:val="24"/>
      <w:lang w:eastAsia="en-US"/>
    </w:rPr>
  </w:style>
  <w:style w:type="paragraph" w:customStyle="1" w:styleId="CertHEWhite">
    <w:name w:val="_CertHEWhite"/>
    <w:semiHidden/>
    <w:rsid w:val="004578FA"/>
    <w:pPr>
      <w:spacing w:line="520" w:lineRule="atLeast"/>
    </w:pPr>
    <w:rPr>
      <w:rFonts w:ascii="Arial" w:hAnsi="Arial" w:cs="Arial"/>
      <w:color w:val="FFFFFF"/>
      <w:sz w:val="32"/>
      <w:lang w:eastAsia="en-US"/>
    </w:rPr>
  </w:style>
  <w:style w:type="paragraph" w:customStyle="1" w:styleId="CertYr">
    <w:name w:val="_CertYr"/>
    <w:semiHidden/>
    <w:rsid w:val="00801A56"/>
    <w:pPr>
      <w:spacing w:line="1440" w:lineRule="atLeast"/>
    </w:pPr>
    <w:rPr>
      <w:rFonts w:ascii="Arial" w:hAnsi="Arial" w:cs="Arial"/>
      <w:b/>
      <w:color w:val="F58426"/>
      <w:sz w:val="124"/>
      <w:lang w:eastAsia="en-US"/>
    </w:rPr>
  </w:style>
  <w:style w:type="paragraph" w:styleId="BalloonText">
    <w:name w:val="Balloon Text"/>
    <w:basedOn w:val="Normal"/>
    <w:link w:val="BalloonTextChar"/>
    <w:semiHidden/>
    <w:rsid w:val="00E90924"/>
    <w:rPr>
      <w:rFonts w:ascii="Tahoma" w:hAnsi="Tahoma" w:cs="Tahoma"/>
      <w:sz w:val="16"/>
      <w:szCs w:val="16"/>
    </w:rPr>
  </w:style>
  <w:style w:type="paragraph" w:styleId="BodyText">
    <w:name w:val="Body Text"/>
    <w:basedOn w:val="Normal"/>
    <w:link w:val="BodyTextChar"/>
    <w:unhideWhenUsed/>
    <w:rsid w:val="00772526"/>
  </w:style>
  <w:style w:type="character" w:customStyle="1" w:styleId="BodyTextChar">
    <w:name w:val="Body Text Char"/>
    <w:basedOn w:val="DefaultParagraphFont"/>
    <w:link w:val="BodyText"/>
    <w:rsid w:val="00772526"/>
    <w:rPr>
      <w:rFonts w:ascii="Arial" w:hAnsi="Arial" w:cs="Arial"/>
      <w:szCs w:val="24"/>
      <w:lang w:eastAsia="en-US"/>
    </w:rPr>
  </w:style>
  <w:style w:type="paragraph" w:customStyle="1" w:styleId="ARIimprintpubdetails">
    <w:name w:val="ARI_imprintpubdetails"/>
    <w:basedOn w:val="Normal"/>
    <w:rsid w:val="002F04B4"/>
    <w:pPr>
      <w:autoSpaceDE w:val="0"/>
      <w:autoSpaceDN w:val="0"/>
      <w:adjustRightInd w:val="0"/>
      <w:spacing w:after="0"/>
    </w:pPr>
    <w:rPr>
      <w:rFonts w:ascii="Calibri" w:hAnsi="Calibri" w:cstheme="minorHAnsi"/>
      <w:sz w:val="16"/>
      <w:szCs w:val="16"/>
    </w:rPr>
  </w:style>
  <w:style w:type="paragraph" w:customStyle="1" w:styleId="Pullout">
    <w:name w:val="_Pullout"/>
    <w:rsid w:val="00CB33BB"/>
    <w:pPr>
      <w:spacing w:before="85" w:after="170" w:line="300" w:lineRule="atLeast"/>
    </w:pPr>
    <w:rPr>
      <w:rFonts w:ascii="Calibri" w:hAnsi="Calibri" w:cs="Arial"/>
      <w:color w:val="228591"/>
      <w:lang w:eastAsia="en-US"/>
    </w:rPr>
  </w:style>
  <w:style w:type="paragraph" w:customStyle="1" w:styleId="TblBllt">
    <w:name w:val="_TblBllt"/>
    <w:basedOn w:val="Tablebodytext"/>
    <w:uiPriority w:val="1"/>
    <w:rsid w:val="00F968EA"/>
    <w:pPr>
      <w:numPr>
        <w:numId w:val="24"/>
      </w:numPr>
    </w:pPr>
  </w:style>
  <w:style w:type="paragraph" w:customStyle="1" w:styleId="Tablebodytext">
    <w:name w:val="Table body text"/>
    <w:uiPriority w:val="1"/>
    <w:qFormat/>
    <w:rsid w:val="004A4F57"/>
    <w:pPr>
      <w:spacing w:before="80" w:after="60"/>
    </w:pPr>
    <w:rPr>
      <w:rFonts w:ascii="Arial" w:hAnsi="Arial" w:cs="Arial"/>
      <w:szCs w:val="24"/>
      <w:lang w:eastAsia="en-US"/>
    </w:rPr>
  </w:style>
  <w:style w:type="paragraph" w:customStyle="1" w:styleId="Tableheadingtext">
    <w:name w:val="Table heading text"/>
    <w:qFormat/>
    <w:rsid w:val="00660BBC"/>
    <w:pPr>
      <w:spacing w:before="60" w:after="60" w:line="230" w:lineRule="atLeast"/>
    </w:pPr>
    <w:rPr>
      <w:rFonts w:ascii="Arial" w:hAnsi="Arial" w:cs="Arial"/>
      <w:b/>
      <w:color w:val="FFFFFF" w:themeColor="background1"/>
      <w:szCs w:val="24"/>
      <w:lang w:eastAsia="en-US"/>
    </w:rPr>
  </w:style>
  <w:style w:type="numbering" w:styleId="111111">
    <w:name w:val="Outline List 2"/>
    <w:basedOn w:val="NoList"/>
    <w:semiHidden/>
    <w:rsid w:val="004578FA"/>
    <w:pPr>
      <w:numPr>
        <w:numId w:val="1"/>
      </w:numPr>
    </w:pPr>
  </w:style>
  <w:style w:type="numbering" w:styleId="1ai">
    <w:name w:val="Outline List 1"/>
    <w:basedOn w:val="NoList"/>
    <w:semiHidden/>
    <w:rsid w:val="004578FA"/>
    <w:pPr>
      <w:numPr>
        <w:numId w:val="2"/>
      </w:numPr>
    </w:pPr>
  </w:style>
  <w:style w:type="numbering" w:styleId="ArticleSection">
    <w:name w:val="Outline List 3"/>
    <w:basedOn w:val="NoList"/>
    <w:semiHidden/>
    <w:rsid w:val="004578FA"/>
    <w:pPr>
      <w:numPr>
        <w:numId w:val="3"/>
      </w:numPr>
    </w:pPr>
  </w:style>
  <w:style w:type="paragraph" w:styleId="BlockText">
    <w:name w:val="Block Text"/>
    <w:basedOn w:val="Normal"/>
    <w:semiHidden/>
    <w:rsid w:val="004578FA"/>
    <w:pPr>
      <w:ind w:left="1440" w:right="1440"/>
    </w:pPr>
  </w:style>
  <w:style w:type="paragraph" w:styleId="BodyText2">
    <w:name w:val="Body Text 2"/>
    <w:basedOn w:val="Normal"/>
    <w:semiHidden/>
    <w:rsid w:val="004578FA"/>
    <w:pPr>
      <w:spacing w:line="480" w:lineRule="auto"/>
    </w:pPr>
  </w:style>
  <w:style w:type="paragraph" w:styleId="BodyText3">
    <w:name w:val="Body Text 3"/>
    <w:basedOn w:val="Normal"/>
    <w:semiHidden/>
    <w:rsid w:val="004578FA"/>
    <w:rPr>
      <w:sz w:val="16"/>
      <w:szCs w:val="16"/>
    </w:rPr>
  </w:style>
  <w:style w:type="paragraph" w:styleId="BodyTextFirstIndent">
    <w:name w:val="Body Text First Indent"/>
    <w:basedOn w:val="Normal"/>
    <w:semiHidden/>
    <w:rsid w:val="007D16B0"/>
    <w:pPr>
      <w:ind w:firstLine="210"/>
    </w:pPr>
  </w:style>
  <w:style w:type="paragraph" w:styleId="BodyTextIndent">
    <w:name w:val="Body Text Indent"/>
    <w:basedOn w:val="Normal"/>
    <w:semiHidden/>
    <w:rsid w:val="004578FA"/>
    <w:pPr>
      <w:ind w:left="283"/>
    </w:pPr>
  </w:style>
  <w:style w:type="paragraph" w:styleId="BodyTextFirstIndent2">
    <w:name w:val="Body Text First Indent 2"/>
    <w:basedOn w:val="BodyTextIndent"/>
    <w:semiHidden/>
    <w:rsid w:val="004578FA"/>
    <w:pPr>
      <w:ind w:firstLine="210"/>
    </w:pPr>
  </w:style>
  <w:style w:type="paragraph" w:styleId="BodyTextIndent2">
    <w:name w:val="Body Text Indent 2"/>
    <w:basedOn w:val="Normal"/>
    <w:semiHidden/>
    <w:rsid w:val="004578FA"/>
    <w:pPr>
      <w:spacing w:line="480" w:lineRule="auto"/>
      <w:ind w:left="283"/>
    </w:pPr>
  </w:style>
  <w:style w:type="paragraph" w:styleId="BodyTextIndent3">
    <w:name w:val="Body Text Indent 3"/>
    <w:basedOn w:val="Normal"/>
    <w:semiHidden/>
    <w:rsid w:val="004578FA"/>
    <w:pPr>
      <w:ind w:left="283"/>
    </w:pPr>
    <w:rPr>
      <w:sz w:val="16"/>
      <w:szCs w:val="16"/>
    </w:rPr>
  </w:style>
  <w:style w:type="paragraph" w:styleId="Closing">
    <w:name w:val="Closing"/>
    <w:basedOn w:val="Normal"/>
    <w:semiHidden/>
    <w:rsid w:val="004578FA"/>
    <w:pPr>
      <w:ind w:left="4252"/>
    </w:pPr>
  </w:style>
  <w:style w:type="paragraph" w:styleId="Date">
    <w:name w:val="Date"/>
    <w:basedOn w:val="Normal"/>
    <w:next w:val="Normal"/>
    <w:semiHidden/>
    <w:rsid w:val="004578FA"/>
  </w:style>
  <w:style w:type="paragraph" w:styleId="E-mailSignature">
    <w:name w:val="E-mail Signature"/>
    <w:basedOn w:val="Normal"/>
    <w:semiHidden/>
    <w:rsid w:val="004578FA"/>
  </w:style>
  <w:style w:type="character" w:styleId="Emphasis">
    <w:name w:val="Emphasis"/>
    <w:uiPriority w:val="20"/>
    <w:qFormat/>
    <w:rsid w:val="00F968EA"/>
    <w:rPr>
      <w:i/>
      <w:iCs/>
    </w:rPr>
  </w:style>
  <w:style w:type="paragraph" w:styleId="EnvelopeAddress">
    <w:name w:val="envelope address"/>
    <w:basedOn w:val="Normal"/>
    <w:semiHidden/>
    <w:rsid w:val="004578FA"/>
    <w:pPr>
      <w:framePr w:w="7920" w:h="1980" w:hRule="exact" w:hSpace="180" w:wrap="auto" w:hAnchor="page" w:xAlign="center" w:yAlign="bottom"/>
      <w:ind w:left="2880"/>
    </w:pPr>
  </w:style>
  <w:style w:type="paragraph" w:styleId="EnvelopeReturn">
    <w:name w:val="envelope return"/>
    <w:basedOn w:val="Normal"/>
    <w:semiHidden/>
    <w:rsid w:val="004578FA"/>
    <w:rPr>
      <w:szCs w:val="20"/>
    </w:rPr>
  </w:style>
  <w:style w:type="character" w:styleId="FollowedHyperlink">
    <w:name w:val="FollowedHyperlink"/>
    <w:semiHidden/>
    <w:rsid w:val="004578FA"/>
    <w:rPr>
      <w:color w:val="800080"/>
      <w:u w:val="single"/>
    </w:rPr>
  </w:style>
  <w:style w:type="character" w:styleId="HTMLAcronym">
    <w:name w:val="HTML Acronym"/>
    <w:basedOn w:val="DefaultParagraphFont"/>
    <w:semiHidden/>
    <w:rsid w:val="004578FA"/>
  </w:style>
  <w:style w:type="paragraph" w:styleId="HTMLAddress">
    <w:name w:val="HTML Address"/>
    <w:basedOn w:val="Normal"/>
    <w:semiHidden/>
    <w:rsid w:val="004578FA"/>
    <w:rPr>
      <w:i/>
      <w:iCs/>
    </w:rPr>
  </w:style>
  <w:style w:type="character" w:styleId="HTMLCite">
    <w:name w:val="HTML Cite"/>
    <w:semiHidden/>
    <w:rsid w:val="004578FA"/>
    <w:rPr>
      <w:i/>
      <w:iCs/>
    </w:rPr>
  </w:style>
  <w:style w:type="character" w:styleId="HTMLCode">
    <w:name w:val="HTML Code"/>
    <w:semiHidden/>
    <w:rsid w:val="004578FA"/>
    <w:rPr>
      <w:rFonts w:ascii="Courier New" w:hAnsi="Courier New" w:cs="Courier New"/>
      <w:sz w:val="20"/>
      <w:szCs w:val="20"/>
    </w:rPr>
  </w:style>
  <w:style w:type="character" w:styleId="HTMLDefinition">
    <w:name w:val="HTML Definition"/>
    <w:semiHidden/>
    <w:rsid w:val="004578FA"/>
    <w:rPr>
      <w:i/>
      <w:iCs/>
    </w:rPr>
  </w:style>
  <w:style w:type="character" w:styleId="HTMLKeyboard">
    <w:name w:val="HTML Keyboard"/>
    <w:semiHidden/>
    <w:rsid w:val="004578FA"/>
    <w:rPr>
      <w:rFonts w:ascii="Courier New" w:hAnsi="Courier New" w:cs="Courier New"/>
      <w:sz w:val="20"/>
      <w:szCs w:val="20"/>
    </w:rPr>
  </w:style>
  <w:style w:type="paragraph" w:styleId="HTMLPreformatted">
    <w:name w:val="HTML Preformatted"/>
    <w:basedOn w:val="Normal"/>
    <w:link w:val="HTMLPreformattedChar"/>
    <w:uiPriority w:val="99"/>
    <w:rsid w:val="00E90924"/>
    <w:rPr>
      <w:rFonts w:ascii="Courier New" w:hAnsi="Courier New" w:cs="Courier New"/>
      <w:szCs w:val="20"/>
    </w:rPr>
  </w:style>
  <w:style w:type="character" w:styleId="HTMLSample">
    <w:name w:val="HTML Sample"/>
    <w:semiHidden/>
    <w:rsid w:val="004578FA"/>
    <w:rPr>
      <w:rFonts w:ascii="Courier New" w:hAnsi="Courier New" w:cs="Courier New"/>
    </w:rPr>
  </w:style>
  <w:style w:type="character" w:styleId="HTMLTypewriter">
    <w:name w:val="HTML Typewriter"/>
    <w:semiHidden/>
    <w:rsid w:val="004578FA"/>
    <w:rPr>
      <w:rFonts w:ascii="Courier New" w:hAnsi="Courier New" w:cs="Courier New"/>
      <w:sz w:val="20"/>
      <w:szCs w:val="20"/>
    </w:rPr>
  </w:style>
  <w:style w:type="character" w:styleId="HTMLVariable">
    <w:name w:val="HTML Variable"/>
    <w:semiHidden/>
    <w:rsid w:val="004578FA"/>
    <w:rPr>
      <w:i/>
      <w:iCs/>
    </w:rPr>
  </w:style>
  <w:style w:type="character" w:styleId="Hyperlink">
    <w:name w:val="Hyperlink"/>
    <w:uiPriority w:val="99"/>
    <w:rsid w:val="000675CA"/>
    <w:rPr>
      <w:rFonts w:ascii="Arial" w:hAnsi="Arial"/>
      <w:color w:val="0000FF"/>
      <w:u w:val="single"/>
    </w:rPr>
  </w:style>
  <w:style w:type="character" w:styleId="LineNumber">
    <w:name w:val="line number"/>
    <w:basedOn w:val="DefaultParagraphFont"/>
    <w:semiHidden/>
    <w:rsid w:val="004578FA"/>
  </w:style>
  <w:style w:type="paragraph" w:styleId="List">
    <w:name w:val="List"/>
    <w:basedOn w:val="Normal"/>
    <w:semiHidden/>
    <w:rsid w:val="004578FA"/>
    <w:pPr>
      <w:ind w:left="283" w:hanging="283"/>
    </w:pPr>
  </w:style>
  <w:style w:type="paragraph" w:styleId="List2">
    <w:name w:val="List 2"/>
    <w:basedOn w:val="Normal"/>
    <w:semiHidden/>
    <w:rsid w:val="004578FA"/>
    <w:pPr>
      <w:ind w:left="566" w:hanging="283"/>
    </w:pPr>
  </w:style>
  <w:style w:type="paragraph" w:styleId="List3">
    <w:name w:val="List 3"/>
    <w:basedOn w:val="Normal"/>
    <w:semiHidden/>
    <w:rsid w:val="004578FA"/>
    <w:pPr>
      <w:ind w:left="849" w:hanging="283"/>
    </w:pPr>
  </w:style>
  <w:style w:type="paragraph" w:styleId="List4">
    <w:name w:val="List 4"/>
    <w:basedOn w:val="Normal"/>
    <w:semiHidden/>
    <w:rsid w:val="004578FA"/>
    <w:pPr>
      <w:ind w:left="1132" w:hanging="283"/>
    </w:pPr>
  </w:style>
  <w:style w:type="paragraph" w:styleId="List5">
    <w:name w:val="List 5"/>
    <w:basedOn w:val="Normal"/>
    <w:semiHidden/>
    <w:rsid w:val="004578FA"/>
    <w:pPr>
      <w:ind w:left="1415" w:hanging="283"/>
    </w:pPr>
  </w:style>
  <w:style w:type="paragraph" w:styleId="ListBullet">
    <w:name w:val="List Bullet"/>
    <w:basedOn w:val="Normal"/>
    <w:semiHidden/>
    <w:rsid w:val="004578FA"/>
    <w:pPr>
      <w:numPr>
        <w:numId w:val="4"/>
      </w:numPr>
    </w:pPr>
  </w:style>
  <w:style w:type="paragraph" w:styleId="ListBullet2">
    <w:name w:val="List Bullet 2"/>
    <w:basedOn w:val="Normal"/>
    <w:semiHidden/>
    <w:rsid w:val="004578FA"/>
    <w:pPr>
      <w:numPr>
        <w:numId w:val="5"/>
      </w:numPr>
    </w:pPr>
  </w:style>
  <w:style w:type="paragraph" w:styleId="ListBullet3">
    <w:name w:val="List Bullet 3"/>
    <w:basedOn w:val="Normal"/>
    <w:semiHidden/>
    <w:rsid w:val="004578FA"/>
    <w:pPr>
      <w:numPr>
        <w:numId w:val="6"/>
      </w:numPr>
    </w:pPr>
  </w:style>
  <w:style w:type="paragraph" w:styleId="ListBullet4">
    <w:name w:val="List Bullet 4"/>
    <w:basedOn w:val="Normal"/>
    <w:semiHidden/>
    <w:rsid w:val="004578FA"/>
    <w:pPr>
      <w:numPr>
        <w:numId w:val="7"/>
      </w:numPr>
    </w:pPr>
  </w:style>
  <w:style w:type="paragraph" w:styleId="ListBullet5">
    <w:name w:val="List Bullet 5"/>
    <w:basedOn w:val="Normal"/>
    <w:semiHidden/>
    <w:rsid w:val="004578FA"/>
    <w:pPr>
      <w:numPr>
        <w:numId w:val="8"/>
      </w:numPr>
    </w:pPr>
  </w:style>
  <w:style w:type="paragraph" w:styleId="ListContinue">
    <w:name w:val="List Continue"/>
    <w:basedOn w:val="Normal"/>
    <w:semiHidden/>
    <w:rsid w:val="004578FA"/>
    <w:pPr>
      <w:ind w:left="283"/>
    </w:pPr>
  </w:style>
  <w:style w:type="paragraph" w:styleId="ListContinue2">
    <w:name w:val="List Continue 2"/>
    <w:basedOn w:val="Normal"/>
    <w:semiHidden/>
    <w:rsid w:val="004578FA"/>
    <w:pPr>
      <w:ind w:left="566"/>
    </w:pPr>
  </w:style>
  <w:style w:type="paragraph" w:styleId="ListContinue3">
    <w:name w:val="List Continue 3"/>
    <w:basedOn w:val="Normal"/>
    <w:semiHidden/>
    <w:rsid w:val="004578FA"/>
    <w:pPr>
      <w:ind w:left="849"/>
    </w:pPr>
  </w:style>
  <w:style w:type="paragraph" w:styleId="ListContinue4">
    <w:name w:val="List Continue 4"/>
    <w:basedOn w:val="Normal"/>
    <w:semiHidden/>
    <w:rsid w:val="004578FA"/>
    <w:pPr>
      <w:ind w:left="1132"/>
    </w:pPr>
  </w:style>
  <w:style w:type="paragraph" w:styleId="ListContinue5">
    <w:name w:val="List Continue 5"/>
    <w:basedOn w:val="Normal"/>
    <w:semiHidden/>
    <w:rsid w:val="004578FA"/>
    <w:pPr>
      <w:ind w:left="1415"/>
    </w:pPr>
  </w:style>
  <w:style w:type="paragraph" w:styleId="ListNumber">
    <w:name w:val="List Number"/>
    <w:basedOn w:val="Normal"/>
    <w:semiHidden/>
    <w:rsid w:val="004578FA"/>
    <w:pPr>
      <w:numPr>
        <w:numId w:val="9"/>
      </w:numPr>
    </w:pPr>
  </w:style>
  <w:style w:type="paragraph" w:styleId="ListNumber2">
    <w:name w:val="List Number 2"/>
    <w:basedOn w:val="Normal"/>
    <w:semiHidden/>
    <w:rsid w:val="004578FA"/>
    <w:pPr>
      <w:numPr>
        <w:numId w:val="10"/>
      </w:numPr>
    </w:pPr>
  </w:style>
  <w:style w:type="paragraph" w:styleId="ListNumber3">
    <w:name w:val="List Number 3"/>
    <w:basedOn w:val="Normal"/>
    <w:semiHidden/>
    <w:rsid w:val="004578FA"/>
    <w:pPr>
      <w:numPr>
        <w:numId w:val="11"/>
      </w:numPr>
    </w:pPr>
  </w:style>
  <w:style w:type="paragraph" w:styleId="ListNumber4">
    <w:name w:val="List Number 4"/>
    <w:basedOn w:val="Normal"/>
    <w:semiHidden/>
    <w:rsid w:val="004578FA"/>
    <w:pPr>
      <w:numPr>
        <w:numId w:val="12"/>
      </w:numPr>
    </w:pPr>
  </w:style>
  <w:style w:type="paragraph" w:styleId="ListNumber5">
    <w:name w:val="List Number 5"/>
    <w:basedOn w:val="Normal"/>
    <w:semiHidden/>
    <w:rsid w:val="004578FA"/>
    <w:pPr>
      <w:numPr>
        <w:numId w:val="13"/>
      </w:numPr>
    </w:pPr>
  </w:style>
  <w:style w:type="paragraph" w:styleId="MessageHeader">
    <w:name w:val="Message Header"/>
    <w:basedOn w:val="Normal"/>
    <w:semiHidden/>
    <w:rsid w:val="004578F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rsid w:val="00E90924"/>
  </w:style>
  <w:style w:type="paragraph" w:styleId="NormalIndent">
    <w:name w:val="Normal Indent"/>
    <w:basedOn w:val="Normal"/>
    <w:semiHidden/>
    <w:rsid w:val="004578FA"/>
    <w:pPr>
      <w:ind w:left="720"/>
    </w:pPr>
  </w:style>
  <w:style w:type="paragraph" w:styleId="NoteHeading">
    <w:name w:val="Note Heading"/>
    <w:basedOn w:val="Normal"/>
    <w:next w:val="Normal"/>
    <w:semiHidden/>
    <w:rsid w:val="004578FA"/>
  </w:style>
  <w:style w:type="character" w:styleId="PageNumber">
    <w:name w:val="page number"/>
    <w:basedOn w:val="DefaultParagraphFont"/>
    <w:rsid w:val="004578FA"/>
  </w:style>
  <w:style w:type="paragraph" w:styleId="PlainText">
    <w:name w:val="Plain Text"/>
    <w:basedOn w:val="Normal"/>
    <w:semiHidden/>
    <w:rsid w:val="004578FA"/>
    <w:rPr>
      <w:rFonts w:ascii="Courier New" w:hAnsi="Courier New" w:cs="Courier New"/>
      <w:szCs w:val="20"/>
    </w:rPr>
  </w:style>
  <w:style w:type="paragraph" w:styleId="Salutation">
    <w:name w:val="Salutation"/>
    <w:basedOn w:val="Normal"/>
    <w:next w:val="Normal"/>
    <w:semiHidden/>
    <w:rsid w:val="004578FA"/>
  </w:style>
  <w:style w:type="paragraph" w:styleId="Signature">
    <w:name w:val="Signature"/>
    <w:basedOn w:val="Normal"/>
    <w:semiHidden/>
    <w:rsid w:val="004578FA"/>
    <w:pPr>
      <w:ind w:left="4252"/>
    </w:pPr>
  </w:style>
  <w:style w:type="character" w:styleId="Strong">
    <w:name w:val="Strong"/>
    <w:rsid w:val="00F968EA"/>
    <w:rPr>
      <w:b/>
      <w:bCs/>
    </w:rPr>
  </w:style>
  <w:style w:type="paragraph" w:styleId="Subtitle">
    <w:name w:val="Subtitle"/>
    <w:basedOn w:val="Title"/>
    <w:link w:val="SubtitleChar"/>
    <w:rsid w:val="00477B29"/>
    <w:pPr>
      <w:spacing w:before="240"/>
    </w:pPr>
    <w:rPr>
      <w:sz w:val="32"/>
      <w:szCs w:val="32"/>
    </w:rPr>
  </w:style>
  <w:style w:type="table" w:styleId="Table3Deffects1">
    <w:name w:val="Table 3D effects 1"/>
    <w:basedOn w:val="TableNormal"/>
    <w:semiHidden/>
    <w:rsid w:val="004578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78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78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578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578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578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578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578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578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578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578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578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578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578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578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578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578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578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578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578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578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578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578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578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578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578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578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578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578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578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578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578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578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578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578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578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578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rsid w:val="001653FA"/>
    <w:pPr>
      <w:spacing w:after="60"/>
      <w:ind w:left="2268"/>
      <w:jc w:val="right"/>
      <w:outlineLvl w:val="0"/>
    </w:pPr>
    <w:rPr>
      <w:b/>
      <w:bCs/>
      <w:color w:val="FFFFFF" w:themeColor="background1"/>
      <w:kern w:val="28"/>
      <w:sz w:val="48"/>
      <w:szCs w:val="48"/>
    </w:rPr>
  </w:style>
  <w:style w:type="paragraph" w:customStyle="1" w:styleId="zHeader">
    <w:name w:val="_zHeader"/>
    <w:uiPriority w:val="99"/>
    <w:semiHidden/>
    <w:rsid w:val="0025127D"/>
    <w:rPr>
      <w:lang w:eastAsia="en-US"/>
    </w:rPr>
  </w:style>
  <w:style w:type="character" w:customStyle="1" w:styleId="zRptPgNum">
    <w:name w:val="_zRptPgNum"/>
    <w:uiPriority w:val="99"/>
    <w:rsid w:val="0090189E"/>
    <w:rPr>
      <w:rFonts w:ascii="Calibri" w:hAnsi="Calibri"/>
      <w:color w:val="228591"/>
      <w:sz w:val="16"/>
    </w:rPr>
  </w:style>
  <w:style w:type="paragraph" w:styleId="FootnoteText">
    <w:name w:val="footnote text"/>
    <w:basedOn w:val="Normal"/>
    <w:link w:val="FootnoteTextChar"/>
    <w:rsid w:val="006E23EB"/>
    <w:pPr>
      <w:spacing w:after="85" w:line="170" w:lineRule="atLeast"/>
      <w:ind w:left="142" w:hanging="142"/>
    </w:pPr>
    <w:rPr>
      <w:sz w:val="16"/>
      <w:szCs w:val="20"/>
    </w:rPr>
  </w:style>
  <w:style w:type="character" w:styleId="FootnoteReference">
    <w:name w:val="footnote reference"/>
    <w:rsid w:val="00E90924"/>
    <w:rPr>
      <w:rFonts w:ascii="Arial" w:hAnsi="Arial"/>
      <w:vertAlign w:val="superscript"/>
    </w:rPr>
  </w:style>
  <w:style w:type="paragraph" w:styleId="DocumentMap">
    <w:name w:val="Document Map"/>
    <w:basedOn w:val="Normal"/>
    <w:rsid w:val="00E90924"/>
    <w:pPr>
      <w:shd w:val="clear" w:color="auto" w:fill="000080"/>
    </w:pPr>
    <w:rPr>
      <w:rFonts w:ascii="Tahoma" w:hAnsi="Tahoma" w:cs="Tahoma"/>
      <w:szCs w:val="20"/>
    </w:rPr>
  </w:style>
  <w:style w:type="paragraph" w:styleId="TOC2">
    <w:name w:val="toc 2"/>
    <w:basedOn w:val="Normal"/>
    <w:next w:val="Normal"/>
    <w:autoRedefine/>
    <w:uiPriority w:val="39"/>
    <w:rsid w:val="0071429D"/>
    <w:pPr>
      <w:tabs>
        <w:tab w:val="left" w:pos="567"/>
        <w:tab w:val="right" w:pos="9629"/>
      </w:tabs>
      <w:spacing w:after="60"/>
    </w:pPr>
    <w:rPr>
      <w:bCs/>
      <w:noProof/>
      <w:szCs w:val="20"/>
      <w:lang w:eastAsia="en-AU"/>
    </w:rPr>
  </w:style>
  <w:style w:type="paragraph" w:styleId="TOC1">
    <w:name w:val="toc 1"/>
    <w:basedOn w:val="Normal"/>
    <w:next w:val="Normal"/>
    <w:uiPriority w:val="39"/>
    <w:rsid w:val="00663A5A"/>
    <w:pPr>
      <w:pBdr>
        <w:bottom w:val="dotted" w:sz="12" w:space="3" w:color="228591"/>
        <w:between w:val="dotted" w:sz="12" w:space="1" w:color="228591"/>
      </w:pBdr>
      <w:tabs>
        <w:tab w:val="left" w:pos="567"/>
        <w:tab w:val="right" w:pos="9629"/>
      </w:tabs>
      <w:spacing w:before="320"/>
      <w:contextualSpacing/>
    </w:pPr>
    <w:rPr>
      <w:b/>
      <w:noProof/>
      <w:color w:val="002060"/>
      <w:lang w:val="en-US"/>
    </w:rPr>
  </w:style>
  <w:style w:type="paragraph" w:styleId="TOC3">
    <w:name w:val="toc 3"/>
    <w:basedOn w:val="Normal"/>
    <w:next w:val="Normal"/>
    <w:autoRedefine/>
    <w:uiPriority w:val="39"/>
    <w:rsid w:val="006672D5"/>
    <w:pPr>
      <w:tabs>
        <w:tab w:val="left" w:pos="1276"/>
        <w:tab w:val="right" w:pos="9629"/>
      </w:tabs>
      <w:ind w:left="567"/>
    </w:pPr>
    <w:rPr>
      <w:noProof/>
    </w:rPr>
  </w:style>
  <w:style w:type="paragraph" w:customStyle="1" w:styleId="TOCtitle">
    <w:name w:val="TOC title"/>
    <w:basedOn w:val="Heading1"/>
    <w:next w:val="TOC1"/>
    <w:rsid w:val="00243764"/>
  </w:style>
  <w:style w:type="paragraph" w:customStyle="1" w:styleId="Accessibilitytext">
    <w:name w:val="Accessibility text"/>
    <w:basedOn w:val="Normal"/>
    <w:qFormat/>
    <w:rsid w:val="007D16B0"/>
    <w:pPr>
      <w:framePr w:hSpace="180" w:wrap="around" w:vAnchor="page" w:hAnchor="margin" w:y="5521"/>
      <w:autoSpaceDE w:val="0"/>
      <w:autoSpaceDN w:val="0"/>
      <w:adjustRightInd w:val="0"/>
      <w:spacing w:after="200" w:line="276" w:lineRule="auto"/>
    </w:pPr>
    <w:rPr>
      <w:rFonts w:eastAsia="Calibri"/>
      <w:sz w:val="28"/>
      <w:szCs w:val="28"/>
    </w:rPr>
  </w:style>
  <w:style w:type="table" w:customStyle="1" w:styleId="DSETable">
    <w:name w:val="DSE_Table"/>
    <w:basedOn w:val="TableGrid"/>
    <w:rsid w:val="001E5CCD"/>
    <w:tblPr>
      <w:tblStyleRowBandSize w:val="1"/>
      <w:tblStyleColBandSize w:val="1"/>
      <w:tblInd w:w="108" w:type="dxa"/>
    </w:tblPr>
    <w:tblStylePr w:type="firstRow">
      <w:rPr>
        <w:rFonts w:ascii="Arial" w:hAnsi="Arial"/>
      </w:rPr>
      <w:tblPr/>
      <w:tcPr>
        <w:shd w:val="clear" w:color="auto" w:fill="A5DBD6"/>
      </w:tcPr>
    </w:tblStylePr>
    <w:tblStylePr w:type="lastRow">
      <w:tblPr/>
      <w:tcPr>
        <w:tcBorders>
          <w:bottom w:val="single" w:sz="4" w:space="0" w:color="3BBEB4"/>
        </w:tcBorders>
      </w:tcPr>
    </w:tblStylePr>
    <w:tblStylePr w:type="firstCol">
      <w:tblPr/>
      <w:tcPr>
        <w:shd w:val="clear" w:color="auto" w:fill="ECF7F6"/>
      </w:tcPr>
    </w:tblStylePr>
    <w:tblStylePr w:type="band2Vert">
      <w:tblPr/>
      <w:tcPr>
        <w:shd w:val="clear" w:color="auto" w:fill="ECF7F6"/>
      </w:tcPr>
    </w:tblStylePr>
    <w:tblStylePr w:type="band1Horz">
      <w:tblPr/>
      <w:tcPr>
        <w:tcBorders>
          <w:bottom w:val="single" w:sz="4" w:space="0" w:color="3BBEB4"/>
          <w:insideH w:val="nil"/>
        </w:tcBorders>
      </w:tcPr>
    </w:tblStylePr>
    <w:tblStylePr w:type="band2Horz">
      <w:tblPr/>
      <w:tcPr>
        <w:tcBorders>
          <w:bottom w:val="single" w:sz="4" w:space="0" w:color="3BBEB4"/>
          <w:insideH w:val="nil"/>
        </w:tcBorders>
      </w:tcPr>
    </w:tblStylePr>
  </w:style>
  <w:style w:type="character" w:customStyle="1" w:styleId="zFtrBold">
    <w:name w:val="_zFtrBold"/>
    <w:uiPriority w:val="99"/>
    <w:rsid w:val="00DC7F99"/>
    <w:rPr>
      <w:rFonts w:ascii="Calibri" w:hAnsi="Calibri"/>
      <w:b/>
      <w:sz w:val="20"/>
    </w:rPr>
  </w:style>
  <w:style w:type="character" w:customStyle="1" w:styleId="BalloonTextChar">
    <w:name w:val="Balloon Text Char"/>
    <w:link w:val="BalloonText"/>
    <w:semiHidden/>
    <w:rsid w:val="00DC1725"/>
    <w:rPr>
      <w:rFonts w:ascii="Tahoma" w:hAnsi="Tahoma" w:cs="Tahoma"/>
      <w:sz w:val="16"/>
      <w:szCs w:val="16"/>
      <w:lang w:eastAsia="en-US"/>
    </w:rPr>
  </w:style>
  <w:style w:type="character" w:styleId="CommentReference">
    <w:name w:val="annotation reference"/>
    <w:uiPriority w:val="99"/>
    <w:rsid w:val="00E90924"/>
    <w:rPr>
      <w:sz w:val="16"/>
      <w:szCs w:val="16"/>
    </w:rPr>
  </w:style>
  <w:style w:type="paragraph" w:styleId="CommentText">
    <w:name w:val="annotation text"/>
    <w:basedOn w:val="Normal"/>
    <w:link w:val="CommentTextChar"/>
    <w:uiPriority w:val="99"/>
    <w:rsid w:val="00E90924"/>
    <w:rPr>
      <w:szCs w:val="20"/>
    </w:rPr>
  </w:style>
  <w:style w:type="character" w:customStyle="1" w:styleId="CommentTextChar">
    <w:name w:val="Comment Text Char"/>
    <w:link w:val="CommentText"/>
    <w:uiPriority w:val="99"/>
    <w:rsid w:val="00DC1725"/>
    <w:rPr>
      <w:rFonts w:ascii="Calibri" w:hAnsi="Calibri"/>
      <w:sz w:val="22"/>
      <w:szCs w:val="20"/>
      <w:lang w:eastAsia="en-US"/>
    </w:rPr>
  </w:style>
  <w:style w:type="paragraph" w:styleId="CommentSubject">
    <w:name w:val="annotation subject"/>
    <w:basedOn w:val="CommentText"/>
    <w:next w:val="CommentText"/>
    <w:link w:val="CommentSubjectChar"/>
    <w:semiHidden/>
    <w:rsid w:val="00E90924"/>
    <w:rPr>
      <w:b/>
      <w:bCs/>
    </w:rPr>
  </w:style>
  <w:style w:type="character" w:customStyle="1" w:styleId="CommentSubjectChar">
    <w:name w:val="Comment Subject Char"/>
    <w:link w:val="CommentSubject"/>
    <w:semiHidden/>
    <w:rsid w:val="00DC1725"/>
    <w:rPr>
      <w:rFonts w:ascii="Calibri" w:hAnsi="Calibri"/>
      <w:b/>
      <w:bCs/>
      <w:sz w:val="22"/>
      <w:szCs w:val="20"/>
      <w:lang w:eastAsia="en-US"/>
    </w:rPr>
  </w:style>
  <w:style w:type="table" w:customStyle="1" w:styleId="DELWPTable">
    <w:name w:val="DELWP_Table"/>
    <w:basedOn w:val="TableNormal"/>
    <w:uiPriority w:val="99"/>
    <w:rsid w:val="005B531E"/>
    <w:tblPr>
      <w:tblInd w:w="108" w:type="dxa"/>
      <w:tblBorders>
        <w:bottom w:val="single" w:sz="4" w:space="0" w:color="00B2A9" w:themeColor="accent1"/>
        <w:insideH w:val="single" w:sz="4" w:space="0" w:color="00B2A9" w:themeColor="accent1"/>
      </w:tblBorders>
    </w:tblPr>
    <w:tblStylePr w:type="firstRow">
      <w:tblPr/>
      <w:tcPr>
        <w:tcBorders>
          <w:top w:val="nil"/>
          <w:left w:val="nil"/>
          <w:bottom w:val="nil"/>
          <w:right w:val="nil"/>
          <w:insideH w:val="nil"/>
          <w:insideV w:val="nil"/>
          <w:tl2br w:val="nil"/>
          <w:tr2bl w:val="nil"/>
        </w:tcBorders>
        <w:shd w:val="clear" w:color="auto" w:fill="00B2A9" w:themeFill="accent1"/>
      </w:tcPr>
    </w:tblStylePr>
  </w:style>
  <w:style w:type="paragraph" w:customStyle="1" w:styleId="ImprintText">
    <w:name w:val="_ImprintText"/>
    <w:uiPriority w:val="9"/>
    <w:rsid w:val="00DC7F99"/>
    <w:pPr>
      <w:spacing w:after="85" w:line="170" w:lineRule="atLeast"/>
    </w:pPr>
    <w:rPr>
      <w:rFonts w:ascii="Calibri" w:hAnsi="Calibri" w:cs="Arial"/>
      <w:sz w:val="16"/>
      <w:szCs w:val="14"/>
      <w:lang w:eastAsia="en-US"/>
    </w:rPr>
  </w:style>
  <w:style w:type="character" w:styleId="SubtleEmphasis">
    <w:name w:val="Subtle Emphasis"/>
    <w:basedOn w:val="DefaultParagraphFont"/>
    <w:uiPriority w:val="19"/>
    <w:rsid w:val="00F968EA"/>
    <w:rPr>
      <w:rFonts w:ascii="Calibri" w:hAnsi="Calibri"/>
      <w:i/>
      <w:iCs/>
      <w:color w:val="9C9A98" w:themeColor="text1" w:themeTint="7F"/>
    </w:rPr>
  </w:style>
  <w:style w:type="character" w:styleId="IntenseEmphasis">
    <w:name w:val="Intense Emphasis"/>
    <w:basedOn w:val="DefaultParagraphFont"/>
    <w:uiPriority w:val="21"/>
    <w:rsid w:val="00F968EA"/>
    <w:rPr>
      <w:rFonts w:ascii="Calibri" w:hAnsi="Calibri"/>
      <w:b/>
      <w:bCs/>
      <w:i/>
      <w:iCs/>
      <w:color w:val="228591"/>
    </w:rPr>
  </w:style>
  <w:style w:type="character" w:styleId="BookTitle">
    <w:name w:val="Book Title"/>
    <w:basedOn w:val="DefaultParagraphFont"/>
    <w:uiPriority w:val="33"/>
    <w:rsid w:val="00F968EA"/>
    <w:rPr>
      <w:rFonts w:ascii="Calibri" w:hAnsi="Calibri"/>
      <w:b/>
      <w:bCs/>
      <w:smallCaps/>
      <w:spacing w:val="5"/>
    </w:rPr>
  </w:style>
  <w:style w:type="paragraph" w:customStyle="1" w:styleId="Backpagewebaddress">
    <w:name w:val="Back page web address"/>
    <w:basedOn w:val="Subtitle"/>
    <w:rsid w:val="007B1750"/>
    <w:pPr>
      <w:ind w:left="0"/>
      <w:jc w:val="left"/>
    </w:pPr>
  </w:style>
  <w:style w:type="paragraph" w:customStyle="1" w:styleId="Authorscover">
    <w:name w:val="Authors cover"/>
    <w:basedOn w:val="Subtitle"/>
    <w:rsid w:val="00660BBC"/>
    <w:pPr>
      <w:ind w:left="993"/>
    </w:pPr>
  </w:style>
  <w:style w:type="paragraph" w:customStyle="1" w:styleId="Frontcoverauthors">
    <w:name w:val="Front cover authors"/>
    <w:basedOn w:val="Normal"/>
    <w:rsid w:val="0019280B"/>
    <w:pPr>
      <w:keepNext/>
      <w:autoSpaceDE w:val="0"/>
      <w:autoSpaceDN w:val="0"/>
      <w:adjustRightInd w:val="0"/>
      <w:spacing w:before="40" w:after="40"/>
      <w:outlineLvl w:val="0"/>
    </w:pPr>
    <w:rPr>
      <w:rFonts w:ascii="Tahoma" w:hAnsi="Tahoma" w:cs="Tahoma"/>
      <w:bCs/>
      <w:color w:val="FFFFFF"/>
      <w:kern w:val="32"/>
      <w:sz w:val="36"/>
      <w:szCs w:val="32"/>
      <w:lang w:eastAsia="en-AU"/>
    </w:rPr>
  </w:style>
  <w:style w:type="paragraph" w:customStyle="1" w:styleId="Frontcoverreportseries">
    <w:name w:val="Front cover report series"/>
    <w:basedOn w:val="Normal"/>
    <w:rsid w:val="0019280B"/>
    <w:pPr>
      <w:keepNext/>
      <w:autoSpaceDE w:val="0"/>
      <w:autoSpaceDN w:val="0"/>
      <w:adjustRightInd w:val="0"/>
      <w:spacing w:before="240" w:after="240"/>
      <w:outlineLvl w:val="0"/>
    </w:pPr>
    <w:rPr>
      <w:rFonts w:ascii="Tahoma" w:hAnsi="Tahoma" w:cs="Tahoma"/>
      <w:bCs/>
      <w:color w:val="FFFFFF"/>
      <w:kern w:val="32"/>
      <w:sz w:val="24"/>
      <w:szCs w:val="32"/>
      <w:lang w:eastAsia="en-AU"/>
    </w:rPr>
  </w:style>
  <w:style w:type="paragraph" w:customStyle="1" w:styleId="imprint">
    <w:name w:val="imprint"/>
    <w:basedOn w:val="Normal"/>
    <w:rsid w:val="00980E26"/>
    <w:pPr>
      <w:spacing w:after="80" w:line="220" w:lineRule="exact"/>
    </w:pPr>
    <w:rPr>
      <w:rFonts w:ascii="Times New Roman" w:hAnsi="Times New Roman"/>
      <w:sz w:val="18"/>
      <w:lang w:eastAsia="en-AU"/>
    </w:rPr>
  </w:style>
  <w:style w:type="character" w:customStyle="1" w:styleId="st">
    <w:name w:val="st"/>
    <w:rsid w:val="00DB3335"/>
  </w:style>
  <w:style w:type="character" w:customStyle="1" w:styleId="Heading5Char">
    <w:name w:val="Heading 5 Char"/>
    <w:aliases w:val="- Title Char"/>
    <w:link w:val="Heading5"/>
    <w:locked/>
    <w:rsid w:val="00F968EA"/>
    <w:rPr>
      <w:rFonts w:ascii="Calibri" w:hAnsi="Calibri"/>
      <w:b/>
      <w:bCs/>
      <w:i/>
      <w:iCs/>
      <w:sz w:val="26"/>
      <w:szCs w:val="26"/>
      <w:lang w:eastAsia="en-US"/>
    </w:rPr>
  </w:style>
  <w:style w:type="paragraph" w:styleId="ListParagraph">
    <w:name w:val="List Paragraph"/>
    <w:basedOn w:val="Normal"/>
    <w:uiPriority w:val="34"/>
    <w:rsid w:val="00F968EA"/>
    <w:pPr>
      <w:spacing w:line="270" w:lineRule="exact"/>
      <w:ind w:left="720"/>
      <w:contextualSpacing/>
    </w:pPr>
    <w:rPr>
      <w:rFonts w:ascii="Times New Roman" w:hAnsi="Times New Roman"/>
      <w:lang w:eastAsia="en-AU"/>
    </w:rPr>
  </w:style>
  <w:style w:type="character" w:customStyle="1" w:styleId="FootnoteTextChar">
    <w:name w:val="Footnote Text Char"/>
    <w:link w:val="FootnoteText"/>
    <w:locked/>
    <w:rsid w:val="006E23EB"/>
    <w:rPr>
      <w:rFonts w:ascii="Arial" w:hAnsi="Arial" w:cs="Arial"/>
      <w:sz w:val="16"/>
      <w:lang w:eastAsia="en-US"/>
    </w:rPr>
  </w:style>
  <w:style w:type="paragraph" w:customStyle="1" w:styleId="Tabletext">
    <w:name w:val="Table text"/>
    <w:basedOn w:val="Normal"/>
    <w:rsid w:val="00E90924"/>
    <w:pPr>
      <w:spacing w:before="40" w:after="160" w:line="220" w:lineRule="exact"/>
    </w:pPr>
    <w:rPr>
      <w:rFonts w:ascii="Tahoma" w:hAnsi="Tahoma"/>
      <w:sz w:val="24"/>
      <w:szCs w:val="22"/>
      <w:lang w:eastAsia="en-AU"/>
    </w:rPr>
  </w:style>
  <w:style w:type="paragraph" w:styleId="Revision">
    <w:name w:val="Revision"/>
    <w:hidden/>
    <w:uiPriority w:val="99"/>
    <w:semiHidden/>
    <w:rsid w:val="00E90924"/>
    <w:rPr>
      <w:rFonts w:ascii="Calibri" w:hAnsi="Calibri"/>
      <w:sz w:val="22"/>
      <w:lang w:eastAsia="en-US"/>
    </w:rPr>
  </w:style>
  <w:style w:type="paragraph" w:customStyle="1" w:styleId="Titlepage3">
    <w:name w:val="Title page 3"/>
    <w:basedOn w:val="Heading3"/>
    <w:rsid w:val="00DA7D7F"/>
    <w:pPr>
      <w:spacing w:before="80" w:after="480" w:line="240" w:lineRule="exact"/>
      <w:jc w:val="center"/>
    </w:pPr>
    <w:rPr>
      <w:rFonts w:ascii="Tahoma" w:hAnsi="Tahoma"/>
      <w:b w:val="0"/>
      <w:sz w:val="20"/>
      <w:szCs w:val="22"/>
      <w:lang w:eastAsia="en-AU"/>
    </w:rPr>
  </w:style>
  <w:style w:type="paragraph" w:customStyle="1" w:styleId="Titlepage1">
    <w:name w:val="Title page 1"/>
    <w:basedOn w:val="Heading5"/>
    <w:rsid w:val="00DA7D7F"/>
    <w:pPr>
      <w:spacing w:before="0" w:after="720" w:line="360" w:lineRule="exact"/>
      <w:jc w:val="center"/>
    </w:pPr>
    <w:rPr>
      <w:rFonts w:ascii="Tahoma" w:hAnsi="Tahoma"/>
      <w:i w:val="0"/>
      <w:sz w:val="32"/>
      <w:lang w:eastAsia="en-AU"/>
    </w:rPr>
  </w:style>
  <w:style w:type="paragraph" w:customStyle="1" w:styleId="Titlepage2">
    <w:name w:val="Title page 2"/>
    <w:basedOn w:val="Heading2"/>
    <w:rsid w:val="00DA7D7F"/>
    <w:pPr>
      <w:spacing w:before="160" w:after="1200" w:line="280" w:lineRule="exact"/>
      <w:jc w:val="center"/>
    </w:pPr>
    <w:rPr>
      <w:rFonts w:ascii="Tahoma" w:hAnsi="Tahoma"/>
      <w:b w:val="0"/>
      <w:i/>
      <w:sz w:val="24"/>
      <w:lang w:eastAsia="en-AU"/>
    </w:rPr>
  </w:style>
  <w:style w:type="character" w:customStyle="1" w:styleId="kno-fv-vq">
    <w:name w:val="kno-fv-vq"/>
    <w:rsid w:val="00FD346A"/>
  </w:style>
  <w:style w:type="paragraph" w:customStyle="1" w:styleId="references">
    <w:name w:val="references"/>
    <w:basedOn w:val="Normal"/>
    <w:rsid w:val="00C27B6E"/>
    <w:pPr>
      <w:spacing w:line="270" w:lineRule="exact"/>
      <w:ind w:left="709" w:hanging="709"/>
    </w:pPr>
    <w:rPr>
      <w:rFonts w:ascii="Times New Roman" w:hAnsi="Times New Roman"/>
      <w:lang w:eastAsia="en-AU"/>
    </w:rPr>
  </w:style>
  <w:style w:type="paragraph" w:styleId="Caption0">
    <w:name w:val="caption"/>
    <w:basedOn w:val="Normal"/>
    <w:next w:val="Normal"/>
    <w:link w:val="CaptionChar"/>
    <w:unhideWhenUsed/>
    <w:rsid w:val="00F968EA"/>
    <w:pPr>
      <w:spacing w:after="200"/>
    </w:pPr>
    <w:rPr>
      <w:b/>
      <w:bCs/>
      <w:color w:val="00B2A9" w:themeColor="accent1"/>
      <w:sz w:val="18"/>
      <w:szCs w:val="18"/>
    </w:rPr>
  </w:style>
  <w:style w:type="paragraph" w:customStyle="1" w:styleId="Bullets">
    <w:name w:val="Bullets"/>
    <w:basedOn w:val="Normal"/>
    <w:rsid w:val="004C23B0"/>
    <w:pPr>
      <w:numPr>
        <w:numId w:val="15"/>
      </w:numPr>
      <w:tabs>
        <w:tab w:val="left" w:pos="284"/>
      </w:tabs>
      <w:spacing w:after="60" w:line="270" w:lineRule="exact"/>
    </w:pPr>
    <w:rPr>
      <w:rFonts w:ascii="Times New Roman" w:hAnsi="Times New Roman"/>
      <w:szCs w:val="20"/>
      <w:lang w:eastAsia="en-AU"/>
    </w:rPr>
  </w:style>
  <w:style w:type="paragraph" w:styleId="TOC4">
    <w:name w:val="toc 4"/>
    <w:basedOn w:val="Normal"/>
    <w:next w:val="Normal"/>
    <w:autoRedefine/>
    <w:semiHidden/>
    <w:rsid w:val="001D2FBB"/>
    <w:pPr>
      <w:ind w:left="660"/>
    </w:pPr>
  </w:style>
  <w:style w:type="paragraph" w:styleId="TOC5">
    <w:name w:val="toc 5"/>
    <w:basedOn w:val="Normal"/>
    <w:next w:val="Normal"/>
    <w:autoRedefine/>
    <w:semiHidden/>
    <w:rsid w:val="001D2FBB"/>
    <w:pPr>
      <w:ind w:left="880"/>
    </w:pPr>
  </w:style>
  <w:style w:type="paragraph" w:styleId="TOC6">
    <w:name w:val="toc 6"/>
    <w:basedOn w:val="Normal"/>
    <w:next w:val="Normal"/>
    <w:autoRedefine/>
    <w:semiHidden/>
    <w:rsid w:val="001D2FBB"/>
    <w:pPr>
      <w:ind w:left="1100"/>
    </w:pPr>
  </w:style>
  <w:style w:type="paragraph" w:styleId="TOC7">
    <w:name w:val="toc 7"/>
    <w:basedOn w:val="Normal"/>
    <w:next w:val="Normal"/>
    <w:autoRedefine/>
    <w:semiHidden/>
    <w:rsid w:val="001D2FBB"/>
    <w:pPr>
      <w:ind w:left="1320"/>
    </w:pPr>
  </w:style>
  <w:style w:type="paragraph" w:styleId="TOC8">
    <w:name w:val="toc 8"/>
    <w:basedOn w:val="Normal"/>
    <w:next w:val="Normal"/>
    <w:autoRedefine/>
    <w:semiHidden/>
    <w:rsid w:val="001D2FBB"/>
    <w:pPr>
      <w:ind w:left="1540"/>
    </w:pPr>
  </w:style>
  <w:style w:type="paragraph" w:styleId="TOC9">
    <w:name w:val="toc 9"/>
    <w:basedOn w:val="Normal"/>
    <w:next w:val="Normal"/>
    <w:autoRedefine/>
    <w:semiHidden/>
    <w:rsid w:val="001D2FBB"/>
    <w:pPr>
      <w:ind w:left="1760"/>
    </w:pPr>
  </w:style>
  <w:style w:type="paragraph" w:styleId="TableofFigures">
    <w:name w:val="table of figures"/>
    <w:basedOn w:val="Normal"/>
    <w:next w:val="Normal"/>
    <w:uiPriority w:val="99"/>
    <w:rsid w:val="00FE4E7A"/>
    <w:pPr>
      <w:tabs>
        <w:tab w:val="right" w:leader="dot" w:pos="9629"/>
      </w:tabs>
      <w:ind w:left="720" w:hanging="720"/>
    </w:pPr>
    <w:rPr>
      <w:noProof/>
      <w:szCs w:val="20"/>
    </w:rPr>
  </w:style>
  <w:style w:type="paragraph" w:customStyle="1" w:styleId="Bullets-Last">
    <w:name w:val="Bullets - Last"/>
    <w:basedOn w:val="Bullets"/>
    <w:rsid w:val="00E90924"/>
    <w:pPr>
      <w:numPr>
        <w:numId w:val="2"/>
      </w:numPr>
      <w:spacing w:after="120"/>
    </w:pPr>
  </w:style>
  <w:style w:type="paragraph" w:customStyle="1" w:styleId="Bullets2">
    <w:name w:val="Bullets 2"/>
    <w:basedOn w:val="Bullets"/>
    <w:rsid w:val="00E90924"/>
    <w:pPr>
      <w:numPr>
        <w:numId w:val="16"/>
      </w:numPr>
      <w:tabs>
        <w:tab w:val="clear" w:pos="794"/>
        <w:tab w:val="left" w:pos="567"/>
      </w:tabs>
    </w:pPr>
  </w:style>
  <w:style w:type="paragraph" w:customStyle="1" w:styleId="Bullets2-Last">
    <w:name w:val="Bullets 2 - Last"/>
    <w:basedOn w:val="Bullets2"/>
    <w:rsid w:val="00E90924"/>
    <w:pPr>
      <w:spacing w:after="160"/>
    </w:pPr>
  </w:style>
  <w:style w:type="character" w:customStyle="1" w:styleId="Heading4Char">
    <w:name w:val="Heading 4 Char"/>
    <w:link w:val="Heading4"/>
    <w:rsid w:val="007D16B0"/>
    <w:rPr>
      <w:rFonts w:ascii="Arial" w:hAnsi="Arial" w:cs="Arial"/>
      <w:b/>
      <w:i/>
      <w:sz w:val="22"/>
      <w:szCs w:val="24"/>
      <w:lang w:eastAsia="en-US"/>
    </w:rPr>
  </w:style>
  <w:style w:type="paragraph" w:customStyle="1" w:styleId="Heading4-Numbered">
    <w:name w:val="Heading 4 -Numbered"/>
    <w:basedOn w:val="Heading4"/>
    <w:rsid w:val="006F6E3A"/>
    <w:pPr>
      <w:numPr>
        <w:ilvl w:val="3"/>
        <w:numId w:val="30"/>
      </w:numPr>
      <w:spacing w:before="40" w:after="0" w:line="200" w:lineRule="exact"/>
    </w:pPr>
    <w:rPr>
      <w:rFonts w:ascii="Tahoma" w:hAnsi="Tahoma"/>
      <w:sz w:val="18"/>
      <w:lang w:eastAsia="en-AU"/>
    </w:rPr>
  </w:style>
  <w:style w:type="paragraph" w:customStyle="1" w:styleId="Heading3-Numbered">
    <w:name w:val="Heading 3 - Numbered"/>
    <w:basedOn w:val="Heading3"/>
    <w:autoRedefine/>
    <w:qFormat/>
    <w:rsid w:val="006F6E3A"/>
    <w:pPr>
      <w:numPr>
        <w:ilvl w:val="2"/>
        <w:numId w:val="30"/>
      </w:numPr>
      <w:tabs>
        <w:tab w:val="clear" w:pos="720"/>
        <w:tab w:val="left" w:pos="851"/>
      </w:tabs>
      <w:spacing w:line="240" w:lineRule="atLeast"/>
    </w:pPr>
    <w:rPr>
      <w:sz w:val="22"/>
      <w:lang w:eastAsia="en-AU"/>
    </w:rPr>
  </w:style>
  <w:style w:type="paragraph" w:customStyle="1" w:styleId="Heading2-Numbered">
    <w:name w:val="Heading 2 - Numbered"/>
    <w:basedOn w:val="Heading2"/>
    <w:autoRedefine/>
    <w:qFormat/>
    <w:rsid w:val="00544ADA"/>
    <w:pPr>
      <w:numPr>
        <w:ilvl w:val="1"/>
        <w:numId w:val="30"/>
      </w:numPr>
      <w:tabs>
        <w:tab w:val="left" w:pos="851"/>
      </w:tabs>
    </w:pPr>
    <w:rPr>
      <w:sz w:val="24"/>
      <w:szCs w:val="28"/>
      <w:lang w:eastAsia="en-AU"/>
    </w:rPr>
  </w:style>
  <w:style w:type="paragraph" w:customStyle="1" w:styleId="Heading1-Numbered">
    <w:name w:val="Heading 1 - Numbered"/>
    <w:basedOn w:val="Heading1"/>
    <w:link w:val="Heading1-NumberedChar"/>
    <w:qFormat/>
    <w:rsid w:val="006F6E3A"/>
    <w:pPr>
      <w:numPr>
        <w:numId w:val="30"/>
      </w:numPr>
      <w:tabs>
        <w:tab w:val="left" w:pos="851"/>
      </w:tabs>
      <w:spacing w:line="460" w:lineRule="exact"/>
    </w:pPr>
    <w:rPr>
      <w:lang w:eastAsia="en-AU"/>
    </w:rPr>
  </w:style>
  <w:style w:type="paragraph" w:customStyle="1" w:styleId="Tableheading">
    <w:name w:val="Table heading"/>
    <w:link w:val="TableheadingChar"/>
    <w:rsid w:val="00E90924"/>
    <w:pPr>
      <w:spacing w:before="80" w:after="40" w:line="220" w:lineRule="exact"/>
    </w:pPr>
    <w:rPr>
      <w:rFonts w:ascii="Tahoma" w:hAnsi="Tahoma"/>
      <w:b/>
      <w:sz w:val="18"/>
    </w:rPr>
  </w:style>
  <w:style w:type="paragraph" w:customStyle="1" w:styleId="Figureheading">
    <w:name w:val="Figure heading"/>
    <w:basedOn w:val="Tableheading"/>
    <w:rsid w:val="00E90924"/>
  </w:style>
  <w:style w:type="character" w:customStyle="1" w:styleId="Heading1Char">
    <w:name w:val="Heading 1 Char"/>
    <w:link w:val="Heading1"/>
    <w:uiPriority w:val="99"/>
    <w:rsid w:val="00411D4B"/>
    <w:rPr>
      <w:rFonts w:ascii="Arial" w:hAnsi="Arial" w:cs="Arial"/>
      <w:b/>
      <w:color w:val="002060"/>
      <w:sz w:val="32"/>
      <w:szCs w:val="32"/>
      <w:lang w:val="en-US" w:eastAsia="en-US"/>
    </w:rPr>
  </w:style>
  <w:style w:type="character" w:customStyle="1" w:styleId="Heading1-NumberedChar">
    <w:name w:val="Heading 1 - Numbered Char"/>
    <w:link w:val="Heading1-Numbered"/>
    <w:rsid w:val="00704099"/>
    <w:rPr>
      <w:rFonts w:ascii="Arial" w:hAnsi="Arial" w:cs="Arial"/>
      <w:b/>
      <w:color w:val="00B2A9" w:themeColor="accent1"/>
      <w:sz w:val="32"/>
      <w:szCs w:val="32"/>
      <w:lang w:val="en-US"/>
    </w:rPr>
  </w:style>
  <w:style w:type="character" w:customStyle="1" w:styleId="TableheadingChar">
    <w:name w:val="Table heading Char"/>
    <w:link w:val="Tableheading"/>
    <w:rsid w:val="00E90924"/>
    <w:rPr>
      <w:rFonts w:ascii="Tahoma" w:hAnsi="Tahoma"/>
      <w:b/>
      <w:sz w:val="18"/>
    </w:rPr>
  </w:style>
  <w:style w:type="paragraph" w:customStyle="1" w:styleId="Tabletextbold">
    <w:name w:val="Table text bold"/>
    <w:basedOn w:val="Tabletext"/>
    <w:rsid w:val="00E90924"/>
    <w:rPr>
      <w:b/>
      <w:sz w:val="18"/>
      <w:szCs w:val="24"/>
    </w:rPr>
  </w:style>
  <w:style w:type="paragraph" w:customStyle="1" w:styleId="Numberedlist">
    <w:name w:val="Numbered list"/>
    <w:basedOn w:val="Bullets"/>
    <w:rsid w:val="00E90924"/>
    <w:pPr>
      <w:numPr>
        <w:numId w:val="18"/>
      </w:numPr>
    </w:pPr>
  </w:style>
  <w:style w:type="paragraph" w:customStyle="1" w:styleId="Numberedlist-Last">
    <w:name w:val="Numbered list - Last"/>
    <w:basedOn w:val="Numberedlist"/>
    <w:rsid w:val="00E90924"/>
    <w:pPr>
      <w:spacing w:after="120"/>
      <w:ind w:left="357" w:hanging="357"/>
    </w:pPr>
  </w:style>
  <w:style w:type="paragraph" w:customStyle="1" w:styleId="Frontcoverheading">
    <w:name w:val="Front cover heading"/>
    <w:basedOn w:val="Heading1"/>
    <w:rsid w:val="00E90924"/>
    <w:pPr>
      <w:autoSpaceDE w:val="0"/>
      <w:autoSpaceDN w:val="0"/>
      <w:adjustRightInd w:val="0"/>
      <w:spacing w:before="120" w:after="120"/>
    </w:pPr>
    <w:rPr>
      <w:rFonts w:ascii="Tahoma" w:hAnsi="Tahoma" w:cs="Tahoma"/>
      <w:b w:val="0"/>
      <w:color w:val="000080"/>
      <w:sz w:val="52"/>
      <w:lang w:eastAsia="en-AU"/>
    </w:rPr>
  </w:style>
  <w:style w:type="paragraph" w:customStyle="1" w:styleId="Frontcoverdate">
    <w:name w:val="Front cover date"/>
    <w:basedOn w:val="Frontcoverauthors"/>
    <w:rsid w:val="00E90924"/>
    <w:pPr>
      <w:spacing w:before="0" w:after="600"/>
    </w:pPr>
    <w:rPr>
      <w:b/>
      <w:sz w:val="28"/>
    </w:rPr>
  </w:style>
  <w:style w:type="character" w:customStyle="1" w:styleId="CharChar5">
    <w:name w:val="Char Char5"/>
    <w:rsid w:val="00E90924"/>
    <w:rPr>
      <w:rFonts w:ascii="Tahoma" w:hAnsi="Tahoma" w:cs="Arial"/>
      <w:b/>
      <w:bCs/>
      <w:kern w:val="32"/>
      <w:sz w:val="28"/>
      <w:szCs w:val="32"/>
      <w:lang w:val="en-AU" w:eastAsia="en-AU" w:bidi="ar-SA"/>
    </w:rPr>
  </w:style>
  <w:style w:type="character" w:customStyle="1" w:styleId="illustration">
    <w:name w:val="illustration"/>
    <w:basedOn w:val="DefaultParagraphFont"/>
    <w:rsid w:val="00E90924"/>
  </w:style>
  <w:style w:type="character" w:customStyle="1" w:styleId="maintitle">
    <w:name w:val="maintitle"/>
    <w:rsid w:val="00E90924"/>
  </w:style>
  <w:style w:type="paragraph" w:customStyle="1" w:styleId="Numberedlist-last0">
    <w:name w:val="Numbered list-last"/>
    <w:basedOn w:val="Numberedlist"/>
    <w:rsid w:val="00F968EA"/>
    <w:pPr>
      <w:numPr>
        <w:numId w:val="0"/>
      </w:numPr>
      <w:spacing w:after="120"/>
    </w:pPr>
  </w:style>
  <w:style w:type="paragraph" w:customStyle="1" w:styleId="Caption-Table">
    <w:name w:val="Caption - Table"/>
    <w:basedOn w:val="Caption0"/>
    <w:next w:val="Normal"/>
    <w:qFormat/>
    <w:rsid w:val="00FF1205"/>
    <w:pPr>
      <w:keepNext/>
      <w:keepLines/>
      <w:spacing w:before="200" w:after="120"/>
    </w:pPr>
    <w:rPr>
      <w:color w:val="201547" w:themeColor="accent3"/>
      <w:sz w:val="20"/>
      <w:szCs w:val="22"/>
    </w:rPr>
  </w:style>
  <w:style w:type="paragraph" w:customStyle="1" w:styleId="Para0">
    <w:name w:val="Para 0"/>
    <w:aliases w:val="Auto,After:  3 pt"/>
    <w:basedOn w:val="Normal"/>
    <w:link w:val="Para0Char"/>
    <w:rsid w:val="00F968EA"/>
    <w:pPr>
      <w:spacing w:before="240" w:line="240" w:lineRule="atLeast"/>
    </w:pPr>
    <w:rPr>
      <w:rFonts w:eastAsiaTheme="minorEastAsia" w:cstheme="minorBidi"/>
    </w:rPr>
  </w:style>
  <w:style w:type="character" w:customStyle="1" w:styleId="Para0Char">
    <w:name w:val="Para 0 Char"/>
    <w:aliases w:val="Auto Char,After:  3 pt Char Char"/>
    <w:basedOn w:val="DefaultParagraphFont"/>
    <w:link w:val="Para0"/>
    <w:rsid w:val="00F968EA"/>
    <w:rPr>
      <w:rFonts w:ascii="Arial" w:eastAsiaTheme="minorEastAsia" w:hAnsi="Arial" w:cstheme="minorBidi"/>
      <w:szCs w:val="24"/>
      <w:lang w:eastAsia="en-US"/>
    </w:rPr>
  </w:style>
  <w:style w:type="paragraph" w:customStyle="1" w:styleId="Caption-Figure">
    <w:name w:val="Caption - Figure"/>
    <w:basedOn w:val="Caption0"/>
    <w:next w:val="Normal"/>
    <w:autoRedefine/>
    <w:qFormat/>
    <w:rsid w:val="00DF30F0"/>
    <w:pPr>
      <w:keepLines/>
      <w:spacing w:before="120" w:after="40"/>
    </w:pPr>
    <w:rPr>
      <w:color w:val="201547" w:themeColor="accent3"/>
      <w:sz w:val="20"/>
      <w:szCs w:val="20"/>
      <w:lang w:eastAsia="en-AU"/>
    </w:rPr>
  </w:style>
  <w:style w:type="paragraph" w:customStyle="1" w:styleId="Figure">
    <w:name w:val="Figure"/>
    <w:basedOn w:val="Normal"/>
    <w:rsid w:val="00F968EA"/>
    <w:pPr>
      <w:keepNext/>
      <w:jc w:val="center"/>
    </w:pPr>
    <w:rPr>
      <w:rFonts w:asciiTheme="minorHAnsi" w:hAnsiTheme="minorHAnsi"/>
      <w:noProof/>
    </w:rPr>
  </w:style>
  <w:style w:type="paragraph" w:customStyle="1" w:styleId="Table-Bullets">
    <w:name w:val="Table-Bullets"/>
    <w:basedOn w:val="Tabletext"/>
    <w:rsid w:val="00F968EA"/>
    <w:pPr>
      <w:numPr>
        <w:numId w:val="19"/>
      </w:numPr>
      <w:spacing w:after="80"/>
      <w:contextualSpacing/>
    </w:pPr>
    <w:rPr>
      <w:rFonts w:asciiTheme="minorHAnsi" w:hAnsiTheme="minorHAnsi"/>
      <w:sz w:val="18"/>
      <w:szCs w:val="18"/>
    </w:rPr>
  </w:style>
  <w:style w:type="paragraph" w:customStyle="1" w:styleId="NormalNoSpaceAfter">
    <w:name w:val="Normal No Space After"/>
    <w:basedOn w:val="Normal"/>
    <w:rsid w:val="00F968EA"/>
    <w:pPr>
      <w:spacing w:after="40"/>
    </w:pPr>
  </w:style>
  <w:style w:type="paragraph" w:customStyle="1" w:styleId="TOCtitle0">
    <w:name w:val="TOC_title"/>
    <w:basedOn w:val="Heading1"/>
    <w:rsid w:val="00F968EA"/>
    <w:pPr>
      <w:spacing w:before="360"/>
    </w:pPr>
    <w:rPr>
      <w:rFonts w:asciiTheme="minorHAnsi" w:hAnsiTheme="minorHAnsi"/>
      <w:b w:val="0"/>
      <w:sz w:val="40"/>
      <w:szCs w:val="40"/>
    </w:rPr>
  </w:style>
  <w:style w:type="paragraph" w:customStyle="1" w:styleId="Normalnumbered">
    <w:name w:val="Normal numbered"/>
    <w:basedOn w:val="ListParagraph"/>
    <w:qFormat/>
    <w:rsid w:val="00FC1339"/>
    <w:pPr>
      <w:numPr>
        <w:numId w:val="20"/>
      </w:numPr>
      <w:spacing w:after="113" w:line="240" w:lineRule="atLeast"/>
      <w:contextualSpacing w:val="0"/>
    </w:pPr>
    <w:rPr>
      <w:rFonts w:ascii="Arial" w:hAnsi="Arial"/>
      <w:szCs w:val="22"/>
    </w:rPr>
  </w:style>
  <w:style w:type="paragraph" w:customStyle="1" w:styleId="References0">
    <w:name w:val="_References"/>
    <w:basedOn w:val="Normal"/>
    <w:rsid w:val="00F968EA"/>
    <w:pPr>
      <w:ind w:left="720" w:hanging="720"/>
    </w:pPr>
    <w:rPr>
      <w:rFonts w:cs="Calibri"/>
      <w:noProof/>
    </w:rPr>
  </w:style>
  <w:style w:type="paragraph" w:customStyle="1" w:styleId="BoxHeading">
    <w:name w:val="Box Heading"/>
    <w:basedOn w:val="Normal"/>
    <w:rsid w:val="00F968EA"/>
    <w:pPr>
      <w:spacing w:after="80"/>
    </w:pPr>
    <w:rPr>
      <w:rFonts w:asciiTheme="minorHAnsi" w:hAnsiTheme="minorHAnsi"/>
      <w:b/>
    </w:rPr>
  </w:style>
  <w:style w:type="paragraph" w:customStyle="1" w:styleId="dotpoints">
    <w:name w:val="dot points"/>
    <w:basedOn w:val="Normal"/>
    <w:qFormat/>
    <w:rsid w:val="00856D1B"/>
    <w:pPr>
      <w:numPr>
        <w:numId w:val="27"/>
      </w:numPr>
      <w:spacing w:before="113" w:after="113" w:line="240" w:lineRule="atLeast"/>
    </w:pPr>
    <w:rPr>
      <w:szCs w:val="22"/>
    </w:rPr>
  </w:style>
  <w:style w:type="paragraph" w:customStyle="1" w:styleId="Sub-bullets">
    <w:name w:val="Sub-bullets"/>
    <w:basedOn w:val="Normal"/>
    <w:rsid w:val="00856D1B"/>
    <w:pPr>
      <w:numPr>
        <w:numId w:val="22"/>
      </w:numPr>
      <w:spacing w:after="113" w:line="240" w:lineRule="atLeast"/>
    </w:pPr>
    <w:rPr>
      <w:szCs w:val="22"/>
    </w:rPr>
  </w:style>
  <w:style w:type="paragraph" w:customStyle="1" w:styleId="dotpointindented">
    <w:name w:val="dot point indented"/>
    <w:basedOn w:val="dotpoints"/>
    <w:qFormat/>
    <w:rsid w:val="00FC1339"/>
    <w:pPr>
      <w:numPr>
        <w:numId w:val="28"/>
      </w:numPr>
    </w:pPr>
  </w:style>
  <w:style w:type="paragraph" w:customStyle="1" w:styleId="Z">
    <w:name w:val="Z"/>
    <w:basedOn w:val="Normal"/>
    <w:rsid w:val="00F968EA"/>
    <w:rPr>
      <w:b/>
      <w:u w:val="single"/>
    </w:rPr>
  </w:style>
  <w:style w:type="paragraph" w:customStyle="1" w:styleId="TableHeadingFilled">
    <w:name w:val="Table Heading Filled"/>
    <w:basedOn w:val="Normal"/>
    <w:rsid w:val="00F968EA"/>
    <w:rPr>
      <w:rFonts w:asciiTheme="minorHAnsi" w:eastAsiaTheme="minorHAnsi" w:hAnsiTheme="minorHAnsi" w:cs="Tahoma"/>
      <w:b/>
      <w:color w:val="000000"/>
      <w:szCs w:val="22"/>
    </w:rPr>
  </w:style>
  <w:style w:type="paragraph" w:customStyle="1" w:styleId="TableHeadingBold">
    <w:name w:val="Table Heading Bold"/>
    <w:basedOn w:val="TableHeadingFilled"/>
    <w:rsid w:val="00F968EA"/>
  </w:style>
  <w:style w:type="paragraph" w:customStyle="1" w:styleId="Figurecaption">
    <w:name w:val="Figure caption"/>
    <w:basedOn w:val="Caption-Figure"/>
    <w:rsid w:val="00F968EA"/>
  </w:style>
  <w:style w:type="paragraph" w:customStyle="1" w:styleId="Figuretitle">
    <w:name w:val="Figure title"/>
    <w:basedOn w:val="Caption-Figure"/>
    <w:rsid w:val="00F968EA"/>
  </w:style>
  <w:style w:type="paragraph" w:customStyle="1" w:styleId="Thefiguretitle">
    <w:name w:val="The figure title"/>
    <w:basedOn w:val="Caption-Figure"/>
    <w:rsid w:val="00F968EA"/>
    <w:rPr>
      <w:b w:val="0"/>
    </w:rPr>
  </w:style>
  <w:style w:type="paragraph" w:customStyle="1" w:styleId="Thetabletitle">
    <w:name w:val="The table title"/>
    <w:basedOn w:val="Caption-Table"/>
    <w:rsid w:val="00F968EA"/>
  </w:style>
  <w:style w:type="paragraph" w:customStyle="1" w:styleId="Thetablecaption">
    <w:name w:val="The table caption"/>
    <w:basedOn w:val="Thetabletitle"/>
    <w:rsid w:val="00F968EA"/>
    <w:rPr>
      <w:b w:val="0"/>
      <w:szCs w:val="20"/>
    </w:rPr>
  </w:style>
  <w:style w:type="character" w:customStyle="1" w:styleId="Heading3Char">
    <w:name w:val="Heading 3 Char"/>
    <w:basedOn w:val="DefaultParagraphFont"/>
    <w:link w:val="Heading3"/>
    <w:rsid w:val="007D16B0"/>
    <w:rPr>
      <w:rFonts w:ascii="Arial" w:hAnsi="Arial" w:cs="Arial"/>
      <w:b/>
      <w:sz w:val="24"/>
      <w:szCs w:val="24"/>
      <w:lang w:eastAsia="en-US"/>
    </w:rPr>
  </w:style>
  <w:style w:type="character" w:customStyle="1" w:styleId="CaptionChar">
    <w:name w:val="Caption Char"/>
    <w:link w:val="Caption0"/>
    <w:rsid w:val="00F968EA"/>
    <w:rPr>
      <w:rFonts w:ascii="Calibri" w:hAnsi="Calibri"/>
      <w:b/>
      <w:bCs/>
      <w:color w:val="00B2A9" w:themeColor="accent1"/>
      <w:sz w:val="18"/>
      <w:szCs w:val="18"/>
      <w:lang w:eastAsia="en-US"/>
    </w:rPr>
  </w:style>
  <w:style w:type="character" w:customStyle="1" w:styleId="TitleChar">
    <w:name w:val="Title Char"/>
    <w:basedOn w:val="DefaultParagraphFont"/>
    <w:link w:val="Title"/>
    <w:rsid w:val="001653FA"/>
    <w:rPr>
      <w:rFonts w:ascii="Arial" w:hAnsi="Arial" w:cs="Arial"/>
      <w:b/>
      <w:bCs/>
      <w:color w:val="FFFFFF" w:themeColor="background1"/>
      <w:kern w:val="28"/>
      <w:sz w:val="48"/>
      <w:szCs w:val="48"/>
      <w:lang w:eastAsia="en-US"/>
    </w:rPr>
  </w:style>
  <w:style w:type="character" w:customStyle="1" w:styleId="SubtitleChar">
    <w:name w:val="Subtitle Char"/>
    <w:basedOn w:val="DefaultParagraphFont"/>
    <w:link w:val="Subtitle"/>
    <w:rsid w:val="00477B29"/>
    <w:rPr>
      <w:rFonts w:ascii="Arial" w:hAnsi="Arial" w:cs="Arial"/>
      <w:b/>
      <w:bCs/>
      <w:color w:val="FFFFFF" w:themeColor="background1"/>
      <w:kern w:val="28"/>
      <w:sz w:val="32"/>
      <w:szCs w:val="32"/>
      <w:lang w:eastAsia="en-US"/>
    </w:rPr>
  </w:style>
  <w:style w:type="paragraph" w:customStyle="1" w:styleId="References1">
    <w:name w:val="References"/>
    <w:basedOn w:val="Normal"/>
    <w:rsid w:val="00776551"/>
    <w:pPr>
      <w:ind w:left="709" w:hanging="709"/>
    </w:pPr>
    <w:rPr>
      <w:rFonts w:asciiTheme="minorHAnsi" w:hAnsiTheme="minorHAnsi" w:cs="Calibri"/>
      <w:noProof/>
    </w:rPr>
  </w:style>
  <w:style w:type="paragraph" w:customStyle="1" w:styleId="ReportReference">
    <w:name w:val="Report Reference"/>
    <w:basedOn w:val="Normal"/>
    <w:rsid w:val="000675CA"/>
    <w:pPr>
      <w:ind w:left="709" w:hanging="709"/>
    </w:pPr>
    <w:rPr>
      <w:i/>
      <w:noProof/>
    </w:rPr>
  </w:style>
  <w:style w:type="table" w:customStyle="1" w:styleId="LogoPlaceholder">
    <w:name w:val="Logo Placeholder"/>
    <w:basedOn w:val="TableNormal"/>
    <w:uiPriority w:val="99"/>
    <w:rsid w:val="006A54EF"/>
    <w:rPr>
      <w:rFonts w:asciiTheme="minorHAnsi" w:hAnsiTheme="minorHAnsi" w:cs="Arial"/>
      <w:color w:val="363534" w:themeColor="text1"/>
    </w:rPr>
    <w:tblPr>
      <w:tblCellSpacing w:w="142" w:type="dxa"/>
      <w:tblCellMar>
        <w:left w:w="0" w:type="dxa"/>
        <w:right w:w="0" w:type="dxa"/>
      </w:tblCellMar>
    </w:tblPr>
    <w:trPr>
      <w:tblCellSpacing w:w="142" w:type="dxa"/>
    </w:trPr>
  </w:style>
  <w:style w:type="character" w:styleId="PlaceholderText">
    <w:name w:val="Placeholder Text"/>
    <w:basedOn w:val="DefaultParagraphFont"/>
    <w:uiPriority w:val="99"/>
    <w:semiHidden/>
    <w:rsid w:val="00243764"/>
    <w:rPr>
      <w:color w:val="808080"/>
    </w:rPr>
  </w:style>
  <w:style w:type="character" w:customStyle="1" w:styleId="FooterChar">
    <w:name w:val="Footer Char"/>
    <w:basedOn w:val="DefaultParagraphFont"/>
    <w:link w:val="Footer"/>
    <w:uiPriority w:val="99"/>
    <w:rsid w:val="00E3679A"/>
    <w:rPr>
      <w:rFonts w:ascii="Calibri" w:hAnsi="Calibri"/>
      <w:sz w:val="22"/>
      <w:szCs w:val="24"/>
      <w:lang w:eastAsia="en-US"/>
    </w:rPr>
  </w:style>
  <w:style w:type="character" w:customStyle="1" w:styleId="Imprint0">
    <w:name w:val="Imprint"/>
    <w:basedOn w:val="DefaultParagraphFont"/>
    <w:rsid w:val="00F56D9E"/>
    <w:rPr>
      <w:rFonts w:ascii="Arial" w:eastAsiaTheme="minorHAnsi" w:hAnsi="Arial"/>
      <w:sz w:val="16"/>
    </w:rPr>
  </w:style>
  <w:style w:type="character" w:styleId="UnresolvedMention">
    <w:name w:val="Unresolved Mention"/>
    <w:basedOn w:val="DefaultParagraphFont"/>
    <w:uiPriority w:val="99"/>
    <w:semiHidden/>
    <w:unhideWhenUsed/>
    <w:rsid w:val="00A32CF2"/>
    <w:rPr>
      <w:color w:val="808080"/>
      <w:shd w:val="clear" w:color="auto" w:fill="E6E6E6"/>
    </w:rPr>
  </w:style>
  <w:style w:type="paragraph" w:customStyle="1" w:styleId="ARIERRefs">
    <w:name w:val="ARIER_Refs"/>
    <w:basedOn w:val="Normal"/>
    <w:uiPriority w:val="99"/>
    <w:rsid w:val="00FC1339"/>
    <w:pPr>
      <w:ind w:left="709" w:hanging="709"/>
    </w:pPr>
    <w:rPr>
      <w:noProof/>
    </w:rPr>
  </w:style>
  <w:style w:type="paragraph" w:customStyle="1" w:styleId="StyleARIERRefs11ptItalic">
    <w:name w:val="Style ARIER_Refs + 11 pt Italic"/>
    <w:basedOn w:val="ARIERRefs"/>
    <w:rsid w:val="00FC1339"/>
    <w:rPr>
      <w:i/>
      <w:iCs/>
    </w:rPr>
  </w:style>
  <w:style w:type="paragraph" w:customStyle="1" w:styleId="StyleSubtitleAuto">
    <w:name w:val="Style Subtitle + Auto"/>
    <w:basedOn w:val="Subtitle"/>
    <w:rsid w:val="00DD09BE"/>
    <w:pPr>
      <w:jc w:val="left"/>
    </w:pPr>
    <w:rPr>
      <w:color w:val="auto"/>
    </w:rPr>
  </w:style>
  <w:style w:type="paragraph" w:customStyle="1" w:styleId="Reportdetails">
    <w:name w:val="Report details"/>
    <w:basedOn w:val="Subtitle"/>
    <w:rsid w:val="00875BDB"/>
    <w:pPr>
      <w:spacing w:before="40" w:after="0"/>
    </w:pPr>
    <w:rPr>
      <w:color w:val="202207" w:themeColor="accent5" w:themeShade="1A"/>
      <w:sz w:val="24"/>
      <w:szCs w:val="24"/>
    </w:rPr>
  </w:style>
  <w:style w:type="paragraph" w:customStyle="1" w:styleId="Titlepagesubtitle">
    <w:name w:val="Title page subtitle"/>
    <w:basedOn w:val="Titlepage1"/>
    <w:qFormat/>
    <w:rsid w:val="008352D5"/>
    <w:pPr>
      <w:spacing w:before="240" w:after="60"/>
      <w:jc w:val="left"/>
    </w:pPr>
    <w:rPr>
      <w:rFonts w:ascii="Arial" w:hAnsi="Arial"/>
    </w:rPr>
  </w:style>
  <w:style w:type="paragraph" w:customStyle="1" w:styleId="Titlepageheading">
    <w:name w:val="Title page heading"/>
    <w:basedOn w:val="Title"/>
    <w:rsid w:val="008352D5"/>
    <w:pPr>
      <w:ind w:left="0"/>
      <w:jc w:val="left"/>
    </w:pPr>
    <w:rPr>
      <w:color w:val="auto"/>
    </w:rPr>
  </w:style>
  <w:style w:type="table" w:customStyle="1" w:styleId="TableAsPlaceholder">
    <w:name w:val="Table As Placeholder"/>
    <w:basedOn w:val="TableNormal"/>
    <w:uiPriority w:val="99"/>
    <w:qFormat/>
    <w:rsid w:val="00BC25ED"/>
    <w:pPr>
      <w:spacing w:line="240" w:lineRule="atLeast"/>
    </w:pPr>
    <w:rPr>
      <w:rFonts w:asciiTheme="minorHAnsi" w:hAnsiTheme="minorHAnsi" w:cs="Arial"/>
      <w:color w:val="363534" w:themeColor="text1"/>
    </w:rPr>
    <w:tblPr>
      <w:tblCellMar>
        <w:left w:w="0" w:type="dxa"/>
        <w:right w:w="0" w:type="dxa"/>
      </w:tblCellMar>
    </w:tblPr>
  </w:style>
  <w:style w:type="paragraph" w:customStyle="1" w:styleId="xDisclaimertext4">
    <w:name w:val="xDisclaimer text 4"/>
    <w:basedOn w:val="Normal"/>
    <w:qFormat/>
    <w:rsid w:val="00BC25ED"/>
    <w:pPr>
      <w:framePr w:hSpace="181" w:wrap="around" w:hAnchor="margin" w:yAlign="bottom"/>
      <w:spacing w:before="60" w:after="60" w:line="210" w:lineRule="atLeast"/>
      <w:ind w:left="284" w:right="3686"/>
      <w:suppressOverlap/>
    </w:pPr>
    <w:rPr>
      <w:rFonts w:asciiTheme="minorHAnsi" w:hAnsiTheme="minorHAnsi"/>
      <w:color w:val="363534" w:themeColor="text1"/>
      <w:sz w:val="18"/>
      <w:szCs w:val="20"/>
      <w:lang w:eastAsia="en-AU"/>
    </w:rPr>
  </w:style>
  <w:style w:type="paragraph" w:customStyle="1" w:styleId="xDisclaimertext6">
    <w:name w:val="xDisclaimer text 6"/>
    <w:basedOn w:val="xDisclaimertext4"/>
    <w:qFormat/>
    <w:rsid w:val="00BC25ED"/>
    <w:pPr>
      <w:framePr w:wrap="around"/>
      <w:spacing w:before="120" w:after="120"/>
    </w:pPr>
    <w:rPr>
      <w:b/>
      <w:color w:val="00B2A9" w:themeColor="accent1"/>
      <w:sz w:val="20"/>
    </w:rPr>
  </w:style>
  <w:style w:type="paragraph" w:customStyle="1" w:styleId="xDisclaimertext5">
    <w:name w:val="xDisclaimer text 5"/>
    <w:basedOn w:val="xDisclaimertext4"/>
    <w:qFormat/>
    <w:rsid w:val="00BC25ED"/>
    <w:pPr>
      <w:framePr w:wrap="around"/>
      <w:spacing w:after="100"/>
      <w:ind w:right="3119"/>
    </w:pPr>
  </w:style>
  <w:style w:type="paragraph" w:customStyle="1" w:styleId="DisclaimerText">
    <w:name w:val="Disclaimer Tex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Cs w:val="20"/>
      <w:lang w:eastAsia="en-AU"/>
    </w:rPr>
  </w:style>
  <w:style w:type="paragraph" w:customStyle="1" w:styleId="SmallBodyText">
    <w:name w:val="Small Body Text"/>
    <w:basedOn w:val="Normal"/>
    <w:qFormat/>
    <w:rsid w:val="007749D1"/>
    <w:pPr>
      <w:spacing w:before="80" w:after="80" w:line="245" w:lineRule="auto"/>
    </w:pPr>
    <w:rPr>
      <w:rFonts w:asciiTheme="minorHAnsi" w:hAnsiTheme="minorHAnsi" w:cs="Times New Roman"/>
      <w:sz w:val="18"/>
      <w:szCs w:val="20"/>
      <w:lang w:eastAsia="en-AU"/>
    </w:rPr>
  </w:style>
  <w:style w:type="paragraph" w:customStyle="1" w:styleId="DisclaimerTextLeftBold">
    <w:name w:val="Disclaimer Text Left Bold"/>
    <w:basedOn w:val="DisclaimerTextLeft"/>
    <w:next w:val="DisclaimerTextLeft"/>
    <w:uiPriority w:val="99"/>
    <w:semiHidden/>
    <w:rsid w:val="007749D1"/>
    <w:pPr>
      <w:framePr w:wrap="around"/>
    </w:pPr>
    <w:rPr>
      <w:b/>
    </w:rPr>
  </w:style>
  <w:style w:type="paragraph" w:customStyle="1" w:styleId="DisclaimerTextLeft">
    <w:name w:val="Disclaimer Text Left"/>
    <w:basedOn w:val="DisclaimerText"/>
    <w:uiPriority w:val="99"/>
    <w:semiHidden/>
    <w:rsid w:val="007749D1"/>
    <w:pPr>
      <w:framePr w:wrap="around"/>
    </w:pPr>
  </w:style>
  <w:style w:type="paragraph" w:customStyle="1" w:styleId="DisclaimerTextRightBold">
    <w:name w:val="Disclaimer Text Right Bold"/>
    <w:basedOn w:val="Normal"/>
    <w:uiPriority w:val="99"/>
    <w:semiHidden/>
    <w:rsid w:val="007749D1"/>
    <w:pPr>
      <w:framePr w:hSpace="181" w:wrap="around" w:hAnchor="margin" w:yAlign="bottom"/>
      <w:spacing w:after="90" w:line="240" w:lineRule="atLeast"/>
      <w:suppressOverlap/>
    </w:pPr>
    <w:rPr>
      <w:rFonts w:ascii="Arial Bold" w:hAnsi="Arial Bold"/>
      <w:color w:val="363534" w:themeColor="text1"/>
      <w:szCs w:val="20"/>
      <w:lang w:eastAsia="en-AU"/>
    </w:rPr>
  </w:style>
  <w:style w:type="paragraph" w:customStyle="1" w:styleId="DisclaimerTextRight12pt">
    <w:name w:val="Disclaimer Text Right 12pt"/>
    <w:basedOn w:val="Normal"/>
    <w:uiPriority w:val="99"/>
    <w:semiHidden/>
    <w:rsid w:val="007749D1"/>
    <w:pPr>
      <w:framePr w:hSpace="181" w:wrap="around" w:hAnchor="margin" w:yAlign="bottom"/>
      <w:spacing w:after="90" w:line="240" w:lineRule="atLeast"/>
      <w:suppressOverlap/>
    </w:pPr>
    <w:rPr>
      <w:rFonts w:asciiTheme="minorHAnsi" w:hAnsiTheme="minorHAnsi"/>
      <w:color w:val="363534" w:themeColor="text1"/>
      <w:sz w:val="24"/>
      <w:szCs w:val="20"/>
      <w:lang w:eastAsia="en-AU"/>
    </w:rPr>
  </w:style>
  <w:style w:type="paragraph" w:customStyle="1" w:styleId="DisclaimerTextRightBold12pt">
    <w:name w:val="Disclaimer Text Right Bold 12 pt"/>
    <w:basedOn w:val="DisclaimerTextRightBold"/>
    <w:next w:val="DisclaimerTextRight12pt"/>
    <w:uiPriority w:val="99"/>
    <w:semiHidden/>
    <w:rsid w:val="007749D1"/>
    <w:pPr>
      <w:framePr w:wrap="around"/>
    </w:pPr>
    <w:rPr>
      <w:sz w:val="24"/>
    </w:rPr>
  </w:style>
  <w:style w:type="paragraph" w:customStyle="1" w:styleId="DisclaimerTextRight">
    <w:name w:val="Disclaimer Text Right"/>
    <w:basedOn w:val="DisclaimerText"/>
    <w:uiPriority w:val="99"/>
    <w:semiHidden/>
    <w:rsid w:val="007749D1"/>
    <w:pPr>
      <w:framePr w:wrap="around"/>
    </w:pPr>
  </w:style>
  <w:style w:type="table" w:customStyle="1" w:styleId="TableGrid10">
    <w:name w:val="Table Grid1"/>
    <w:basedOn w:val="TableNormal"/>
    <w:next w:val="TableGrid"/>
    <w:uiPriority w:val="39"/>
    <w:rsid w:val="002A6AA5"/>
    <w:pPr>
      <w:spacing w:before="70" w:after="70" w:line="240" w:lineRule="atLeast"/>
    </w:pPr>
    <w:rPr>
      <w:rFonts w:ascii="Arial" w:hAnsi="Arial"/>
    </w:r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rPr>
      <w:tblPr/>
      <w:tcPr>
        <w:shd w:val="clear" w:color="auto" w:fill="004C97"/>
      </w:tcPr>
    </w:tblStylePr>
    <w:tblStylePr w:type="firstCol">
      <w:tblPr/>
      <w:tcPr>
        <w:shd w:val="clear" w:color="auto" w:fill="FFFFFF"/>
      </w:tcPr>
    </w:tblStylePr>
    <w:tblStylePr w:type="band1Vert">
      <w:tblPr/>
      <w:tcPr>
        <w:shd w:val="clear" w:color="auto" w:fill="CCDBEA"/>
      </w:tcPr>
    </w:tblStylePr>
  </w:style>
  <w:style w:type="paragraph" w:styleId="NoSpacing">
    <w:name w:val="No Spacing"/>
    <w:basedOn w:val="Normal"/>
    <w:next w:val="BodyText"/>
    <w:link w:val="NoSpacingChar"/>
    <w:qFormat/>
    <w:rsid w:val="0049337B"/>
    <w:pPr>
      <w:spacing w:after="0" w:line="240" w:lineRule="atLeast"/>
    </w:pPr>
    <w:rPr>
      <w:rFonts w:asciiTheme="minorHAnsi" w:hAnsiTheme="minorHAnsi" w:cs="Times New Roman"/>
      <w:szCs w:val="20"/>
      <w:lang w:eastAsia="en-AU"/>
    </w:rPr>
  </w:style>
  <w:style w:type="paragraph" w:customStyle="1" w:styleId="BoldBodyText">
    <w:name w:val="Bold Body Text"/>
    <w:basedOn w:val="BodyText"/>
    <w:qFormat/>
    <w:rsid w:val="0049337B"/>
    <w:pPr>
      <w:spacing w:before="120" w:line="240" w:lineRule="atLeast"/>
    </w:pPr>
    <w:rPr>
      <w:rFonts w:ascii="Arial Bold" w:hAnsi="Arial Bold" w:cs="Times New Roman"/>
      <w:bCs/>
      <w:szCs w:val="20"/>
      <w:lang w:eastAsia="en-AU"/>
    </w:rPr>
  </w:style>
  <w:style w:type="character" w:customStyle="1" w:styleId="NoSpacingChar">
    <w:name w:val="No Spacing Char"/>
    <w:basedOn w:val="DefaultParagraphFont"/>
    <w:link w:val="NoSpacing"/>
    <w:rsid w:val="0049337B"/>
    <w:rPr>
      <w:rFonts w:asciiTheme="minorHAnsi" w:hAnsiTheme="minorHAnsi"/>
    </w:rPr>
  </w:style>
  <w:style w:type="character" w:customStyle="1" w:styleId="cf01">
    <w:name w:val="cf01"/>
    <w:basedOn w:val="DefaultParagraphFont"/>
    <w:rsid w:val="00182401"/>
    <w:rPr>
      <w:rFonts w:ascii="Segoe UI" w:hAnsi="Segoe UI" w:cs="Segoe UI" w:hint="default"/>
      <w:sz w:val="18"/>
      <w:szCs w:val="18"/>
    </w:rPr>
  </w:style>
  <w:style w:type="paragraph" w:customStyle="1" w:styleId="Legend-Figure">
    <w:name w:val="Legend - Figure"/>
    <w:basedOn w:val="Normal"/>
    <w:qFormat/>
    <w:rsid w:val="005F7DA8"/>
    <w:pPr>
      <w:spacing w:after="240"/>
    </w:pPr>
    <w:rPr>
      <w:sz w:val="18"/>
      <w:szCs w:val="18"/>
    </w:rPr>
  </w:style>
  <w:style w:type="paragraph" w:customStyle="1" w:styleId="Legend-Table">
    <w:name w:val="Legend - Table"/>
    <w:basedOn w:val="Normal"/>
    <w:qFormat/>
    <w:rsid w:val="00E15AFD"/>
    <w:rPr>
      <w:sz w:val="18"/>
      <w:szCs w:val="18"/>
    </w:rPr>
  </w:style>
  <w:style w:type="paragraph" w:customStyle="1" w:styleId="Captionfootnote">
    <w:name w:val="Caption footnote"/>
    <w:basedOn w:val="Normal"/>
    <w:qFormat/>
    <w:rsid w:val="002B4D3D"/>
    <w:pPr>
      <w:keepLines/>
      <w:spacing w:before="80" w:line="276" w:lineRule="auto"/>
    </w:pPr>
  </w:style>
  <w:style w:type="table" w:customStyle="1" w:styleId="Table">
    <w:name w:val="Table"/>
    <w:semiHidden/>
    <w:unhideWhenUsed/>
    <w:qFormat/>
    <w:rsid w:val="00A23DFB"/>
    <w:pPr>
      <w:spacing w:after="200"/>
    </w:pPr>
    <w:rPr>
      <w:rFonts w:asciiTheme="minorHAnsi" w:eastAsiaTheme="minorHAnsi" w:hAnsiTheme="minorHAnsi" w:cstheme="minorBidi"/>
      <w:sz w:val="24"/>
      <w:szCs w:val="24"/>
      <w:lang w:val="en-US" w:eastAsia="en-US" w:bidi="lo-L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A23DFB"/>
    <w:pPr>
      <w:spacing w:after="200"/>
    </w:pPr>
    <w:rPr>
      <w:rFonts w:asciiTheme="minorHAnsi" w:eastAsiaTheme="minorHAnsi" w:hAnsiTheme="minorHAnsi" w:cstheme="minorBidi"/>
      <w:sz w:val="24"/>
      <w:szCs w:val="24"/>
      <w:lang w:val="en-US" w:eastAsia="en-GB" w:bidi="lo-L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lrzxr">
    <w:name w:val="lrzxr"/>
    <w:basedOn w:val="DefaultParagraphFont"/>
    <w:rsid w:val="009B02A1"/>
  </w:style>
  <w:style w:type="character" w:customStyle="1" w:styleId="cl-58dc8c78">
    <w:name w:val="cl-58dc8c78"/>
    <w:basedOn w:val="DefaultParagraphFont"/>
    <w:rsid w:val="008D6747"/>
  </w:style>
  <w:style w:type="character" w:customStyle="1" w:styleId="HTMLPreformattedChar">
    <w:name w:val="HTML Preformatted Char"/>
    <w:basedOn w:val="DefaultParagraphFont"/>
    <w:link w:val="HTMLPreformatted"/>
    <w:uiPriority w:val="99"/>
    <w:rsid w:val="004B389D"/>
    <w:rPr>
      <w:rFonts w:ascii="Courier New" w:hAnsi="Courier New" w:cs="Courier New"/>
      <w:lang w:eastAsia="en-US"/>
    </w:rPr>
  </w:style>
  <w:style w:type="character" w:customStyle="1" w:styleId="gnd-iwgdh3b">
    <w:name w:val="gnd-iwgdh3b"/>
    <w:basedOn w:val="DefaultParagraphFont"/>
    <w:rsid w:val="004B389D"/>
  </w:style>
  <w:style w:type="paragraph" w:customStyle="1" w:styleId="HeadingLevel4">
    <w:name w:val="Heading Level 4"/>
    <w:basedOn w:val="Normal"/>
    <w:qFormat/>
    <w:rsid w:val="001E3D6E"/>
    <w:pPr>
      <w:spacing w:before="240" w:line="276" w:lineRule="auto"/>
    </w:pPr>
    <w:rPr>
      <w:i/>
      <w:iCs/>
      <w:szCs w:val="20"/>
    </w:rPr>
  </w:style>
  <w:style w:type="paragraph" w:customStyle="1" w:styleId="pf0">
    <w:name w:val="pf0"/>
    <w:basedOn w:val="Normal"/>
    <w:rsid w:val="00587CB0"/>
    <w:pPr>
      <w:spacing w:before="100" w:beforeAutospacing="1" w:after="100" w:afterAutospacing="1"/>
    </w:pPr>
    <w:rPr>
      <w:rFonts w:ascii="Times New Roman" w:hAnsi="Times New Roman" w:cs="Times New Roman"/>
      <w:sz w:val="24"/>
      <w:lang w:eastAsia="en-AU"/>
    </w:rPr>
  </w:style>
  <w:style w:type="character" w:customStyle="1" w:styleId="cf11">
    <w:name w:val="cf11"/>
    <w:basedOn w:val="DefaultParagraphFont"/>
    <w:rsid w:val="00587CB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774">
      <w:bodyDiv w:val="1"/>
      <w:marLeft w:val="0"/>
      <w:marRight w:val="0"/>
      <w:marTop w:val="0"/>
      <w:marBottom w:val="0"/>
      <w:divBdr>
        <w:top w:val="none" w:sz="0" w:space="0" w:color="auto"/>
        <w:left w:val="none" w:sz="0" w:space="0" w:color="auto"/>
        <w:bottom w:val="none" w:sz="0" w:space="0" w:color="auto"/>
        <w:right w:val="none" w:sz="0" w:space="0" w:color="auto"/>
      </w:divBdr>
    </w:div>
    <w:div w:id="20858763">
      <w:bodyDiv w:val="1"/>
      <w:marLeft w:val="0"/>
      <w:marRight w:val="0"/>
      <w:marTop w:val="0"/>
      <w:marBottom w:val="0"/>
      <w:divBdr>
        <w:top w:val="none" w:sz="0" w:space="0" w:color="auto"/>
        <w:left w:val="none" w:sz="0" w:space="0" w:color="auto"/>
        <w:bottom w:val="none" w:sz="0" w:space="0" w:color="auto"/>
        <w:right w:val="none" w:sz="0" w:space="0" w:color="auto"/>
      </w:divBdr>
    </w:div>
    <w:div w:id="37516971">
      <w:bodyDiv w:val="1"/>
      <w:marLeft w:val="0"/>
      <w:marRight w:val="0"/>
      <w:marTop w:val="0"/>
      <w:marBottom w:val="0"/>
      <w:divBdr>
        <w:top w:val="none" w:sz="0" w:space="0" w:color="auto"/>
        <w:left w:val="none" w:sz="0" w:space="0" w:color="auto"/>
        <w:bottom w:val="none" w:sz="0" w:space="0" w:color="auto"/>
        <w:right w:val="none" w:sz="0" w:space="0" w:color="auto"/>
      </w:divBdr>
    </w:div>
    <w:div w:id="113520637">
      <w:bodyDiv w:val="1"/>
      <w:marLeft w:val="0"/>
      <w:marRight w:val="0"/>
      <w:marTop w:val="0"/>
      <w:marBottom w:val="0"/>
      <w:divBdr>
        <w:top w:val="none" w:sz="0" w:space="0" w:color="auto"/>
        <w:left w:val="none" w:sz="0" w:space="0" w:color="auto"/>
        <w:bottom w:val="none" w:sz="0" w:space="0" w:color="auto"/>
        <w:right w:val="none" w:sz="0" w:space="0" w:color="auto"/>
      </w:divBdr>
    </w:div>
    <w:div w:id="144441469">
      <w:bodyDiv w:val="1"/>
      <w:marLeft w:val="0"/>
      <w:marRight w:val="0"/>
      <w:marTop w:val="0"/>
      <w:marBottom w:val="0"/>
      <w:divBdr>
        <w:top w:val="none" w:sz="0" w:space="0" w:color="auto"/>
        <w:left w:val="none" w:sz="0" w:space="0" w:color="auto"/>
        <w:bottom w:val="none" w:sz="0" w:space="0" w:color="auto"/>
        <w:right w:val="none" w:sz="0" w:space="0" w:color="auto"/>
      </w:divBdr>
    </w:div>
    <w:div w:id="178277479">
      <w:bodyDiv w:val="1"/>
      <w:marLeft w:val="0"/>
      <w:marRight w:val="0"/>
      <w:marTop w:val="0"/>
      <w:marBottom w:val="0"/>
      <w:divBdr>
        <w:top w:val="none" w:sz="0" w:space="0" w:color="auto"/>
        <w:left w:val="none" w:sz="0" w:space="0" w:color="auto"/>
        <w:bottom w:val="none" w:sz="0" w:space="0" w:color="auto"/>
        <w:right w:val="none" w:sz="0" w:space="0" w:color="auto"/>
      </w:divBdr>
    </w:div>
    <w:div w:id="182524356">
      <w:bodyDiv w:val="1"/>
      <w:marLeft w:val="0"/>
      <w:marRight w:val="0"/>
      <w:marTop w:val="0"/>
      <w:marBottom w:val="0"/>
      <w:divBdr>
        <w:top w:val="none" w:sz="0" w:space="0" w:color="auto"/>
        <w:left w:val="none" w:sz="0" w:space="0" w:color="auto"/>
        <w:bottom w:val="none" w:sz="0" w:space="0" w:color="auto"/>
        <w:right w:val="none" w:sz="0" w:space="0" w:color="auto"/>
      </w:divBdr>
    </w:div>
    <w:div w:id="188184250">
      <w:bodyDiv w:val="1"/>
      <w:marLeft w:val="0"/>
      <w:marRight w:val="0"/>
      <w:marTop w:val="0"/>
      <w:marBottom w:val="0"/>
      <w:divBdr>
        <w:top w:val="none" w:sz="0" w:space="0" w:color="auto"/>
        <w:left w:val="none" w:sz="0" w:space="0" w:color="auto"/>
        <w:bottom w:val="none" w:sz="0" w:space="0" w:color="auto"/>
        <w:right w:val="none" w:sz="0" w:space="0" w:color="auto"/>
      </w:divBdr>
    </w:div>
    <w:div w:id="212927820">
      <w:bodyDiv w:val="1"/>
      <w:marLeft w:val="0"/>
      <w:marRight w:val="0"/>
      <w:marTop w:val="0"/>
      <w:marBottom w:val="0"/>
      <w:divBdr>
        <w:top w:val="none" w:sz="0" w:space="0" w:color="auto"/>
        <w:left w:val="none" w:sz="0" w:space="0" w:color="auto"/>
        <w:bottom w:val="none" w:sz="0" w:space="0" w:color="auto"/>
        <w:right w:val="none" w:sz="0" w:space="0" w:color="auto"/>
      </w:divBdr>
    </w:div>
    <w:div w:id="256447748">
      <w:bodyDiv w:val="1"/>
      <w:marLeft w:val="0"/>
      <w:marRight w:val="0"/>
      <w:marTop w:val="0"/>
      <w:marBottom w:val="0"/>
      <w:divBdr>
        <w:top w:val="none" w:sz="0" w:space="0" w:color="auto"/>
        <w:left w:val="none" w:sz="0" w:space="0" w:color="auto"/>
        <w:bottom w:val="none" w:sz="0" w:space="0" w:color="auto"/>
        <w:right w:val="none" w:sz="0" w:space="0" w:color="auto"/>
      </w:divBdr>
    </w:div>
    <w:div w:id="259684549">
      <w:bodyDiv w:val="1"/>
      <w:marLeft w:val="0"/>
      <w:marRight w:val="0"/>
      <w:marTop w:val="0"/>
      <w:marBottom w:val="0"/>
      <w:divBdr>
        <w:top w:val="none" w:sz="0" w:space="0" w:color="auto"/>
        <w:left w:val="none" w:sz="0" w:space="0" w:color="auto"/>
        <w:bottom w:val="none" w:sz="0" w:space="0" w:color="auto"/>
        <w:right w:val="none" w:sz="0" w:space="0" w:color="auto"/>
      </w:divBdr>
    </w:div>
    <w:div w:id="262807852">
      <w:bodyDiv w:val="1"/>
      <w:marLeft w:val="0"/>
      <w:marRight w:val="0"/>
      <w:marTop w:val="0"/>
      <w:marBottom w:val="0"/>
      <w:divBdr>
        <w:top w:val="none" w:sz="0" w:space="0" w:color="auto"/>
        <w:left w:val="none" w:sz="0" w:space="0" w:color="auto"/>
        <w:bottom w:val="none" w:sz="0" w:space="0" w:color="auto"/>
        <w:right w:val="none" w:sz="0" w:space="0" w:color="auto"/>
      </w:divBdr>
    </w:div>
    <w:div w:id="294457310">
      <w:bodyDiv w:val="1"/>
      <w:marLeft w:val="0"/>
      <w:marRight w:val="0"/>
      <w:marTop w:val="0"/>
      <w:marBottom w:val="0"/>
      <w:divBdr>
        <w:top w:val="none" w:sz="0" w:space="0" w:color="auto"/>
        <w:left w:val="none" w:sz="0" w:space="0" w:color="auto"/>
        <w:bottom w:val="none" w:sz="0" w:space="0" w:color="auto"/>
        <w:right w:val="none" w:sz="0" w:space="0" w:color="auto"/>
      </w:divBdr>
    </w:div>
    <w:div w:id="340009915">
      <w:bodyDiv w:val="1"/>
      <w:marLeft w:val="0"/>
      <w:marRight w:val="0"/>
      <w:marTop w:val="0"/>
      <w:marBottom w:val="0"/>
      <w:divBdr>
        <w:top w:val="none" w:sz="0" w:space="0" w:color="auto"/>
        <w:left w:val="none" w:sz="0" w:space="0" w:color="auto"/>
        <w:bottom w:val="none" w:sz="0" w:space="0" w:color="auto"/>
        <w:right w:val="none" w:sz="0" w:space="0" w:color="auto"/>
      </w:divBdr>
    </w:div>
    <w:div w:id="384182056">
      <w:bodyDiv w:val="1"/>
      <w:marLeft w:val="0"/>
      <w:marRight w:val="0"/>
      <w:marTop w:val="0"/>
      <w:marBottom w:val="0"/>
      <w:divBdr>
        <w:top w:val="none" w:sz="0" w:space="0" w:color="auto"/>
        <w:left w:val="none" w:sz="0" w:space="0" w:color="auto"/>
        <w:bottom w:val="none" w:sz="0" w:space="0" w:color="auto"/>
        <w:right w:val="none" w:sz="0" w:space="0" w:color="auto"/>
      </w:divBdr>
    </w:div>
    <w:div w:id="414786315">
      <w:bodyDiv w:val="1"/>
      <w:marLeft w:val="0"/>
      <w:marRight w:val="0"/>
      <w:marTop w:val="0"/>
      <w:marBottom w:val="0"/>
      <w:divBdr>
        <w:top w:val="none" w:sz="0" w:space="0" w:color="auto"/>
        <w:left w:val="none" w:sz="0" w:space="0" w:color="auto"/>
        <w:bottom w:val="none" w:sz="0" w:space="0" w:color="auto"/>
        <w:right w:val="none" w:sz="0" w:space="0" w:color="auto"/>
      </w:divBdr>
    </w:div>
    <w:div w:id="469984081">
      <w:bodyDiv w:val="1"/>
      <w:marLeft w:val="0"/>
      <w:marRight w:val="0"/>
      <w:marTop w:val="0"/>
      <w:marBottom w:val="0"/>
      <w:divBdr>
        <w:top w:val="none" w:sz="0" w:space="0" w:color="auto"/>
        <w:left w:val="none" w:sz="0" w:space="0" w:color="auto"/>
        <w:bottom w:val="none" w:sz="0" w:space="0" w:color="auto"/>
        <w:right w:val="none" w:sz="0" w:space="0" w:color="auto"/>
      </w:divBdr>
    </w:div>
    <w:div w:id="477575107">
      <w:bodyDiv w:val="1"/>
      <w:marLeft w:val="0"/>
      <w:marRight w:val="0"/>
      <w:marTop w:val="0"/>
      <w:marBottom w:val="0"/>
      <w:divBdr>
        <w:top w:val="none" w:sz="0" w:space="0" w:color="auto"/>
        <w:left w:val="none" w:sz="0" w:space="0" w:color="auto"/>
        <w:bottom w:val="none" w:sz="0" w:space="0" w:color="auto"/>
        <w:right w:val="none" w:sz="0" w:space="0" w:color="auto"/>
      </w:divBdr>
    </w:div>
    <w:div w:id="496770110">
      <w:bodyDiv w:val="1"/>
      <w:marLeft w:val="0"/>
      <w:marRight w:val="0"/>
      <w:marTop w:val="0"/>
      <w:marBottom w:val="0"/>
      <w:divBdr>
        <w:top w:val="none" w:sz="0" w:space="0" w:color="auto"/>
        <w:left w:val="none" w:sz="0" w:space="0" w:color="auto"/>
        <w:bottom w:val="none" w:sz="0" w:space="0" w:color="auto"/>
        <w:right w:val="none" w:sz="0" w:space="0" w:color="auto"/>
      </w:divBdr>
    </w:div>
    <w:div w:id="531723801">
      <w:bodyDiv w:val="1"/>
      <w:marLeft w:val="0"/>
      <w:marRight w:val="0"/>
      <w:marTop w:val="0"/>
      <w:marBottom w:val="0"/>
      <w:divBdr>
        <w:top w:val="none" w:sz="0" w:space="0" w:color="auto"/>
        <w:left w:val="none" w:sz="0" w:space="0" w:color="auto"/>
        <w:bottom w:val="none" w:sz="0" w:space="0" w:color="auto"/>
        <w:right w:val="none" w:sz="0" w:space="0" w:color="auto"/>
      </w:divBdr>
    </w:div>
    <w:div w:id="543714538">
      <w:bodyDiv w:val="1"/>
      <w:marLeft w:val="0"/>
      <w:marRight w:val="0"/>
      <w:marTop w:val="0"/>
      <w:marBottom w:val="0"/>
      <w:divBdr>
        <w:top w:val="none" w:sz="0" w:space="0" w:color="auto"/>
        <w:left w:val="none" w:sz="0" w:space="0" w:color="auto"/>
        <w:bottom w:val="none" w:sz="0" w:space="0" w:color="auto"/>
        <w:right w:val="none" w:sz="0" w:space="0" w:color="auto"/>
      </w:divBdr>
      <w:divsChild>
        <w:div w:id="986980271">
          <w:marLeft w:val="0"/>
          <w:marRight w:val="0"/>
          <w:marTop w:val="0"/>
          <w:marBottom w:val="0"/>
          <w:divBdr>
            <w:top w:val="none" w:sz="0" w:space="0" w:color="auto"/>
            <w:left w:val="none" w:sz="0" w:space="0" w:color="auto"/>
            <w:bottom w:val="none" w:sz="0" w:space="0" w:color="auto"/>
            <w:right w:val="none" w:sz="0" w:space="0" w:color="auto"/>
          </w:divBdr>
          <w:divsChild>
            <w:div w:id="12462998">
              <w:marLeft w:val="225"/>
              <w:marRight w:val="225"/>
              <w:marTop w:val="225"/>
              <w:marBottom w:val="0"/>
              <w:divBdr>
                <w:top w:val="none" w:sz="0" w:space="0" w:color="auto"/>
                <w:left w:val="none" w:sz="0" w:space="0" w:color="auto"/>
                <w:bottom w:val="none" w:sz="0" w:space="0" w:color="auto"/>
                <w:right w:val="none" w:sz="0" w:space="0" w:color="auto"/>
              </w:divBdr>
              <w:divsChild>
                <w:div w:id="13030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6529">
      <w:bodyDiv w:val="1"/>
      <w:marLeft w:val="0"/>
      <w:marRight w:val="0"/>
      <w:marTop w:val="0"/>
      <w:marBottom w:val="0"/>
      <w:divBdr>
        <w:top w:val="none" w:sz="0" w:space="0" w:color="auto"/>
        <w:left w:val="none" w:sz="0" w:space="0" w:color="auto"/>
        <w:bottom w:val="none" w:sz="0" w:space="0" w:color="auto"/>
        <w:right w:val="none" w:sz="0" w:space="0" w:color="auto"/>
      </w:divBdr>
    </w:div>
    <w:div w:id="577327177">
      <w:bodyDiv w:val="1"/>
      <w:marLeft w:val="0"/>
      <w:marRight w:val="0"/>
      <w:marTop w:val="0"/>
      <w:marBottom w:val="0"/>
      <w:divBdr>
        <w:top w:val="none" w:sz="0" w:space="0" w:color="auto"/>
        <w:left w:val="none" w:sz="0" w:space="0" w:color="auto"/>
        <w:bottom w:val="none" w:sz="0" w:space="0" w:color="auto"/>
        <w:right w:val="none" w:sz="0" w:space="0" w:color="auto"/>
      </w:divBdr>
    </w:div>
    <w:div w:id="578028618">
      <w:bodyDiv w:val="1"/>
      <w:marLeft w:val="0"/>
      <w:marRight w:val="0"/>
      <w:marTop w:val="0"/>
      <w:marBottom w:val="0"/>
      <w:divBdr>
        <w:top w:val="none" w:sz="0" w:space="0" w:color="auto"/>
        <w:left w:val="none" w:sz="0" w:space="0" w:color="auto"/>
        <w:bottom w:val="none" w:sz="0" w:space="0" w:color="auto"/>
        <w:right w:val="none" w:sz="0" w:space="0" w:color="auto"/>
      </w:divBdr>
    </w:div>
    <w:div w:id="617564728">
      <w:bodyDiv w:val="1"/>
      <w:marLeft w:val="0"/>
      <w:marRight w:val="0"/>
      <w:marTop w:val="0"/>
      <w:marBottom w:val="0"/>
      <w:divBdr>
        <w:top w:val="none" w:sz="0" w:space="0" w:color="auto"/>
        <w:left w:val="none" w:sz="0" w:space="0" w:color="auto"/>
        <w:bottom w:val="none" w:sz="0" w:space="0" w:color="auto"/>
        <w:right w:val="none" w:sz="0" w:space="0" w:color="auto"/>
      </w:divBdr>
    </w:div>
    <w:div w:id="671376323">
      <w:bodyDiv w:val="1"/>
      <w:marLeft w:val="0"/>
      <w:marRight w:val="0"/>
      <w:marTop w:val="0"/>
      <w:marBottom w:val="0"/>
      <w:divBdr>
        <w:top w:val="none" w:sz="0" w:space="0" w:color="auto"/>
        <w:left w:val="none" w:sz="0" w:space="0" w:color="auto"/>
        <w:bottom w:val="none" w:sz="0" w:space="0" w:color="auto"/>
        <w:right w:val="none" w:sz="0" w:space="0" w:color="auto"/>
      </w:divBdr>
    </w:div>
    <w:div w:id="678696347">
      <w:bodyDiv w:val="1"/>
      <w:marLeft w:val="0"/>
      <w:marRight w:val="0"/>
      <w:marTop w:val="0"/>
      <w:marBottom w:val="0"/>
      <w:divBdr>
        <w:top w:val="none" w:sz="0" w:space="0" w:color="auto"/>
        <w:left w:val="none" w:sz="0" w:space="0" w:color="auto"/>
        <w:bottom w:val="none" w:sz="0" w:space="0" w:color="auto"/>
        <w:right w:val="none" w:sz="0" w:space="0" w:color="auto"/>
      </w:divBdr>
    </w:div>
    <w:div w:id="690764071">
      <w:bodyDiv w:val="1"/>
      <w:marLeft w:val="0"/>
      <w:marRight w:val="0"/>
      <w:marTop w:val="0"/>
      <w:marBottom w:val="0"/>
      <w:divBdr>
        <w:top w:val="none" w:sz="0" w:space="0" w:color="auto"/>
        <w:left w:val="none" w:sz="0" w:space="0" w:color="auto"/>
        <w:bottom w:val="none" w:sz="0" w:space="0" w:color="auto"/>
        <w:right w:val="none" w:sz="0" w:space="0" w:color="auto"/>
      </w:divBdr>
    </w:div>
    <w:div w:id="753471666">
      <w:bodyDiv w:val="1"/>
      <w:marLeft w:val="0"/>
      <w:marRight w:val="0"/>
      <w:marTop w:val="0"/>
      <w:marBottom w:val="0"/>
      <w:divBdr>
        <w:top w:val="none" w:sz="0" w:space="0" w:color="auto"/>
        <w:left w:val="none" w:sz="0" w:space="0" w:color="auto"/>
        <w:bottom w:val="none" w:sz="0" w:space="0" w:color="auto"/>
        <w:right w:val="none" w:sz="0" w:space="0" w:color="auto"/>
      </w:divBdr>
    </w:div>
    <w:div w:id="837309681">
      <w:bodyDiv w:val="1"/>
      <w:marLeft w:val="0"/>
      <w:marRight w:val="0"/>
      <w:marTop w:val="0"/>
      <w:marBottom w:val="0"/>
      <w:divBdr>
        <w:top w:val="none" w:sz="0" w:space="0" w:color="auto"/>
        <w:left w:val="none" w:sz="0" w:space="0" w:color="auto"/>
        <w:bottom w:val="none" w:sz="0" w:space="0" w:color="auto"/>
        <w:right w:val="none" w:sz="0" w:space="0" w:color="auto"/>
      </w:divBdr>
    </w:div>
    <w:div w:id="849297737">
      <w:bodyDiv w:val="1"/>
      <w:marLeft w:val="0"/>
      <w:marRight w:val="0"/>
      <w:marTop w:val="0"/>
      <w:marBottom w:val="0"/>
      <w:divBdr>
        <w:top w:val="none" w:sz="0" w:space="0" w:color="auto"/>
        <w:left w:val="none" w:sz="0" w:space="0" w:color="auto"/>
        <w:bottom w:val="none" w:sz="0" w:space="0" w:color="auto"/>
        <w:right w:val="none" w:sz="0" w:space="0" w:color="auto"/>
      </w:divBdr>
    </w:div>
    <w:div w:id="863594728">
      <w:bodyDiv w:val="1"/>
      <w:marLeft w:val="0"/>
      <w:marRight w:val="0"/>
      <w:marTop w:val="0"/>
      <w:marBottom w:val="0"/>
      <w:divBdr>
        <w:top w:val="none" w:sz="0" w:space="0" w:color="auto"/>
        <w:left w:val="none" w:sz="0" w:space="0" w:color="auto"/>
        <w:bottom w:val="none" w:sz="0" w:space="0" w:color="auto"/>
        <w:right w:val="none" w:sz="0" w:space="0" w:color="auto"/>
      </w:divBdr>
    </w:div>
    <w:div w:id="880365366">
      <w:bodyDiv w:val="1"/>
      <w:marLeft w:val="0"/>
      <w:marRight w:val="0"/>
      <w:marTop w:val="0"/>
      <w:marBottom w:val="0"/>
      <w:divBdr>
        <w:top w:val="none" w:sz="0" w:space="0" w:color="auto"/>
        <w:left w:val="none" w:sz="0" w:space="0" w:color="auto"/>
        <w:bottom w:val="none" w:sz="0" w:space="0" w:color="auto"/>
        <w:right w:val="none" w:sz="0" w:space="0" w:color="auto"/>
      </w:divBdr>
    </w:div>
    <w:div w:id="1014183419">
      <w:bodyDiv w:val="1"/>
      <w:marLeft w:val="0"/>
      <w:marRight w:val="0"/>
      <w:marTop w:val="0"/>
      <w:marBottom w:val="0"/>
      <w:divBdr>
        <w:top w:val="none" w:sz="0" w:space="0" w:color="auto"/>
        <w:left w:val="none" w:sz="0" w:space="0" w:color="auto"/>
        <w:bottom w:val="none" w:sz="0" w:space="0" w:color="auto"/>
        <w:right w:val="none" w:sz="0" w:space="0" w:color="auto"/>
      </w:divBdr>
    </w:div>
    <w:div w:id="1038503890">
      <w:bodyDiv w:val="1"/>
      <w:marLeft w:val="0"/>
      <w:marRight w:val="0"/>
      <w:marTop w:val="0"/>
      <w:marBottom w:val="0"/>
      <w:divBdr>
        <w:top w:val="none" w:sz="0" w:space="0" w:color="auto"/>
        <w:left w:val="none" w:sz="0" w:space="0" w:color="auto"/>
        <w:bottom w:val="none" w:sz="0" w:space="0" w:color="auto"/>
        <w:right w:val="none" w:sz="0" w:space="0" w:color="auto"/>
      </w:divBdr>
    </w:div>
    <w:div w:id="1047411333">
      <w:bodyDiv w:val="1"/>
      <w:marLeft w:val="0"/>
      <w:marRight w:val="0"/>
      <w:marTop w:val="0"/>
      <w:marBottom w:val="0"/>
      <w:divBdr>
        <w:top w:val="none" w:sz="0" w:space="0" w:color="auto"/>
        <w:left w:val="none" w:sz="0" w:space="0" w:color="auto"/>
        <w:bottom w:val="none" w:sz="0" w:space="0" w:color="auto"/>
        <w:right w:val="none" w:sz="0" w:space="0" w:color="auto"/>
      </w:divBdr>
    </w:div>
    <w:div w:id="1086267810">
      <w:bodyDiv w:val="1"/>
      <w:marLeft w:val="0"/>
      <w:marRight w:val="0"/>
      <w:marTop w:val="0"/>
      <w:marBottom w:val="0"/>
      <w:divBdr>
        <w:top w:val="none" w:sz="0" w:space="0" w:color="auto"/>
        <w:left w:val="none" w:sz="0" w:space="0" w:color="auto"/>
        <w:bottom w:val="none" w:sz="0" w:space="0" w:color="auto"/>
        <w:right w:val="none" w:sz="0" w:space="0" w:color="auto"/>
      </w:divBdr>
    </w:div>
    <w:div w:id="1096630002">
      <w:bodyDiv w:val="1"/>
      <w:marLeft w:val="0"/>
      <w:marRight w:val="0"/>
      <w:marTop w:val="0"/>
      <w:marBottom w:val="0"/>
      <w:divBdr>
        <w:top w:val="none" w:sz="0" w:space="0" w:color="auto"/>
        <w:left w:val="none" w:sz="0" w:space="0" w:color="auto"/>
        <w:bottom w:val="none" w:sz="0" w:space="0" w:color="auto"/>
        <w:right w:val="none" w:sz="0" w:space="0" w:color="auto"/>
      </w:divBdr>
    </w:div>
    <w:div w:id="1097479112">
      <w:bodyDiv w:val="1"/>
      <w:marLeft w:val="0"/>
      <w:marRight w:val="0"/>
      <w:marTop w:val="0"/>
      <w:marBottom w:val="0"/>
      <w:divBdr>
        <w:top w:val="none" w:sz="0" w:space="0" w:color="auto"/>
        <w:left w:val="none" w:sz="0" w:space="0" w:color="auto"/>
        <w:bottom w:val="none" w:sz="0" w:space="0" w:color="auto"/>
        <w:right w:val="none" w:sz="0" w:space="0" w:color="auto"/>
      </w:divBdr>
    </w:div>
    <w:div w:id="1112287702">
      <w:bodyDiv w:val="1"/>
      <w:marLeft w:val="0"/>
      <w:marRight w:val="0"/>
      <w:marTop w:val="0"/>
      <w:marBottom w:val="0"/>
      <w:divBdr>
        <w:top w:val="none" w:sz="0" w:space="0" w:color="auto"/>
        <w:left w:val="none" w:sz="0" w:space="0" w:color="auto"/>
        <w:bottom w:val="none" w:sz="0" w:space="0" w:color="auto"/>
        <w:right w:val="none" w:sz="0" w:space="0" w:color="auto"/>
      </w:divBdr>
    </w:div>
    <w:div w:id="1165903780">
      <w:bodyDiv w:val="1"/>
      <w:marLeft w:val="0"/>
      <w:marRight w:val="0"/>
      <w:marTop w:val="0"/>
      <w:marBottom w:val="0"/>
      <w:divBdr>
        <w:top w:val="none" w:sz="0" w:space="0" w:color="auto"/>
        <w:left w:val="none" w:sz="0" w:space="0" w:color="auto"/>
        <w:bottom w:val="none" w:sz="0" w:space="0" w:color="auto"/>
        <w:right w:val="none" w:sz="0" w:space="0" w:color="auto"/>
      </w:divBdr>
    </w:div>
    <w:div w:id="1181705533">
      <w:bodyDiv w:val="1"/>
      <w:marLeft w:val="0"/>
      <w:marRight w:val="0"/>
      <w:marTop w:val="0"/>
      <w:marBottom w:val="0"/>
      <w:divBdr>
        <w:top w:val="none" w:sz="0" w:space="0" w:color="auto"/>
        <w:left w:val="none" w:sz="0" w:space="0" w:color="auto"/>
        <w:bottom w:val="none" w:sz="0" w:space="0" w:color="auto"/>
        <w:right w:val="none" w:sz="0" w:space="0" w:color="auto"/>
      </w:divBdr>
    </w:div>
    <w:div w:id="1189297225">
      <w:bodyDiv w:val="1"/>
      <w:marLeft w:val="0"/>
      <w:marRight w:val="0"/>
      <w:marTop w:val="0"/>
      <w:marBottom w:val="0"/>
      <w:divBdr>
        <w:top w:val="none" w:sz="0" w:space="0" w:color="auto"/>
        <w:left w:val="none" w:sz="0" w:space="0" w:color="auto"/>
        <w:bottom w:val="none" w:sz="0" w:space="0" w:color="auto"/>
        <w:right w:val="none" w:sz="0" w:space="0" w:color="auto"/>
      </w:divBdr>
    </w:div>
    <w:div w:id="1415543607">
      <w:bodyDiv w:val="1"/>
      <w:marLeft w:val="0"/>
      <w:marRight w:val="0"/>
      <w:marTop w:val="0"/>
      <w:marBottom w:val="0"/>
      <w:divBdr>
        <w:top w:val="none" w:sz="0" w:space="0" w:color="auto"/>
        <w:left w:val="none" w:sz="0" w:space="0" w:color="auto"/>
        <w:bottom w:val="none" w:sz="0" w:space="0" w:color="auto"/>
        <w:right w:val="none" w:sz="0" w:space="0" w:color="auto"/>
      </w:divBdr>
      <w:divsChild>
        <w:div w:id="2098944065">
          <w:marLeft w:val="0"/>
          <w:marRight w:val="0"/>
          <w:marTop w:val="0"/>
          <w:marBottom w:val="0"/>
          <w:divBdr>
            <w:top w:val="none" w:sz="0" w:space="0" w:color="auto"/>
            <w:left w:val="none" w:sz="0" w:space="0" w:color="auto"/>
            <w:bottom w:val="none" w:sz="0" w:space="0" w:color="auto"/>
            <w:right w:val="none" w:sz="0" w:space="0" w:color="auto"/>
          </w:divBdr>
          <w:divsChild>
            <w:div w:id="1403021449">
              <w:marLeft w:val="225"/>
              <w:marRight w:val="225"/>
              <w:marTop w:val="225"/>
              <w:marBottom w:val="0"/>
              <w:divBdr>
                <w:top w:val="none" w:sz="0" w:space="0" w:color="auto"/>
                <w:left w:val="none" w:sz="0" w:space="0" w:color="auto"/>
                <w:bottom w:val="none" w:sz="0" w:space="0" w:color="auto"/>
                <w:right w:val="none" w:sz="0" w:space="0" w:color="auto"/>
              </w:divBdr>
              <w:divsChild>
                <w:div w:id="1218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65605">
      <w:bodyDiv w:val="1"/>
      <w:marLeft w:val="0"/>
      <w:marRight w:val="0"/>
      <w:marTop w:val="0"/>
      <w:marBottom w:val="0"/>
      <w:divBdr>
        <w:top w:val="none" w:sz="0" w:space="0" w:color="auto"/>
        <w:left w:val="none" w:sz="0" w:space="0" w:color="auto"/>
        <w:bottom w:val="none" w:sz="0" w:space="0" w:color="auto"/>
        <w:right w:val="none" w:sz="0" w:space="0" w:color="auto"/>
      </w:divBdr>
    </w:div>
    <w:div w:id="1432437468">
      <w:bodyDiv w:val="1"/>
      <w:marLeft w:val="0"/>
      <w:marRight w:val="0"/>
      <w:marTop w:val="0"/>
      <w:marBottom w:val="0"/>
      <w:divBdr>
        <w:top w:val="none" w:sz="0" w:space="0" w:color="auto"/>
        <w:left w:val="none" w:sz="0" w:space="0" w:color="auto"/>
        <w:bottom w:val="none" w:sz="0" w:space="0" w:color="auto"/>
        <w:right w:val="none" w:sz="0" w:space="0" w:color="auto"/>
      </w:divBdr>
    </w:div>
    <w:div w:id="1446659965">
      <w:bodyDiv w:val="1"/>
      <w:marLeft w:val="0"/>
      <w:marRight w:val="0"/>
      <w:marTop w:val="0"/>
      <w:marBottom w:val="0"/>
      <w:divBdr>
        <w:top w:val="none" w:sz="0" w:space="0" w:color="auto"/>
        <w:left w:val="none" w:sz="0" w:space="0" w:color="auto"/>
        <w:bottom w:val="none" w:sz="0" w:space="0" w:color="auto"/>
        <w:right w:val="none" w:sz="0" w:space="0" w:color="auto"/>
      </w:divBdr>
    </w:div>
    <w:div w:id="1466042471">
      <w:bodyDiv w:val="1"/>
      <w:marLeft w:val="0"/>
      <w:marRight w:val="0"/>
      <w:marTop w:val="0"/>
      <w:marBottom w:val="0"/>
      <w:divBdr>
        <w:top w:val="none" w:sz="0" w:space="0" w:color="auto"/>
        <w:left w:val="none" w:sz="0" w:space="0" w:color="auto"/>
        <w:bottom w:val="none" w:sz="0" w:space="0" w:color="auto"/>
        <w:right w:val="none" w:sz="0" w:space="0" w:color="auto"/>
      </w:divBdr>
    </w:div>
    <w:div w:id="1512840528">
      <w:bodyDiv w:val="1"/>
      <w:marLeft w:val="0"/>
      <w:marRight w:val="0"/>
      <w:marTop w:val="0"/>
      <w:marBottom w:val="0"/>
      <w:divBdr>
        <w:top w:val="none" w:sz="0" w:space="0" w:color="auto"/>
        <w:left w:val="none" w:sz="0" w:space="0" w:color="auto"/>
        <w:bottom w:val="none" w:sz="0" w:space="0" w:color="auto"/>
        <w:right w:val="none" w:sz="0" w:space="0" w:color="auto"/>
      </w:divBdr>
    </w:div>
    <w:div w:id="1569921485">
      <w:bodyDiv w:val="1"/>
      <w:marLeft w:val="0"/>
      <w:marRight w:val="0"/>
      <w:marTop w:val="0"/>
      <w:marBottom w:val="0"/>
      <w:divBdr>
        <w:top w:val="none" w:sz="0" w:space="0" w:color="auto"/>
        <w:left w:val="none" w:sz="0" w:space="0" w:color="auto"/>
        <w:bottom w:val="none" w:sz="0" w:space="0" w:color="auto"/>
        <w:right w:val="none" w:sz="0" w:space="0" w:color="auto"/>
      </w:divBdr>
    </w:div>
    <w:div w:id="1573541708">
      <w:bodyDiv w:val="1"/>
      <w:marLeft w:val="0"/>
      <w:marRight w:val="0"/>
      <w:marTop w:val="0"/>
      <w:marBottom w:val="0"/>
      <w:divBdr>
        <w:top w:val="none" w:sz="0" w:space="0" w:color="auto"/>
        <w:left w:val="none" w:sz="0" w:space="0" w:color="auto"/>
        <w:bottom w:val="none" w:sz="0" w:space="0" w:color="auto"/>
        <w:right w:val="none" w:sz="0" w:space="0" w:color="auto"/>
      </w:divBdr>
    </w:div>
    <w:div w:id="1584296239">
      <w:bodyDiv w:val="1"/>
      <w:marLeft w:val="0"/>
      <w:marRight w:val="0"/>
      <w:marTop w:val="0"/>
      <w:marBottom w:val="0"/>
      <w:divBdr>
        <w:top w:val="none" w:sz="0" w:space="0" w:color="auto"/>
        <w:left w:val="none" w:sz="0" w:space="0" w:color="auto"/>
        <w:bottom w:val="none" w:sz="0" w:space="0" w:color="auto"/>
        <w:right w:val="none" w:sz="0" w:space="0" w:color="auto"/>
      </w:divBdr>
    </w:div>
    <w:div w:id="1587231612">
      <w:bodyDiv w:val="1"/>
      <w:marLeft w:val="0"/>
      <w:marRight w:val="0"/>
      <w:marTop w:val="0"/>
      <w:marBottom w:val="0"/>
      <w:divBdr>
        <w:top w:val="none" w:sz="0" w:space="0" w:color="auto"/>
        <w:left w:val="none" w:sz="0" w:space="0" w:color="auto"/>
        <w:bottom w:val="none" w:sz="0" w:space="0" w:color="auto"/>
        <w:right w:val="none" w:sz="0" w:space="0" w:color="auto"/>
      </w:divBdr>
    </w:div>
    <w:div w:id="1597981907">
      <w:bodyDiv w:val="1"/>
      <w:marLeft w:val="0"/>
      <w:marRight w:val="0"/>
      <w:marTop w:val="0"/>
      <w:marBottom w:val="0"/>
      <w:divBdr>
        <w:top w:val="none" w:sz="0" w:space="0" w:color="auto"/>
        <w:left w:val="none" w:sz="0" w:space="0" w:color="auto"/>
        <w:bottom w:val="none" w:sz="0" w:space="0" w:color="auto"/>
        <w:right w:val="none" w:sz="0" w:space="0" w:color="auto"/>
      </w:divBdr>
    </w:div>
    <w:div w:id="1603536821">
      <w:bodyDiv w:val="1"/>
      <w:marLeft w:val="0"/>
      <w:marRight w:val="0"/>
      <w:marTop w:val="0"/>
      <w:marBottom w:val="0"/>
      <w:divBdr>
        <w:top w:val="none" w:sz="0" w:space="0" w:color="auto"/>
        <w:left w:val="none" w:sz="0" w:space="0" w:color="auto"/>
        <w:bottom w:val="none" w:sz="0" w:space="0" w:color="auto"/>
        <w:right w:val="none" w:sz="0" w:space="0" w:color="auto"/>
      </w:divBdr>
    </w:div>
    <w:div w:id="1621765871">
      <w:bodyDiv w:val="1"/>
      <w:marLeft w:val="0"/>
      <w:marRight w:val="0"/>
      <w:marTop w:val="0"/>
      <w:marBottom w:val="0"/>
      <w:divBdr>
        <w:top w:val="none" w:sz="0" w:space="0" w:color="auto"/>
        <w:left w:val="none" w:sz="0" w:space="0" w:color="auto"/>
        <w:bottom w:val="none" w:sz="0" w:space="0" w:color="auto"/>
        <w:right w:val="none" w:sz="0" w:space="0" w:color="auto"/>
      </w:divBdr>
    </w:div>
    <w:div w:id="1662653977">
      <w:bodyDiv w:val="1"/>
      <w:marLeft w:val="0"/>
      <w:marRight w:val="0"/>
      <w:marTop w:val="0"/>
      <w:marBottom w:val="0"/>
      <w:divBdr>
        <w:top w:val="none" w:sz="0" w:space="0" w:color="auto"/>
        <w:left w:val="none" w:sz="0" w:space="0" w:color="auto"/>
        <w:bottom w:val="none" w:sz="0" w:space="0" w:color="auto"/>
        <w:right w:val="none" w:sz="0" w:space="0" w:color="auto"/>
      </w:divBdr>
    </w:div>
    <w:div w:id="1667202858">
      <w:bodyDiv w:val="1"/>
      <w:marLeft w:val="0"/>
      <w:marRight w:val="0"/>
      <w:marTop w:val="0"/>
      <w:marBottom w:val="0"/>
      <w:divBdr>
        <w:top w:val="none" w:sz="0" w:space="0" w:color="auto"/>
        <w:left w:val="none" w:sz="0" w:space="0" w:color="auto"/>
        <w:bottom w:val="none" w:sz="0" w:space="0" w:color="auto"/>
        <w:right w:val="none" w:sz="0" w:space="0" w:color="auto"/>
      </w:divBdr>
    </w:div>
    <w:div w:id="1701709271">
      <w:bodyDiv w:val="1"/>
      <w:marLeft w:val="0"/>
      <w:marRight w:val="0"/>
      <w:marTop w:val="0"/>
      <w:marBottom w:val="0"/>
      <w:divBdr>
        <w:top w:val="none" w:sz="0" w:space="0" w:color="auto"/>
        <w:left w:val="none" w:sz="0" w:space="0" w:color="auto"/>
        <w:bottom w:val="none" w:sz="0" w:space="0" w:color="auto"/>
        <w:right w:val="none" w:sz="0" w:space="0" w:color="auto"/>
      </w:divBdr>
    </w:div>
    <w:div w:id="1704475741">
      <w:bodyDiv w:val="1"/>
      <w:marLeft w:val="0"/>
      <w:marRight w:val="0"/>
      <w:marTop w:val="0"/>
      <w:marBottom w:val="0"/>
      <w:divBdr>
        <w:top w:val="none" w:sz="0" w:space="0" w:color="auto"/>
        <w:left w:val="none" w:sz="0" w:space="0" w:color="auto"/>
        <w:bottom w:val="none" w:sz="0" w:space="0" w:color="auto"/>
        <w:right w:val="none" w:sz="0" w:space="0" w:color="auto"/>
      </w:divBdr>
    </w:div>
    <w:div w:id="1711151482">
      <w:bodyDiv w:val="1"/>
      <w:marLeft w:val="0"/>
      <w:marRight w:val="0"/>
      <w:marTop w:val="0"/>
      <w:marBottom w:val="0"/>
      <w:divBdr>
        <w:top w:val="none" w:sz="0" w:space="0" w:color="auto"/>
        <w:left w:val="none" w:sz="0" w:space="0" w:color="auto"/>
        <w:bottom w:val="none" w:sz="0" w:space="0" w:color="auto"/>
        <w:right w:val="none" w:sz="0" w:space="0" w:color="auto"/>
      </w:divBdr>
    </w:div>
    <w:div w:id="1727486107">
      <w:bodyDiv w:val="1"/>
      <w:marLeft w:val="0"/>
      <w:marRight w:val="0"/>
      <w:marTop w:val="0"/>
      <w:marBottom w:val="0"/>
      <w:divBdr>
        <w:top w:val="none" w:sz="0" w:space="0" w:color="auto"/>
        <w:left w:val="none" w:sz="0" w:space="0" w:color="auto"/>
        <w:bottom w:val="none" w:sz="0" w:space="0" w:color="auto"/>
        <w:right w:val="none" w:sz="0" w:space="0" w:color="auto"/>
      </w:divBdr>
    </w:div>
    <w:div w:id="1766028540">
      <w:bodyDiv w:val="1"/>
      <w:marLeft w:val="0"/>
      <w:marRight w:val="0"/>
      <w:marTop w:val="0"/>
      <w:marBottom w:val="0"/>
      <w:divBdr>
        <w:top w:val="none" w:sz="0" w:space="0" w:color="auto"/>
        <w:left w:val="none" w:sz="0" w:space="0" w:color="auto"/>
        <w:bottom w:val="none" w:sz="0" w:space="0" w:color="auto"/>
        <w:right w:val="none" w:sz="0" w:space="0" w:color="auto"/>
      </w:divBdr>
    </w:div>
    <w:div w:id="1797135333">
      <w:bodyDiv w:val="1"/>
      <w:marLeft w:val="0"/>
      <w:marRight w:val="0"/>
      <w:marTop w:val="0"/>
      <w:marBottom w:val="0"/>
      <w:divBdr>
        <w:top w:val="none" w:sz="0" w:space="0" w:color="auto"/>
        <w:left w:val="none" w:sz="0" w:space="0" w:color="auto"/>
        <w:bottom w:val="none" w:sz="0" w:space="0" w:color="auto"/>
        <w:right w:val="none" w:sz="0" w:space="0" w:color="auto"/>
      </w:divBdr>
    </w:div>
    <w:div w:id="1820220530">
      <w:bodyDiv w:val="1"/>
      <w:marLeft w:val="0"/>
      <w:marRight w:val="0"/>
      <w:marTop w:val="0"/>
      <w:marBottom w:val="0"/>
      <w:divBdr>
        <w:top w:val="none" w:sz="0" w:space="0" w:color="auto"/>
        <w:left w:val="none" w:sz="0" w:space="0" w:color="auto"/>
        <w:bottom w:val="none" w:sz="0" w:space="0" w:color="auto"/>
        <w:right w:val="none" w:sz="0" w:space="0" w:color="auto"/>
      </w:divBdr>
    </w:div>
    <w:div w:id="1858734152">
      <w:bodyDiv w:val="1"/>
      <w:marLeft w:val="0"/>
      <w:marRight w:val="0"/>
      <w:marTop w:val="0"/>
      <w:marBottom w:val="0"/>
      <w:divBdr>
        <w:top w:val="none" w:sz="0" w:space="0" w:color="auto"/>
        <w:left w:val="none" w:sz="0" w:space="0" w:color="auto"/>
        <w:bottom w:val="none" w:sz="0" w:space="0" w:color="auto"/>
        <w:right w:val="none" w:sz="0" w:space="0" w:color="auto"/>
      </w:divBdr>
    </w:div>
    <w:div w:id="1876768078">
      <w:bodyDiv w:val="1"/>
      <w:marLeft w:val="0"/>
      <w:marRight w:val="0"/>
      <w:marTop w:val="0"/>
      <w:marBottom w:val="0"/>
      <w:divBdr>
        <w:top w:val="none" w:sz="0" w:space="0" w:color="auto"/>
        <w:left w:val="none" w:sz="0" w:space="0" w:color="auto"/>
        <w:bottom w:val="none" w:sz="0" w:space="0" w:color="auto"/>
        <w:right w:val="none" w:sz="0" w:space="0" w:color="auto"/>
      </w:divBdr>
    </w:div>
    <w:div w:id="1914659529">
      <w:bodyDiv w:val="1"/>
      <w:marLeft w:val="0"/>
      <w:marRight w:val="0"/>
      <w:marTop w:val="0"/>
      <w:marBottom w:val="0"/>
      <w:divBdr>
        <w:top w:val="none" w:sz="0" w:space="0" w:color="auto"/>
        <w:left w:val="none" w:sz="0" w:space="0" w:color="auto"/>
        <w:bottom w:val="none" w:sz="0" w:space="0" w:color="auto"/>
        <w:right w:val="none" w:sz="0" w:space="0" w:color="auto"/>
      </w:divBdr>
    </w:div>
    <w:div w:id="1957250897">
      <w:bodyDiv w:val="1"/>
      <w:marLeft w:val="0"/>
      <w:marRight w:val="0"/>
      <w:marTop w:val="0"/>
      <w:marBottom w:val="0"/>
      <w:divBdr>
        <w:top w:val="none" w:sz="0" w:space="0" w:color="auto"/>
        <w:left w:val="none" w:sz="0" w:space="0" w:color="auto"/>
        <w:bottom w:val="none" w:sz="0" w:space="0" w:color="auto"/>
        <w:right w:val="none" w:sz="0" w:space="0" w:color="auto"/>
      </w:divBdr>
    </w:div>
    <w:div w:id="2039161848">
      <w:bodyDiv w:val="1"/>
      <w:marLeft w:val="0"/>
      <w:marRight w:val="0"/>
      <w:marTop w:val="0"/>
      <w:marBottom w:val="0"/>
      <w:divBdr>
        <w:top w:val="none" w:sz="0" w:space="0" w:color="auto"/>
        <w:left w:val="none" w:sz="0" w:space="0" w:color="auto"/>
        <w:bottom w:val="none" w:sz="0" w:space="0" w:color="auto"/>
        <w:right w:val="none" w:sz="0" w:space="0" w:color="auto"/>
      </w:divBdr>
    </w:div>
    <w:div w:id="2064254176">
      <w:bodyDiv w:val="1"/>
      <w:marLeft w:val="0"/>
      <w:marRight w:val="0"/>
      <w:marTop w:val="0"/>
      <w:marBottom w:val="0"/>
      <w:divBdr>
        <w:top w:val="none" w:sz="0" w:space="0" w:color="auto"/>
        <w:left w:val="none" w:sz="0" w:space="0" w:color="auto"/>
        <w:bottom w:val="none" w:sz="0" w:space="0" w:color="auto"/>
        <w:right w:val="none" w:sz="0" w:space="0" w:color="auto"/>
      </w:divBdr>
    </w:div>
    <w:div w:id="2125079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svg"/><Relationship Id="rId21" Type="http://schemas.openxmlformats.org/officeDocument/2006/relationships/header" Target="header2.xml"/><Relationship Id="rId42" Type="http://schemas.openxmlformats.org/officeDocument/2006/relationships/comments" Target="comments.xml"/><Relationship Id="rId47" Type="http://schemas.openxmlformats.org/officeDocument/2006/relationships/image" Target="media/image14.png"/><Relationship Id="rId63" Type="http://schemas.openxmlformats.org/officeDocument/2006/relationships/hyperlink" Target="https://doi.org/10.11646/zootaxa.4317.2.1" TargetMode="External"/><Relationship Id="rId68"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9.png"/><Relationship Id="rId11" Type="http://schemas.openxmlformats.org/officeDocument/2006/relationships/webSettings" Target="webSettings.xml"/><Relationship Id="rId24" Type="http://schemas.openxmlformats.org/officeDocument/2006/relationships/image" Target="media/image5.jpeg"/><Relationship Id="rId32" Type="http://schemas.openxmlformats.org/officeDocument/2006/relationships/hyperlink" Target="mailto:customer.service@delwp.vic.gov.au" TargetMode="External"/><Relationship Id="rId37" Type="http://schemas.openxmlformats.org/officeDocument/2006/relationships/footer" Target="footer6.xml"/><Relationship Id="rId40" Type="http://schemas.openxmlformats.org/officeDocument/2006/relationships/image" Target="media/image11.jpeg"/><Relationship Id="rId45" Type="http://schemas.microsoft.com/office/2018/08/relationships/commentsExtensible" Target="commentsExtensible.xml"/><Relationship Id="rId53" Type="http://schemas.openxmlformats.org/officeDocument/2006/relationships/image" Target="media/image20.png"/><Relationship Id="rId58" Type="http://schemas.openxmlformats.org/officeDocument/2006/relationships/image" Target="media/image25.png"/><Relationship Id="rId66" Type="http://schemas.openxmlformats.org/officeDocument/2006/relationships/footer" Target="footer8.xm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8.png"/><Relationship Id="rId1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footer" Target="footer4.xml"/><Relationship Id="rId27" Type="http://schemas.openxmlformats.org/officeDocument/2006/relationships/image" Target="media/image8.jpeg"/><Relationship Id="rId30" Type="http://schemas.openxmlformats.org/officeDocument/2006/relationships/hyperlink" Target="http://creativecommons.org/licenses/by/4.0/" TargetMode="External"/><Relationship Id="rId35" Type="http://schemas.openxmlformats.org/officeDocument/2006/relationships/footer" Target="footer5.xml"/><Relationship Id="rId43" Type="http://schemas.microsoft.com/office/2011/relationships/commentsExtended" Target="commentsExtended.xml"/><Relationship Id="rId48" Type="http://schemas.openxmlformats.org/officeDocument/2006/relationships/image" Target="media/image15.png"/><Relationship Id="rId56" Type="http://schemas.openxmlformats.org/officeDocument/2006/relationships/image" Target="media/image23.png"/><Relationship Id="rId64" Type="http://schemas.openxmlformats.org/officeDocument/2006/relationships/hyperlink" Target="https://doi.org/10.1214/09-BA403" TargetMode="External"/><Relationship Id="rId69" Type="http://schemas.openxmlformats.org/officeDocument/2006/relationships/hyperlink" Target="http://www.deeca.vic.gov.au" TargetMode="External"/><Relationship Id="rId8" Type="http://schemas.openxmlformats.org/officeDocument/2006/relationships/numbering" Target="numbering.xml"/><Relationship Id="rId51" Type="http://schemas.openxmlformats.org/officeDocument/2006/relationships/image" Target="media/image18.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image" Target="media/image6.png"/><Relationship Id="rId33" Type="http://schemas.openxmlformats.org/officeDocument/2006/relationships/hyperlink" Target="http://www.deeca.vic.gov.au/" TargetMode="External"/><Relationship Id="rId38" Type="http://schemas.openxmlformats.org/officeDocument/2006/relationships/footer" Target="footer7.xml"/><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footer" Target="footer9.xml"/><Relationship Id="rId20" Type="http://schemas.openxmlformats.org/officeDocument/2006/relationships/footer" Target="footer3.xml"/><Relationship Id="rId41" Type="http://schemas.openxmlformats.org/officeDocument/2006/relationships/image" Target="media/image12.jpe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hyperlink" Target="http://www.ari.vic.gov.au" TargetMode="External"/><Relationship Id="rId36" Type="http://schemas.openxmlformats.org/officeDocument/2006/relationships/header" Target="header4.xml"/><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settings" Target="settings.xml"/><Relationship Id="rId31" Type="http://schemas.openxmlformats.org/officeDocument/2006/relationships/hyperlink" Target="http://creativecommons.org/licenses/by/4.0/" TargetMode="External"/><Relationship Id="rId44" Type="http://schemas.microsoft.com/office/2016/09/relationships/commentsIds" Target="commentsIds.xml"/><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hyperlink" Target="https://www.mrc-bsu.cam.ac.uk/wp-content/uploads/manual14.pdf" TargetMode="External"/><Relationship Id="rId73"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9" Type="http://schemas.openxmlformats.org/officeDocument/2006/relationships/image" Target="media/image10.png"/><Relationship Id="rId34" Type="http://schemas.openxmlformats.org/officeDocument/2006/relationships/header" Target="header3.xml"/><Relationship Id="rId50" Type="http://schemas.openxmlformats.org/officeDocument/2006/relationships/image" Target="media/image17.png"/><Relationship Id="rId55" Type="http://schemas.openxmlformats.org/officeDocument/2006/relationships/image" Target="media/image22.png"/><Relationship Id="rId7" Type="http://schemas.openxmlformats.org/officeDocument/2006/relationships/customXml" Target="../customXml/item7.xml"/><Relationship Id="rId71"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09\Dropbox\LL%20WE%20Section\Section%20Leader\Publication%20review%20process\Templates\5%20ARI%20Technical%20Report%20Template%202019.dotx" TargetMode="External"/></Relationships>
</file>

<file path=word/theme/theme1.xml><?xml version="1.0" encoding="utf-8"?>
<a:theme xmlns:a="http://schemas.openxmlformats.org/drawingml/2006/main" name="Office Theme">
  <a:themeElements>
    <a:clrScheme name="DELWP-ECC Colours">
      <a:dk1>
        <a:srgbClr val="363534"/>
      </a:dk1>
      <a:lt1>
        <a:sysClr val="window" lastClr="FFFFFF"/>
      </a:lt1>
      <a:dk2>
        <a:srgbClr val="CDDC29"/>
      </a:dk2>
      <a:lt2>
        <a:srgbClr val="F8FAE8"/>
      </a:lt2>
      <a:accent1>
        <a:srgbClr val="00B2A9"/>
      </a:accent1>
      <a:accent2>
        <a:srgbClr val="CDDC29"/>
      </a:accent2>
      <a:accent3>
        <a:srgbClr val="201547"/>
      </a:accent3>
      <a:accent4>
        <a:srgbClr val="99E0DD"/>
      </a:accent4>
      <a:accent5>
        <a:srgbClr val="E9EEAE"/>
      </a:accent5>
      <a:accent6>
        <a:srgbClr val="A6A1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97aeec6-0273-40f2-ab3e-beee73212332" ContentTypeId="0x0101009148F5A04DDD49CBA7127AADA5FB792B00AADE34325A8B49CDA8BB4DB53328F2140086ACF6BE223CB5449DC222CEA6489BF7" PreviousValue="false"/>
</file>

<file path=customXml/item6.xml><?xml version="1.0" encoding="utf-8"?>
<ct:contentTypeSchema xmlns:ct="http://schemas.microsoft.com/office/2006/metadata/contentType" xmlns:ma="http://schemas.microsoft.com/office/2006/metadata/properties/metaAttributes" ct:_="" ma:_="" ma:contentTypeName="DELWP Image" ma:contentTypeID="0x0101009148F5A04DDD49CBA7127AADA5FB792B00AADE34325A8B49CDA8BB4DB53328F2140086ACF6BE223CB5449DC222CEA6489BF700A16D5AE7AC9B5D4F81B6BC9574022DD6" ma:contentTypeVersion="8" ma:contentTypeDescription="The content is a primarily still visual representation other than text.  Includes electronic and physical representations such as images, photographs, maps and graphics.  For digital representations of physical resources, use a specific document type where possible.  – AGLS" ma:contentTypeScope="" ma:versionID="806de2aa735b5969b3b537aa1b72e250">
  <xsd:schema xmlns:xsd="http://www.w3.org/2001/XMLSchema" xmlns:xs="http://www.w3.org/2001/XMLSchema" xmlns:p="http://schemas.microsoft.com/office/2006/metadata/properties" xmlns:ns1="a5f32de4-e402-4188-b034-e71ca7d22e54" xmlns:ns2="http://schemas.microsoft.com/sharepoint/v3" xmlns:ns3="http://schemas.microsoft.com/sharepoint/v3/fields" xmlns:ns4="f69348f0-4c32-4de8-8eea-8dd31e89e17f" xmlns:ns5="9fd47c19-1c4a-4d7d-b342-c10cef269344" xmlns:ns6="6e1e0d04-4dd3-4283-b11f-2cadacbc36ab" targetNamespace="http://schemas.microsoft.com/office/2006/metadata/properties" ma:root="true" ma:fieldsID="4934f7727b2ad019ee14e6ef62f1bcde" ns1:_="" ns2:_="" ns3:_="" ns4:_="" ns5:_="" ns6:_="">
    <xsd:import namespace="a5f32de4-e402-4188-b034-e71ca7d22e54"/>
    <xsd:import namespace="http://schemas.microsoft.com/sharepoint/v3"/>
    <xsd:import namespace="http://schemas.microsoft.com/sharepoint/v3/fields"/>
    <xsd:import namespace="f69348f0-4c32-4de8-8eea-8dd31e89e17f"/>
    <xsd:import namespace="9fd47c19-1c4a-4d7d-b342-c10cef269344"/>
    <xsd:import namespace="6e1e0d04-4dd3-4283-b11f-2cadacbc36ab"/>
    <xsd:element name="properties">
      <xsd:complexType>
        <xsd:sequence>
          <xsd:element name="documentManagement">
            <xsd:complexType>
              <xsd:all>
                <xsd:element ref="ns1:_dlc_DocIdUrl" minOccurs="0"/>
                <xsd:element ref="ns1:_dlc_DocId" minOccurs="0"/>
                <xsd:element ref="ns2:RoutingRuleDescription"/>
                <xsd:element ref="ns1:Event_x0020_Name" minOccurs="0"/>
                <xsd:element ref="ns1:People_x0020_in_x0020_Image" minOccurs="0"/>
                <xsd:element ref="ns1:Location_x0020_Value" minOccurs="0"/>
                <xsd:element ref="ns2:URL" minOccurs="0"/>
                <xsd:element ref="ns3:wic_System_Copyright"/>
                <xsd:element ref="ns2:Language"/>
                <xsd:element ref="ns1:Resolution"/>
                <xsd:element ref="ns3:ImageCreateDate" minOccurs="0"/>
                <xsd:element ref="ns5:mfe9accc5a0b4653a7b513b67ffd122d" minOccurs="0"/>
                <xsd:element ref="ns5:df723ab3fe1c4eb7a0b151674e7ac40d" minOccurs="0"/>
                <xsd:element ref="ns3:ImageWidth" minOccurs="0"/>
                <xsd:element ref="ns5:o85941e134754762b9719660a258a6e6" minOccurs="0"/>
                <xsd:element ref="ns2:ThumbnailExists" minOccurs="0"/>
                <xsd:element ref="ns3:ImageHeight" minOccurs="0"/>
                <xsd:element ref="ns5:fb3179c379644f499d7166d0c985669b" minOccurs="0"/>
                <xsd:element ref="ns5:n771d69a070c4babbf278c67c8a2b859" minOccurs="0"/>
                <xsd:element ref="ns5:ic50d0a05a8e4d9791dac67f8a1e716c" minOccurs="0"/>
                <xsd:element ref="ns2:HTML_x0020_File_x0020_Type" minOccurs="0"/>
                <xsd:element ref="ns5:o2e611f6ba3e4c8f9a895dfb7980639e" minOccurs="0"/>
                <xsd:element ref="ns2:FSObjType" minOccurs="0"/>
                <xsd:element ref="ns5:k1bd994a94c2413797db3bab8f123f6f" minOccurs="0"/>
                <xsd:element ref="ns2:FileRef" minOccurs="0"/>
                <xsd:element ref="ns5:pd01c257034b4e86b1f58279a3bd54c6" minOccurs="0"/>
                <xsd:element ref="ns5:a25c4e3633654d669cbaa09ae6b70789" minOccurs="0"/>
                <xsd:element ref="ns2:File_x0020_Type" minOccurs="0"/>
                <xsd:element ref="ns5:ece32f50ba964e1fbf627a9d83fe6c01" minOccurs="0"/>
                <xsd:element ref="ns2:PreviewExists" minOccurs="0"/>
                <xsd:element ref="ns1:_dlc_DocIdPersistId" minOccurs="0"/>
                <xsd:element ref="ns5:TaxCatchAll" minOccurs="0"/>
                <xsd:element ref="ns5:TaxCatchAllLabel" minOccurs="0"/>
                <xsd:element ref="ns4:kd1afe63598044c081c46c46ce9365fb" minOccurs="0"/>
                <xsd:element ref="ns6:CMI_x0020_Number" minOccurs="0"/>
                <xsd:element ref="ns4:m000ba088b744ce08bb8278142651c9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 nillable="true" ma:displayName="Document ID Value" ma:description="The value of the document ID assigned to this item." ma:internalName="_dlc_DocId" ma:readOnly="true">
      <xsd:simpleType>
        <xsd:restriction base="dms:Text"/>
      </xsd:simpleType>
    </xsd:element>
    <xsd:element name="Event_x0020_Name" ma:index="5" nillable="true" ma:displayName="Event Name" ma:description="The name/title of the event, function or activity including meeting - DEPI" ma:internalName="Event_x0020_Name" ma:readOnly="false">
      <xsd:simpleType>
        <xsd:restriction base="dms:Text">
          <xsd:maxLength value="255"/>
        </xsd:restriction>
      </xsd:simpleType>
    </xsd:element>
    <xsd:element name="People_x0020_in_x0020_Image" ma:index="6" nillable="true" ma:displayName="People in Image" ma:list="UserInfo" ma:SharePointGroup="0" ma:internalName="People_x0020_in_x0020_Imag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_x0020_Value" ma:index="8" nillable="true" ma:displayName="Location Value" ma:internalName="Location_x0020_Value" ma:readOnly="false">
      <xsd:simpleType>
        <xsd:restriction base="dms:Text">
          <xsd:maxLength value="255"/>
        </xsd:restriction>
      </xsd:simpleType>
    </xsd:element>
    <xsd:element name="Resolution" ma:index="22" ma:displayName="Resolution" ma:internalName="Resolution" ma:readOnly="false">
      <xsd:simpleType>
        <xsd:restriction base="dms:Text">
          <xsd:maxLength value="255"/>
        </xsd:restriction>
      </xsd:simpleType>
    </xsd:element>
    <xsd:element name="_dlc_DocIdPersistId" ma:index="5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ma:displayName="Description" ma:description="" ma:internalName="RoutingRuleDescription" ma:readOnly="false">
      <xsd:simpleType>
        <xsd:restriction base="dms:Text">
          <xsd:maxLength value="255"/>
        </xsd:restrictio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Language" ma:index="2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ThumbnailExists" ma:index="36" nillable="true" ma:displayName="Thumbnail Exists" ma:default="FALSE" ma:hidden="true" ma:internalName="ThumbnailExists" ma:readOnly="true">
      <xsd:simpleType>
        <xsd:restriction base="dms:Boolean"/>
      </xsd:simpleType>
    </xsd:element>
    <xsd:element name="HTML_x0020_File_x0020_Type" ma:index="44" nillable="true" ma:displayName="HTML File Type" ma:hidden="true" ma:internalName="HTML_x0020_File_x0020_Type" ma:readOnly="true">
      <xsd:simpleType>
        <xsd:restriction base="dms:Text"/>
      </xsd:simpleType>
    </xsd:element>
    <xsd:element name="FSObjType" ma:index="46" nillable="true" ma:displayName="Item Type" ma:hidden="true" ma:list="Docs" ma:internalName="FSObjType" ma:readOnly="true" ma:showField="FSType">
      <xsd:simpleType>
        <xsd:restriction base="dms:Lookup"/>
      </xsd:simpleType>
    </xsd:element>
    <xsd:element name="FileRef" ma:index="51" nillable="true" ma:displayName="URL Path" ma:hidden="true" ma:list="Docs" ma:internalName="FileRef" ma:readOnly="true" ma:showField="FullUrl">
      <xsd:simpleType>
        <xsd:restriction base="dms:Lookup"/>
      </xsd:simpleType>
    </xsd:element>
    <xsd:element name="File_x0020_Type" ma:index="55" nillable="true" ma:displayName="File Type" ma:hidden="true" ma:internalName="File_x0020_Type" ma:readOnly="true">
      <xsd:simpleType>
        <xsd:restriction base="dms:Text"/>
      </xsd:simpleType>
    </xsd:element>
    <xsd:element name="PreviewExists" ma:index="57" nillable="true" ma:displayName="Preview Exists" ma:default="FALSE" ma:hidden="true" ma:internalName="PreviewExists"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10" ma:displayName="Copyright" ma:default="State of Victoria" ma:internalName="wic_System_Copyright" ma:readOnly="false">
      <xsd:simpleType>
        <xsd:restriction base="dms:Text"/>
      </xsd:simpleType>
    </xsd:element>
    <xsd:element name="ImageCreateDate" ma:index="24" nillable="true" ma:displayName="Date Picture Taken" ma:description="" ma:format="DateTime" ma:hidden="true" ma:internalName="ImageCreateDate">
      <xsd:simpleType>
        <xsd:restriction base="dms:DateTime"/>
      </xsd:simpleType>
    </xsd:element>
    <xsd:element name="ImageWidth" ma:index="34" nillable="true" ma:displayName="Picture Width" ma:internalName="ImageWidth" ma:readOnly="true">
      <xsd:simpleType>
        <xsd:restriction base="dms:Unknown"/>
      </xsd:simpleType>
    </xsd:element>
    <xsd:element name="ImageHeight" ma:index="37" nillable="true" ma:displayName="Picture Height" ma:internalName="ImageHeigh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9348f0-4c32-4de8-8eea-8dd31e89e17f" elementFormDefault="qualified">
    <xsd:import namespace="http://schemas.microsoft.com/office/2006/documentManagement/types"/>
    <xsd:import namespace="http://schemas.microsoft.com/office/infopath/2007/PartnerControls"/>
    <xsd:element name="kd1afe63598044c081c46c46ce9365fb" ma:index="61" nillable="true" ma:taxonomy="true" ma:internalName="kd1afe63598044c081c46c46ce9365fb" ma:taxonomyFieldName="Records_x0020_Classification" ma:displayName="Records Classification" ma:readOnly="false" ma:fieldId="{4d1afe63-5980-44c0-81c4-6c46ce9365fb}" ma:sspId="797aeec6-0273-40f2-ab3e-beee73212332" ma:termSetId="934a390b-0445-42f4-98bf-e2bc0b525776" ma:anchorId="00000000-0000-0000-0000-000000000000" ma:open="true" ma:isKeyword="false">
      <xsd:complexType>
        <xsd:sequence>
          <xsd:element ref="pc:Terms" minOccurs="0" maxOccurs="1"/>
        </xsd:sequence>
      </xsd:complexType>
    </xsd:element>
    <xsd:element name="m000ba088b744ce08bb8278142651c9c" ma:index="64" nillable="true" ma:taxonomy="true" ma:internalName="m000ba088b744ce08bb8278142651c9c" ma:taxonomyFieldName="Document_x0020_type" ma:displayName="Document type" ma:default="" ma:fieldId="{6000ba08-8b74-4ce0-8bb8-278142651c9c}" ma:sspId="797aeec6-0273-40f2-ab3e-beee73212332" ma:termSetId="f649cf9e-8403-4de6-9a25-e6ab4663aa81"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mfe9accc5a0b4653a7b513b67ffd122d" ma:index="31" ma:taxonomy="true" ma:internalName="mfe9accc5a0b4653a7b513b67ffd122d" ma:taxonomyFieldName="Branch" ma:displayName="Branch" ma:default="6;#Arthur Rylah Institute|40bc2e25-0176-4bcf-8522-e378037ace7d"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df723ab3fe1c4eb7a0b151674e7ac40d" ma:index="33" nillable="true" ma:taxonomy="true" ma:internalName="df723ab3fe1c4eb7a0b151674e7ac40d" ma:taxonomyFieldName="Copyright_x0020_Licence_x0020_Name" ma:displayName="Copyright Licence Name" ma:readOnly="false" ma:fieldId="{df723ab3-fe1c-4eb7-a0b1-51674e7ac40d}" ma:sspId="797aeec6-0273-40f2-ab3e-beee73212332" ma:termSetId="e4377d11-87d7-49e8-9606-ca7eace7d3c9" ma:anchorId="00000000-0000-0000-0000-000000000000" ma:open="false" ma:isKeyword="false">
      <xsd:complexType>
        <xsd:sequence>
          <xsd:element ref="pc:Terms" minOccurs="0" maxOccurs="1"/>
        </xsd:sequence>
      </xsd:complexType>
    </xsd:element>
    <xsd:element name="o85941e134754762b9719660a258a6e6" ma:index="35" nillable="true" ma:taxonomy="true" ma:internalName="o85941e134754762b9719660a258a6e6" ma:taxonomyFieldName="Copyright_x0020_License_x0020_Type" ma:displayName="Copyright Licence Type" ma:readOnly="false" ma:fieldId="{885941e1-3475-4762-b971-9660a258a6e6}" ma:sspId="797aeec6-0273-40f2-ab3e-beee73212332" ma:termSetId="bb9b676e-cf55-4f23-8bdc-fe213b398fe8" ma:anchorId="00000000-0000-0000-0000-000000000000" ma:open="false" ma:isKeyword="false">
      <xsd:complexType>
        <xsd:sequence>
          <xsd:element ref="pc:Terms" minOccurs="0" maxOccurs="1"/>
        </xsd:sequence>
      </xsd:complexType>
    </xsd:element>
    <xsd:element name="fb3179c379644f499d7166d0c985669b" ma:index="38"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n771d69a070c4babbf278c67c8a2b859" ma:index="40" ma:taxonomy="true" ma:internalName="n771d69a070c4babbf278c67c8a2b859" ma:taxonomyFieldName="Division" ma:displayName="Division" ma:default="4;#Biodiversity|a369ff78-9705-4b66-a29c-499bde0c798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ic50d0a05a8e4d9791dac67f8a1e716c" ma:index="42" ma:taxonomy="true" ma:internalName="ic50d0a05a8e4d9791dac67f8a1e716c" ma:taxonomyFieldName="Group1" ma:displayName="Group" ma:default="9;#Environment and Climate Change|b90772f5-2afa-408f-b8b8-93ad6baba774"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o2e611f6ba3e4c8f9a895dfb7980639e" ma:index="45" nillable="true" ma:taxonomy="true" ma:internalName="o2e611f6ba3e4c8f9a895dfb7980639e" ma:taxonomyFieldName="Location_x0020_Type" ma:displayName="Location Type" ma:readOnly="false" ma:fieldId="{82e611f6-ba3e-4c8f-9a89-5dfb7980639e}" ma:sspId="797aeec6-0273-40f2-ab3e-beee73212332" ma:termSetId="648a561f-e369-4e31-b869-87da18c5c4f1" ma:anchorId="00000000-0000-0000-0000-000000000000" ma:open="false" ma:isKeyword="false">
      <xsd:complexType>
        <xsd:sequence>
          <xsd:element ref="pc:Terms" minOccurs="0" maxOccurs="1"/>
        </xsd:sequence>
      </xsd:complexType>
    </xsd:element>
    <xsd:element name="k1bd994a94c2413797db3bab8f123f6f" ma:index="50" nillable="true" ma:taxonomy="true" ma:internalName="k1bd994a94c2413797db3bab8f123f6f" ma:taxonomyFieldName="Section" ma:displayName="Section" ma:default="7;#Wildlife Ecology|6e539436-42e7-4d57-bad1-ce1c1c08dfa4"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pd01c257034b4e86b1f58279a3bd54c6" ma:index="52"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a25c4e3633654d669cbaa09ae6b70789" ma:index="54" nillable="true" ma:taxonomy="true" ma:internalName="a25c4e3633654d669cbaa09ae6b70789" ma:taxonomyFieldName="Sub_x002d_Section" ma:displayName="Sub-Section" ma:readOnly="false"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ece32f50ba964e1fbf627a9d83fe6c01" ma:index="56" ma:taxonomy="true" ma:internalName="ece32f50ba964e1fbf627a9d83fe6c01" ma:taxonomyFieldName="Agency" ma:displayName="Agency" ma:readOnly="false"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TaxCatchAll" ma:index="59" nillable="true" ma:displayName="Taxonomy Catch All Column" ma:hidden="true" ma:list="{daba3eda-6064-46d3-ab4d-995c1c483aac}" ma:internalName="TaxCatchAll" ma:showField="CatchAllData" ma:web="6e1e0d04-4dd3-4283-b11f-2cadacbc36ab">
      <xsd:complexType>
        <xsd:complexContent>
          <xsd:extension base="dms:MultiChoiceLookup">
            <xsd:sequence>
              <xsd:element name="Value" type="dms:Lookup" maxOccurs="unbounded" minOccurs="0" nillable="true"/>
            </xsd:sequence>
          </xsd:extension>
        </xsd:complexContent>
      </xsd:complexType>
    </xsd:element>
    <xsd:element name="TaxCatchAllLabel" ma:index="60" nillable="true" ma:displayName="Taxonomy Catch All Column1" ma:hidden="true" ma:list="{daba3eda-6064-46d3-ab4d-995c1c483aac}" ma:internalName="TaxCatchAllLabel" ma:readOnly="true" ma:showField="CatchAllDataLabel" ma:web="6e1e0d04-4dd3-4283-b11f-2cadacbc36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e0d04-4dd3-4283-b11f-2cadacbc36ab" elementFormDefault="qualified">
    <xsd:import namespace="http://schemas.microsoft.com/office/2006/documentManagement/types"/>
    <xsd:import namespace="http://schemas.microsoft.com/office/infopath/2007/PartnerControls"/>
    <xsd:element name="CMI_x0020_Number" ma:index="63" nillable="true" ma:displayName="CMI Number" ma:format="Dropdown" ma:internalName="CMI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3" ma:displayName="Author"/>
        <xsd:element ref="dcterms:created" minOccurs="0" maxOccurs="1"/>
        <xsd:element ref="dc:identifier" minOccurs="0" maxOccurs="1"/>
        <xsd:element name="contentType" minOccurs="0" maxOccurs="1" type="xsd:string" ma:index="53" ma:displayName="Content Type"/>
        <xsd:element ref="dc:title" minOccurs="0" maxOccurs="1" ma:index="3" ma:displayName="Title"/>
        <xsd:element ref="dc:subject" minOccurs="0" maxOccurs="1"/>
        <xsd:element ref="dc:description" minOccurs="0" maxOccurs="1" ma:index="26" ma:displayName="Comments"/>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6</Value>
      <Value>68</Value>
      <Value>4</Value>
      <Value>22</Value>
      <Value>21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4cf06271-6744-4b13-adab-7df8d80986af</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cc223d34-0ee9-4df6-81c7-2f6860593f8f</TermId>
        </TermInfo>
      </Terms>
    </fb3179c379644f499d7166d0c985669b>
    <_dlc_DocId xmlns="a5f32de4-e402-4188-b034-e71ca7d22e54">DOCID94-341680792-12066</_dlc_DocId>
    <_dlc_DocIdUrl xmlns="a5f32de4-e402-4188-b034-e71ca7d22e54">
      <Url>https://delwpvicgovau.sharepoint.com/sites/ecm_94/_layouts/15/DocIdRedir.aspx?ID=DOCID94-341680792-12066</Url>
      <Description>DOCID94-341680792-12066</Description>
    </_dlc_DocIdUrl>
    <Language xmlns="http://schemas.microsoft.com/sharepoint/v3">English</Language>
    <ImageCreateDate xmlns="http://schemas.microsoft.com/sharepoint/v3/fields" xsi:nil="tru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Energy, Environment and Climate Action</TermName>
          <TermId xmlns="http://schemas.microsoft.com/office/infopath/2007/PartnerControls">6ec2007c-62f7-4367-85b3-4db3e85c504f</TermId>
        </TermInfo>
      </Terms>
    </ece32f50ba964e1fbf627a9d83fe6c01>
    <o2e611f6ba3e4c8f9a895dfb7980639e xmlns="9fd47c19-1c4a-4d7d-b342-c10cef269344">
      <Terms xmlns="http://schemas.microsoft.com/office/infopath/2007/PartnerControls"/>
    </o2e611f6ba3e4c8f9a895dfb7980639e>
    <k1bd994a94c2413797db3bab8f123f6f xmlns="9fd47c19-1c4a-4d7d-b342-c10cef269344">
      <Terms xmlns="http://schemas.microsoft.com/office/infopath/2007/PartnerControls"/>
    </k1bd994a94c2413797db3bab8f123f6f>
    <Event_x0020_Name xmlns="a5f32de4-e402-4188-b034-e71ca7d22e54" xsi:nil="true"/>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Biodiversity</TermName>
          <TermId xmlns="http://schemas.microsoft.com/office/infopath/2007/PartnerControls">a369ff78-9705-4b66-a29c-499bde0c7988</TermId>
        </TermInfo>
      </Terms>
    </n771d69a070c4babbf278c67c8a2b859>
    <kd1afe63598044c081c46c46ce9365fb xmlns="f69348f0-4c32-4de8-8eea-8dd31e89e17f">
      <Terms xmlns="http://schemas.microsoft.com/office/infopath/2007/PartnerControls"/>
    </kd1afe63598044c081c46c46ce9365fb>
    <m000ba088b744ce08bb8278142651c9c xmlns="f69348f0-4c32-4de8-8eea-8dd31e89e17f">
      <Terms xmlns="http://schemas.microsoft.com/office/infopath/2007/PartnerControls"/>
    </m000ba088b744ce08bb8278142651c9c>
    <Location_x0020_Value xmlns="a5f32de4-e402-4188-b034-e71ca7d22e54" xsi:nil="true"/>
    <URL xmlns="http://schemas.microsoft.com/sharepoint/v3">
      <Url xsi:nil="true"/>
      <Description xsi:nil="true"/>
    </URL>
    <o85941e134754762b9719660a258a6e6 xmlns="9fd47c19-1c4a-4d7d-b342-c10cef269344">
      <Terms xmlns="http://schemas.microsoft.com/office/infopath/2007/PartnerControls"/>
    </o85941e134754762b9719660a258a6e6>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Arthur Rylah Institute</TermName>
          <TermId xmlns="http://schemas.microsoft.com/office/infopath/2007/PartnerControls">40bc2e25-0176-4bcf-8522-e378037ace7d</TermId>
        </TermInfo>
      </Terms>
    </mfe9accc5a0b4653a7b513b67ffd122d>
    <RoutingRuleDescription xmlns="http://schemas.microsoft.com/sharepoint/v3">.2024 Update Report</RoutingRuleDescription>
    <df723ab3fe1c4eb7a0b151674e7ac40d xmlns="9fd47c19-1c4a-4d7d-b342-c10cef269344">
      <Terms xmlns="http://schemas.microsoft.com/office/infopath/2007/PartnerControls"/>
    </df723ab3fe1c4eb7a0b151674e7ac40d>
    <CMI_x0020_Number xmlns="6e1e0d04-4dd3-4283-b11f-2cadacbc36ab" xsi:nil="true"/>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Environment</TermName>
          <TermId xmlns="http://schemas.microsoft.com/office/infopath/2007/PartnerControls">00000000-0000-0000-0000-000000000000</TermId>
        </TermInfo>
        <TermInfo xmlns="http://schemas.microsoft.com/office/infopath/2007/PartnerControls">
          <TermName xmlns="http://schemas.microsoft.com/office/infopath/2007/PartnerControls">Climate Action and First Peoples</TermName>
          <TermId xmlns="http://schemas.microsoft.com/office/infopath/2007/PartnerControls">00000000-0000-0000-0000-000000000000</TermId>
        </TermInfo>
      </Terms>
    </ic50d0a05a8e4d9791dac67f8a1e716c>
    <a25c4e3633654d669cbaa09ae6b70789 xmlns="9fd47c19-1c4a-4d7d-b342-c10cef269344">
      <Terms xmlns="http://schemas.microsoft.com/office/infopath/2007/PartnerControls"/>
    </a25c4e3633654d669cbaa09ae6b70789>
    <People_x0020_in_x0020_Image xmlns="a5f32de4-e402-4188-b034-e71ca7d22e54">
      <UserInfo>
        <DisplayName/>
        <AccountId xsi:nil="true"/>
        <AccountType/>
      </UserInfo>
    </People_x0020_in_x0020_Image>
    <wic_System_Copyright xmlns="http://schemas.microsoft.com/sharepoint/v3/fields">State of Victoria</wic_System_Copyright>
    <Resolution xmlns="a5f32de4-e402-4188-b034-e71ca7d22e54">Yes</Resolution>
  </documentManagement>
</p:properties>
</file>

<file path=customXml/itemProps1.xml><?xml version="1.0" encoding="utf-8"?>
<ds:datastoreItem xmlns:ds="http://schemas.openxmlformats.org/officeDocument/2006/customXml" ds:itemID="{829A3FD6-5667-41E4-AFD0-9DDDCAFA4E76}">
  <ds:schemaRefs>
    <ds:schemaRef ds:uri="http://schemas.microsoft.com/sharepoint/v3/contenttype/forms"/>
  </ds:schemaRefs>
</ds:datastoreItem>
</file>

<file path=customXml/itemProps2.xml><?xml version="1.0" encoding="utf-8"?>
<ds:datastoreItem xmlns:ds="http://schemas.openxmlformats.org/officeDocument/2006/customXml" ds:itemID="{7F146803-8916-42DB-A4C1-A2E6C45F1E96}">
  <ds:schemaRefs>
    <ds:schemaRef ds:uri="http://schemas.openxmlformats.org/officeDocument/2006/bibliography"/>
  </ds:schemaRefs>
</ds:datastoreItem>
</file>

<file path=customXml/itemProps3.xml><?xml version="1.0" encoding="utf-8"?>
<ds:datastoreItem xmlns:ds="http://schemas.openxmlformats.org/officeDocument/2006/customXml" ds:itemID="{7F1B1693-95A1-4EFC-A5E9-FA7EB9A06183}">
  <ds:schemaRefs>
    <ds:schemaRef ds:uri="http://schemas.openxmlformats.org/officeDocument/2006/bibliography"/>
  </ds:schemaRefs>
</ds:datastoreItem>
</file>

<file path=customXml/itemProps4.xml><?xml version="1.0" encoding="utf-8"?>
<ds:datastoreItem xmlns:ds="http://schemas.openxmlformats.org/officeDocument/2006/customXml" ds:itemID="{10D23FF1-CB45-4610-A580-304B48E5A152}">
  <ds:schemaRefs>
    <ds:schemaRef ds:uri="http://schemas.microsoft.com/sharepoint/events"/>
  </ds:schemaRefs>
</ds:datastoreItem>
</file>

<file path=customXml/itemProps5.xml><?xml version="1.0" encoding="utf-8"?>
<ds:datastoreItem xmlns:ds="http://schemas.openxmlformats.org/officeDocument/2006/customXml" ds:itemID="{3742B848-0443-4331-949D-F93A265633F2}">
  <ds:schemaRefs>
    <ds:schemaRef ds:uri="Microsoft.SharePoint.Taxonomy.ContentTypeSync"/>
  </ds:schemaRefs>
</ds:datastoreItem>
</file>

<file path=customXml/itemProps6.xml><?xml version="1.0" encoding="utf-8"?>
<ds:datastoreItem xmlns:ds="http://schemas.openxmlformats.org/officeDocument/2006/customXml" ds:itemID="{80F06363-24B2-44D3-B42F-6031AD69C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http://schemas.microsoft.com/sharepoint/v3"/>
    <ds:schemaRef ds:uri="http://schemas.microsoft.com/sharepoint/v3/fields"/>
    <ds:schemaRef ds:uri="f69348f0-4c32-4de8-8eea-8dd31e89e17f"/>
    <ds:schemaRef ds:uri="9fd47c19-1c4a-4d7d-b342-c10cef269344"/>
    <ds:schemaRef ds:uri="6e1e0d04-4dd3-4283-b11f-2cadacbc3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5B92834-FF79-4202-97D7-8DFCE6350DBA}">
  <ds:schemaRefs>
    <ds:schemaRef ds:uri="http://schemas.microsoft.com/office/2006/metadata/properties"/>
    <ds:schemaRef ds:uri="http://schemas.microsoft.com/office/infopath/2007/PartnerControls"/>
    <ds:schemaRef ds:uri="9fd47c19-1c4a-4d7d-b342-c10cef269344"/>
    <ds:schemaRef ds:uri="a5f32de4-e402-4188-b034-e71ca7d22e54"/>
    <ds:schemaRef ds:uri="http://schemas.microsoft.com/sharepoint/v3"/>
    <ds:schemaRef ds:uri="http://schemas.microsoft.com/sharepoint/v3/fields"/>
    <ds:schemaRef ds:uri="f69348f0-4c32-4de8-8eea-8dd31e89e17f"/>
    <ds:schemaRef ds:uri="6e1e0d04-4dd3-4283-b11f-2cadacbc36ab"/>
  </ds:schemaRefs>
</ds:datastoreItem>
</file>

<file path=docProps/app.xml><?xml version="1.0" encoding="utf-8"?>
<Properties xmlns="http://schemas.openxmlformats.org/officeDocument/2006/extended-properties" xmlns:vt="http://schemas.openxmlformats.org/officeDocument/2006/docPropsVTypes">
  <Template>5 ARI Technical Report Template 2019.dotx</Template>
  <TotalTime>2</TotalTime>
  <Pages>39</Pages>
  <Words>11600</Words>
  <Characters>66124</Characters>
  <Application>Microsoft Office Word</Application>
  <DocSecurity>8</DocSecurity>
  <Lines>551</Lines>
  <Paragraphs>155</Paragraphs>
  <ScaleCrop>false</ScaleCrop>
  <HeadingPairs>
    <vt:vector size="2" baseType="variant">
      <vt:variant>
        <vt:lpstr>Title</vt:lpstr>
      </vt:variant>
      <vt:variant>
        <vt:i4>1</vt:i4>
      </vt:variant>
    </vt:vector>
  </HeadingPairs>
  <TitlesOfParts>
    <vt:vector size="1" baseType="lpstr">
      <vt:lpstr>Barry Mountain Report</vt:lpstr>
    </vt:vector>
  </TitlesOfParts>
  <Company/>
  <LinksUpToDate>false</LinksUpToDate>
  <CharactersWithSpaces>77569</CharactersWithSpaces>
  <SharedDoc>false</SharedDoc>
  <HLinks>
    <vt:vector size="186" baseType="variant">
      <vt:variant>
        <vt:i4>4325403</vt:i4>
      </vt:variant>
      <vt:variant>
        <vt:i4>234</vt:i4>
      </vt:variant>
      <vt:variant>
        <vt:i4>0</vt:i4>
      </vt:variant>
      <vt:variant>
        <vt:i4>5</vt:i4>
      </vt:variant>
      <vt:variant>
        <vt:lpwstr>https://www.mrc-bsu.cam.ac.uk/wp-content/uploads/manual14.pdf</vt:lpwstr>
      </vt:variant>
      <vt:variant>
        <vt:lpwstr/>
      </vt:variant>
      <vt:variant>
        <vt:i4>5111824</vt:i4>
      </vt:variant>
      <vt:variant>
        <vt:i4>231</vt:i4>
      </vt:variant>
      <vt:variant>
        <vt:i4>0</vt:i4>
      </vt:variant>
      <vt:variant>
        <vt:i4>5</vt:i4>
      </vt:variant>
      <vt:variant>
        <vt:lpwstr>https://doi.org/10.1214/09-BA403</vt:lpwstr>
      </vt:variant>
      <vt:variant>
        <vt:lpwstr/>
      </vt:variant>
      <vt:variant>
        <vt:i4>1835019</vt:i4>
      </vt:variant>
      <vt:variant>
        <vt:i4>228</vt:i4>
      </vt:variant>
      <vt:variant>
        <vt:i4>0</vt:i4>
      </vt:variant>
      <vt:variant>
        <vt:i4>5</vt:i4>
      </vt:variant>
      <vt:variant>
        <vt:lpwstr>https://doi.org/10.11646/zootaxa.4317.2.1</vt:lpwstr>
      </vt:variant>
      <vt:variant>
        <vt:lpwstr/>
      </vt:variant>
      <vt:variant>
        <vt:i4>1114163</vt:i4>
      </vt:variant>
      <vt:variant>
        <vt:i4>215</vt:i4>
      </vt:variant>
      <vt:variant>
        <vt:i4>0</vt:i4>
      </vt:variant>
      <vt:variant>
        <vt:i4>5</vt:i4>
      </vt:variant>
      <vt:variant>
        <vt:lpwstr/>
      </vt:variant>
      <vt:variant>
        <vt:lpwstr>_Toc170136169</vt:lpwstr>
      </vt:variant>
      <vt:variant>
        <vt:i4>1114163</vt:i4>
      </vt:variant>
      <vt:variant>
        <vt:i4>209</vt:i4>
      </vt:variant>
      <vt:variant>
        <vt:i4>0</vt:i4>
      </vt:variant>
      <vt:variant>
        <vt:i4>5</vt:i4>
      </vt:variant>
      <vt:variant>
        <vt:lpwstr/>
      </vt:variant>
      <vt:variant>
        <vt:lpwstr>_Toc170136168</vt:lpwstr>
      </vt:variant>
      <vt:variant>
        <vt:i4>1114163</vt:i4>
      </vt:variant>
      <vt:variant>
        <vt:i4>203</vt:i4>
      </vt:variant>
      <vt:variant>
        <vt:i4>0</vt:i4>
      </vt:variant>
      <vt:variant>
        <vt:i4>5</vt:i4>
      </vt:variant>
      <vt:variant>
        <vt:lpwstr/>
      </vt:variant>
      <vt:variant>
        <vt:lpwstr>_Toc170136167</vt:lpwstr>
      </vt:variant>
      <vt:variant>
        <vt:i4>1114163</vt:i4>
      </vt:variant>
      <vt:variant>
        <vt:i4>197</vt:i4>
      </vt:variant>
      <vt:variant>
        <vt:i4>0</vt:i4>
      </vt:variant>
      <vt:variant>
        <vt:i4>5</vt:i4>
      </vt:variant>
      <vt:variant>
        <vt:lpwstr/>
      </vt:variant>
      <vt:variant>
        <vt:lpwstr>_Toc170136166</vt:lpwstr>
      </vt:variant>
      <vt:variant>
        <vt:i4>1114163</vt:i4>
      </vt:variant>
      <vt:variant>
        <vt:i4>191</vt:i4>
      </vt:variant>
      <vt:variant>
        <vt:i4>0</vt:i4>
      </vt:variant>
      <vt:variant>
        <vt:i4>5</vt:i4>
      </vt:variant>
      <vt:variant>
        <vt:lpwstr/>
      </vt:variant>
      <vt:variant>
        <vt:lpwstr>_Toc170136165</vt:lpwstr>
      </vt:variant>
      <vt:variant>
        <vt:i4>1114163</vt:i4>
      </vt:variant>
      <vt:variant>
        <vt:i4>185</vt:i4>
      </vt:variant>
      <vt:variant>
        <vt:i4>0</vt:i4>
      </vt:variant>
      <vt:variant>
        <vt:i4>5</vt:i4>
      </vt:variant>
      <vt:variant>
        <vt:lpwstr/>
      </vt:variant>
      <vt:variant>
        <vt:lpwstr>_Toc170136164</vt:lpwstr>
      </vt:variant>
      <vt:variant>
        <vt:i4>1114163</vt:i4>
      </vt:variant>
      <vt:variant>
        <vt:i4>179</vt:i4>
      </vt:variant>
      <vt:variant>
        <vt:i4>0</vt:i4>
      </vt:variant>
      <vt:variant>
        <vt:i4>5</vt:i4>
      </vt:variant>
      <vt:variant>
        <vt:lpwstr/>
      </vt:variant>
      <vt:variant>
        <vt:lpwstr>_Toc170136163</vt:lpwstr>
      </vt:variant>
      <vt:variant>
        <vt:i4>1114163</vt:i4>
      </vt:variant>
      <vt:variant>
        <vt:i4>173</vt:i4>
      </vt:variant>
      <vt:variant>
        <vt:i4>0</vt:i4>
      </vt:variant>
      <vt:variant>
        <vt:i4>5</vt:i4>
      </vt:variant>
      <vt:variant>
        <vt:lpwstr/>
      </vt:variant>
      <vt:variant>
        <vt:lpwstr>_Toc170136162</vt:lpwstr>
      </vt:variant>
      <vt:variant>
        <vt:i4>1114163</vt:i4>
      </vt:variant>
      <vt:variant>
        <vt:i4>167</vt:i4>
      </vt:variant>
      <vt:variant>
        <vt:i4>0</vt:i4>
      </vt:variant>
      <vt:variant>
        <vt:i4>5</vt:i4>
      </vt:variant>
      <vt:variant>
        <vt:lpwstr/>
      </vt:variant>
      <vt:variant>
        <vt:lpwstr>_Toc170136161</vt:lpwstr>
      </vt:variant>
      <vt:variant>
        <vt:i4>1114163</vt:i4>
      </vt:variant>
      <vt:variant>
        <vt:i4>161</vt:i4>
      </vt:variant>
      <vt:variant>
        <vt:i4>0</vt:i4>
      </vt:variant>
      <vt:variant>
        <vt:i4>5</vt:i4>
      </vt:variant>
      <vt:variant>
        <vt:lpwstr/>
      </vt:variant>
      <vt:variant>
        <vt:lpwstr>_Toc170136160</vt:lpwstr>
      </vt:variant>
      <vt:variant>
        <vt:i4>1179699</vt:i4>
      </vt:variant>
      <vt:variant>
        <vt:i4>155</vt:i4>
      </vt:variant>
      <vt:variant>
        <vt:i4>0</vt:i4>
      </vt:variant>
      <vt:variant>
        <vt:i4>5</vt:i4>
      </vt:variant>
      <vt:variant>
        <vt:lpwstr/>
      </vt:variant>
      <vt:variant>
        <vt:lpwstr>_Toc170136159</vt:lpwstr>
      </vt:variant>
      <vt:variant>
        <vt:i4>1179699</vt:i4>
      </vt:variant>
      <vt:variant>
        <vt:i4>149</vt:i4>
      </vt:variant>
      <vt:variant>
        <vt:i4>0</vt:i4>
      </vt:variant>
      <vt:variant>
        <vt:i4>5</vt:i4>
      </vt:variant>
      <vt:variant>
        <vt:lpwstr/>
      </vt:variant>
      <vt:variant>
        <vt:lpwstr>_Toc170136158</vt:lpwstr>
      </vt:variant>
      <vt:variant>
        <vt:i4>1179699</vt:i4>
      </vt:variant>
      <vt:variant>
        <vt:i4>143</vt:i4>
      </vt:variant>
      <vt:variant>
        <vt:i4>0</vt:i4>
      </vt:variant>
      <vt:variant>
        <vt:i4>5</vt:i4>
      </vt:variant>
      <vt:variant>
        <vt:lpwstr/>
      </vt:variant>
      <vt:variant>
        <vt:lpwstr>_Toc170136157</vt:lpwstr>
      </vt:variant>
      <vt:variant>
        <vt:i4>1179699</vt:i4>
      </vt:variant>
      <vt:variant>
        <vt:i4>137</vt:i4>
      </vt:variant>
      <vt:variant>
        <vt:i4>0</vt:i4>
      </vt:variant>
      <vt:variant>
        <vt:i4>5</vt:i4>
      </vt:variant>
      <vt:variant>
        <vt:lpwstr/>
      </vt:variant>
      <vt:variant>
        <vt:lpwstr>_Toc170136156</vt:lpwstr>
      </vt:variant>
      <vt:variant>
        <vt:i4>1179699</vt:i4>
      </vt:variant>
      <vt:variant>
        <vt:i4>131</vt:i4>
      </vt:variant>
      <vt:variant>
        <vt:i4>0</vt:i4>
      </vt:variant>
      <vt:variant>
        <vt:i4>5</vt:i4>
      </vt:variant>
      <vt:variant>
        <vt:lpwstr/>
      </vt:variant>
      <vt:variant>
        <vt:lpwstr>_Toc170136155</vt:lpwstr>
      </vt:variant>
      <vt:variant>
        <vt:i4>1179699</vt:i4>
      </vt:variant>
      <vt:variant>
        <vt:i4>122</vt:i4>
      </vt:variant>
      <vt:variant>
        <vt:i4>0</vt:i4>
      </vt:variant>
      <vt:variant>
        <vt:i4>5</vt:i4>
      </vt:variant>
      <vt:variant>
        <vt:lpwstr/>
      </vt:variant>
      <vt:variant>
        <vt:lpwstr>_Toc170136154</vt:lpwstr>
      </vt:variant>
      <vt:variant>
        <vt:i4>1179699</vt:i4>
      </vt:variant>
      <vt:variant>
        <vt:i4>116</vt:i4>
      </vt:variant>
      <vt:variant>
        <vt:i4>0</vt:i4>
      </vt:variant>
      <vt:variant>
        <vt:i4>5</vt:i4>
      </vt:variant>
      <vt:variant>
        <vt:lpwstr/>
      </vt:variant>
      <vt:variant>
        <vt:lpwstr>_Toc170136153</vt:lpwstr>
      </vt:variant>
      <vt:variant>
        <vt:i4>1179699</vt:i4>
      </vt:variant>
      <vt:variant>
        <vt:i4>110</vt:i4>
      </vt:variant>
      <vt:variant>
        <vt:i4>0</vt:i4>
      </vt:variant>
      <vt:variant>
        <vt:i4>5</vt:i4>
      </vt:variant>
      <vt:variant>
        <vt:lpwstr/>
      </vt:variant>
      <vt:variant>
        <vt:lpwstr>_Toc170136152</vt:lpwstr>
      </vt:variant>
      <vt:variant>
        <vt:i4>1179699</vt:i4>
      </vt:variant>
      <vt:variant>
        <vt:i4>104</vt:i4>
      </vt:variant>
      <vt:variant>
        <vt:i4>0</vt:i4>
      </vt:variant>
      <vt:variant>
        <vt:i4>5</vt:i4>
      </vt:variant>
      <vt:variant>
        <vt:lpwstr/>
      </vt:variant>
      <vt:variant>
        <vt:lpwstr>_Toc170136151</vt:lpwstr>
      </vt:variant>
      <vt:variant>
        <vt:i4>1179699</vt:i4>
      </vt:variant>
      <vt:variant>
        <vt:i4>98</vt:i4>
      </vt:variant>
      <vt:variant>
        <vt:i4>0</vt:i4>
      </vt:variant>
      <vt:variant>
        <vt:i4>5</vt:i4>
      </vt:variant>
      <vt:variant>
        <vt:lpwstr/>
      </vt:variant>
      <vt:variant>
        <vt:lpwstr>_Toc170136150</vt:lpwstr>
      </vt:variant>
      <vt:variant>
        <vt:i4>1245235</vt:i4>
      </vt:variant>
      <vt:variant>
        <vt:i4>92</vt:i4>
      </vt:variant>
      <vt:variant>
        <vt:i4>0</vt:i4>
      </vt:variant>
      <vt:variant>
        <vt:i4>5</vt:i4>
      </vt:variant>
      <vt:variant>
        <vt:lpwstr/>
      </vt:variant>
      <vt:variant>
        <vt:lpwstr>_Toc170136149</vt:lpwstr>
      </vt:variant>
      <vt:variant>
        <vt:i4>1245235</vt:i4>
      </vt:variant>
      <vt:variant>
        <vt:i4>86</vt:i4>
      </vt:variant>
      <vt:variant>
        <vt:i4>0</vt:i4>
      </vt:variant>
      <vt:variant>
        <vt:i4>5</vt:i4>
      </vt:variant>
      <vt:variant>
        <vt:lpwstr/>
      </vt:variant>
      <vt:variant>
        <vt:lpwstr>_Toc170136148</vt:lpwstr>
      </vt:variant>
      <vt:variant>
        <vt:i4>65547</vt:i4>
      </vt:variant>
      <vt:variant>
        <vt:i4>12</vt:i4>
      </vt:variant>
      <vt:variant>
        <vt:i4>0</vt:i4>
      </vt:variant>
      <vt:variant>
        <vt:i4>5</vt:i4>
      </vt:variant>
      <vt:variant>
        <vt:lpwstr>http://www.deeca.vic.gov.au/</vt:lpwstr>
      </vt:variant>
      <vt:variant>
        <vt:lpwstr/>
      </vt:variant>
      <vt:variant>
        <vt:i4>2687044</vt:i4>
      </vt:variant>
      <vt:variant>
        <vt:i4>9</vt:i4>
      </vt:variant>
      <vt:variant>
        <vt:i4>0</vt:i4>
      </vt:variant>
      <vt:variant>
        <vt:i4>5</vt:i4>
      </vt:variant>
      <vt:variant>
        <vt:lpwstr>mailto:customer.service@delwp.vic.gov.au</vt:lpwstr>
      </vt:variant>
      <vt:variant>
        <vt:lpwstr/>
      </vt:variant>
      <vt:variant>
        <vt:i4>6488166</vt:i4>
      </vt:variant>
      <vt:variant>
        <vt:i4>6</vt:i4>
      </vt:variant>
      <vt:variant>
        <vt:i4>0</vt:i4>
      </vt:variant>
      <vt:variant>
        <vt:i4>5</vt:i4>
      </vt:variant>
      <vt:variant>
        <vt:lpwstr>http://creativecommons.org/licenses/by/4.0/</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6881407</vt:i4>
      </vt:variant>
      <vt:variant>
        <vt:i4>0</vt:i4>
      </vt:variant>
      <vt:variant>
        <vt:i4>0</vt:i4>
      </vt:variant>
      <vt:variant>
        <vt:i4>5</vt:i4>
      </vt:variant>
      <vt:variant>
        <vt:lpwstr>http://www.ari.vic.gov.au/</vt:lpwstr>
      </vt:variant>
      <vt:variant>
        <vt:lpwstr/>
      </vt:variant>
      <vt:variant>
        <vt:i4>65547</vt:i4>
      </vt:variant>
      <vt:variant>
        <vt:i4>0</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Barry Mountain Report 2024 -Managing the Great Dividing Range Long-footed Potoroo population</dc:title>
  <dc:subject/>
  <dc:creator>Lindy F Lumsden (DELWP)</dc:creator>
  <cp:keywords/>
  <dc:description/>
  <cp:lastModifiedBy>Andrew Geschke (DEECA)</cp:lastModifiedBy>
  <cp:revision>3</cp:revision>
  <cp:lastPrinted>2024-07-11T23:12:00Z</cp:lastPrinted>
  <dcterms:created xsi:type="dcterms:W3CDTF">2026-08-24T06:39:00Z</dcterms:created>
  <dcterms:modified xsi:type="dcterms:W3CDTF">2026-08-24T06:52:00Z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0x0101009148F5A04DDD49CBA7127AADA5FB792B00AADE34325A8B49CDA8BB4DB53328F2140086ACF6BE223CB5449DC222CEA6489BF700A16D5AE7AC9B5D4F81B6BC9574022DD6</vt:lpwstr>
  </property>
  <property fmtid="{D5CDD505-2E9C-101B-9397-08002B2CF9AE}" pid="3" name="MSIP_Label_4257e2ab-f512-40e2-9c9a-c64247360765_Enabled">
    <vt:lpwstr>true</vt:lpwstr>
  </property>
  <property fmtid="{D5CDD505-2E9C-101B-9397-08002B2CF9AE}" pid="4" name="MSIP_Label_4257e2ab-f512-40e2-9c9a-c64247360765_SetDate">
    <vt:lpwstr>2023-07-12T13:54:21Z</vt:lpwstr>
  </property>
  <property fmtid="{D5CDD505-2E9C-101B-9397-08002B2CF9AE}" pid="5" name="MSIP_Label_4257e2ab-f512-40e2-9c9a-c64247360765_Method">
    <vt:lpwstr>Privileged</vt:lpwstr>
  </property>
  <property fmtid="{D5CDD505-2E9C-101B-9397-08002B2CF9AE}" pid="6" name="MSIP_Label_4257e2ab-f512-40e2-9c9a-c64247360765_Name">
    <vt:lpwstr>OFFICIAL</vt:lpwstr>
  </property>
  <property fmtid="{D5CDD505-2E9C-101B-9397-08002B2CF9AE}" pid="7" name="MSIP_Label_4257e2ab-f512-40e2-9c9a-c64247360765_SiteId">
    <vt:lpwstr>e8bdd6f7-fc18-4e48-a554-7f547927223b</vt:lpwstr>
  </property>
  <property fmtid="{D5CDD505-2E9C-101B-9397-08002B2CF9AE}" pid="8" name="MSIP_Label_4257e2ab-f512-40e2-9c9a-c64247360765_ActionId">
    <vt:lpwstr>5e1b7eb0-5ee6-4127-97ec-4bd4876e6fd3</vt:lpwstr>
  </property>
  <property fmtid="{D5CDD505-2E9C-101B-9397-08002B2CF9AE}" pid="9" name="MSIP_Label_4257e2ab-f512-40e2-9c9a-c64247360765_ContentBits">
    <vt:lpwstr>2</vt:lpwstr>
  </property>
  <property fmtid="{D5CDD505-2E9C-101B-9397-08002B2CF9AE}" pid="10" name="Section">
    <vt:lpwstr/>
  </property>
  <property fmtid="{D5CDD505-2E9C-101B-9397-08002B2CF9AE}" pid="11" name="Sub-Section">
    <vt:lpwstr/>
  </property>
  <property fmtid="{D5CDD505-2E9C-101B-9397-08002B2CF9AE}" pid="12" name="Document type">
    <vt:lpwstr/>
  </property>
  <property fmtid="{D5CDD505-2E9C-101B-9397-08002B2CF9AE}" pid="13" name="Records Classification">
    <vt:lpwstr/>
  </property>
  <property fmtid="{D5CDD505-2E9C-101B-9397-08002B2CF9AE}" pid="14" name="o85941e134754762b9719660a258a6e6">
    <vt:lpwstr/>
  </property>
  <property fmtid="{D5CDD505-2E9C-101B-9397-08002B2CF9AE}" pid="15" name="MediaServiceImageTags">
    <vt:lpwstr/>
  </property>
  <property fmtid="{D5CDD505-2E9C-101B-9397-08002B2CF9AE}" pid="16" name="Location_x0020_Type">
    <vt:lpwstr/>
  </property>
  <property fmtid="{D5CDD505-2E9C-101B-9397-08002B2CF9AE}" pid="17" name="Copyright_x0020_Licence_x0020_Name">
    <vt:lpwstr/>
  </property>
  <property fmtid="{D5CDD505-2E9C-101B-9397-08002B2CF9AE}" pid="18" name="df723ab3fe1c4eb7a0b151674e7ac40d">
    <vt:lpwstr/>
  </property>
  <property fmtid="{D5CDD505-2E9C-101B-9397-08002B2CF9AE}" pid="19" name="o2e611f6ba3e4c8f9a895dfb7980639e">
    <vt:lpwstr/>
  </property>
  <property fmtid="{D5CDD505-2E9C-101B-9397-08002B2CF9AE}" pid="20" name="lcf76f155ced4ddcb4097134ff3c332f">
    <vt:lpwstr/>
  </property>
  <property fmtid="{D5CDD505-2E9C-101B-9397-08002B2CF9AE}" pid="21" name="Copyright_x0020_License_x0020_Type">
    <vt:lpwstr/>
  </property>
  <property fmtid="{D5CDD505-2E9C-101B-9397-08002B2CF9AE}" pid="22" name="Copyright Licence Name">
    <vt:lpwstr/>
  </property>
  <property fmtid="{D5CDD505-2E9C-101B-9397-08002B2CF9AE}" pid="23" name="Copyright License Type">
    <vt:lpwstr/>
  </property>
  <property fmtid="{D5CDD505-2E9C-101B-9397-08002B2CF9AE}" pid="24" name="Location Type">
    <vt:lpwstr/>
  </property>
  <property fmtid="{D5CDD505-2E9C-101B-9397-08002B2CF9AE}" pid="25" name="Agency">
    <vt:lpwstr>68;#Department of Energy, Environment and Climate Action|6ec2007c-62f7-4367-85b3-4db3e85c504f</vt:lpwstr>
  </property>
  <property fmtid="{D5CDD505-2E9C-101B-9397-08002B2CF9AE}" pid="26" name="Branch">
    <vt:lpwstr>6;#Arthur Rylah Institute|40bc2e25-0176-4bcf-8522-e378037ace7d</vt:lpwstr>
  </property>
  <property fmtid="{D5CDD505-2E9C-101B-9397-08002B2CF9AE}" pid="27" name="Division">
    <vt:lpwstr>4;#Biodiversity|a369ff78-9705-4b66-a29c-499bde0c7988</vt:lpwstr>
  </property>
  <property fmtid="{D5CDD505-2E9C-101B-9397-08002B2CF9AE}" pid="28" name="Group1">
    <vt:lpwstr>9;#Environment, Climate Action and First Peoples|b90772f5-2afa-408f-b8b8-93ad6baba774</vt:lpwstr>
  </property>
  <property fmtid="{D5CDD505-2E9C-101B-9397-08002B2CF9AE}" pid="29" name="Dissemination Limiting Marker">
    <vt:lpwstr>22;#None|cc223d34-0ee9-4df6-81c7-2f6860593f8f</vt:lpwstr>
  </property>
  <property fmtid="{D5CDD505-2E9C-101B-9397-08002B2CF9AE}" pid="30" name="Security Classification">
    <vt:lpwstr>21;#Public|4cf06271-6744-4b13-adab-7df8d80986af</vt:lpwstr>
  </property>
  <property fmtid="{D5CDD505-2E9C-101B-9397-08002B2CF9AE}" pid="31" name="SharedWithUsers">
    <vt:lpwstr>53;#Jim R Thomson (DEECA)</vt:lpwstr>
  </property>
  <property fmtid="{D5CDD505-2E9C-101B-9397-08002B2CF9AE}" pid="32" name="ece32f50ba964e1fbf627a9d83fe6c01">
    <vt:lpwstr>Department of Energy, Environment and Climate Action|6ec2007c-62f7-4367-85b3-4db3e85c504f</vt:lpwstr>
  </property>
  <property fmtid="{D5CDD505-2E9C-101B-9397-08002B2CF9AE}" pid="33" name="RoutingRuleDescription">
    <vt:lpwstr>.</vt:lpwstr>
  </property>
  <property fmtid="{D5CDD505-2E9C-101B-9397-08002B2CF9AE}" pid="34" name="mfe9accc5a0b4653a7b513b67ffd122d">
    <vt:lpwstr>Arthur Rylah Institute|40bc2e25-0176-4bcf-8522-e378037ace7d</vt:lpwstr>
  </property>
  <property fmtid="{D5CDD505-2E9C-101B-9397-08002B2CF9AE}" pid="35" name="n771d69a070c4babbf278c67c8a2b859">
    <vt:lpwstr>Biodiversity|a369ff78-9705-4b66-a29c-499bde0c7988</vt:lpwstr>
  </property>
  <property fmtid="{D5CDD505-2E9C-101B-9397-08002B2CF9AE}" pid="36" name="Language">
    <vt:lpwstr>English</vt:lpwstr>
  </property>
  <property fmtid="{D5CDD505-2E9C-101B-9397-08002B2CF9AE}" pid="37" name="ic50d0a05a8e4d9791dac67f8a1e716c">
    <vt:lpwstr>Environment, Climate Action and First Peoples|b90772f5-2afa-408f-b8b8-93ad6baba774</vt:lpwstr>
  </property>
  <property fmtid="{D5CDD505-2E9C-101B-9397-08002B2CF9AE}" pid="38" name="Record Purpose">
    <vt:lpwstr/>
  </property>
  <property fmtid="{D5CDD505-2E9C-101B-9397-08002B2CF9AE}" pid="39" name="Department Document Type">
    <vt:lpwstr/>
  </property>
  <property fmtid="{D5CDD505-2E9C-101B-9397-08002B2CF9AE}" pid="40" name="_dlc_DocIdItemGuid">
    <vt:lpwstr>6d678e7e-5651-4d0a-90c4-bd88ad2d14a1</vt:lpwstr>
  </property>
  <property fmtid="{D5CDD505-2E9C-101B-9397-08002B2CF9AE}" pid="41" name="Records Class Project">
    <vt:lpwstr>243;#Reporting - Project / Program Evaluation|a5a6bee4-f827-49d9-a73e-dea4bb37a6ce</vt:lpwstr>
  </property>
  <property fmtid="{D5CDD505-2E9C-101B-9397-08002B2CF9AE}" pid="42" name="_docset_NoMedatataSyncRequired">
    <vt:lpwstr>False</vt:lpwstr>
  </property>
  <property fmtid="{D5CDD505-2E9C-101B-9397-08002B2CF9AE}" pid="43" name="Security_x0020_Classification">
    <vt:lpwstr>21;#Public|4cf06271-6744-4b13-adab-7df8d80986af</vt:lpwstr>
  </property>
  <property fmtid="{D5CDD505-2E9C-101B-9397-08002B2CF9AE}" pid="44" name="Dissemination_x0020_Limiting_x0020_Marker">
    <vt:lpwstr>22;#None|cc223d34-0ee9-4df6-81c7-2f6860593f8f</vt:lpwstr>
  </property>
  <property fmtid="{D5CDD505-2E9C-101B-9397-08002B2CF9AE}" pid="45" name="Records_x0020_Classification">
    <vt:lpwstr/>
  </property>
  <property fmtid="{D5CDD505-2E9C-101B-9397-08002B2CF9AE}" pid="46" name="Sub_x002d_Section">
    <vt:lpwstr/>
  </property>
  <property fmtid="{D5CDD505-2E9C-101B-9397-08002B2CF9AE}" pid="47" name="Document_x0020_type">
    <vt:lpwstr/>
  </property>
</Properties>
</file>