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B9A6" w14:textId="77777777" w:rsidR="00B70229" w:rsidRPr="000324FF" w:rsidRDefault="00B70229" w:rsidP="00B70229">
      <w:pPr>
        <w:pStyle w:val="Title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0324FF">
        <w:rPr>
          <w:rFonts w:asciiTheme="minorHAnsi" w:hAnsiTheme="minorHAnsi" w:cstheme="minorHAnsi"/>
          <w:szCs w:val="22"/>
        </w:rPr>
        <w:t>ARI Terrestrial Quarterly Update</w:t>
      </w:r>
    </w:p>
    <w:p w14:paraId="1E2B101D" w14:textId="469477C2" w:rsidR="00B70229" w:rsidRPr="000324FF" w:rsidRDefault="006C2027" w:rsidP="00B70229">
      <w:pPr>
        <w:spacing w:after="0"/>
        <w:ind w:right="57"/>
        <w:rPr>
          <w:rFonts w:cstheme="minorHAnsi"/>
          <w:sz w:val="30"/>
        </w:rPr>
      </w:pPr>
      <w:r>
        <w:rPr>
          <w:rFonts w:cstheme="minorHAnsi"/>
          <w:sz w:val="30"/>
        </w:rPr>
        <w:t>November</w:t>
      </w:r>
      <w:r w:rsidR="00B70229">
        <w:rPr>
          <w:rFonts w:cstheme="minorHAnsi"/>
          <w:sz w:val="30"/>
        </w:rPr>
        <w:t xml:space="preserve"> 2020</w:t>
      </w:r>
    </w:p>
    <w:p w14:paraId="7515F748" w14:textId="77777777" w:rsidR="00B70229" w:rsidRPr="000324FF" w:rsidRDefault="00B70229" w:rsidP="00B70229">
      <w:pPr>
        <w:spacing w:after="0"/>
        <w:ind w:right="57"/>
        <w:rPr>
          <w:rFonts w:cstheme="minorHAnsi"/>
        </w:rPr>
      </w:pPr>
    </w:p>
    <w:p w14:paraId="66BC81AF" w14:textId="77777777" w:rsidR="00B70229" w:rsidRPr="000324FF" w:rsidRDefault="00B70229" w:rsidP="00B70229">
      <w:pPr>
        <w:spacing w:after="0"/>
        <w:ind w:right="57"/>
        <w:rPr>
          <w:rFonts w:cstheme="minorHAnsi"/>
          <w:sz w:val="40"/>
          <w:szCs w:val="40"/>
        </w:rPr>
      </w:pPr>
      <w:r w:rsidRPr="000324FF">
        <w:rPr>
          <w:rFonts w:cstheme="minorHAnsi"/>
          <w:sz w:val="40"/>
          <w:szCs w:val="40"/>
        </w:rPr>
        <w:t>About us</w:t>
      </w:r>
    </w:p>
    <w:p w14:paraId="68C81294" w14:textId="77777777" w:rsidR="00B70229" w:rsidRPr="00B70229" w:rsidRDefault="00B70229" w:rsidP="00B70229">
      <w:pPr>
        <w:rPr>
          <w:rFonts w:cstheme="minorHAnsi"/>
        </w:rPr>
      </w:pPr>
      <w:r w:rsidRPr="00B70229">
        <w:rPr>
          <w:rFonts w:cstheme="minorHAnsi"/>
        </w:rPr>
        <w:t xml:space="preserve">The Arthur Rylah Institute’s terrestrial ecology teams produce high-quality science to support </w:t>
      </w:r>
      <w:proofErr w:type="gramStart"/>
      <w:r w:rsidRPr="00B70229">
        <w:rPr>
          <w:rFonts w:cstheme="minorHAnsi"/>
        </w:rPr>
        <w:t>evidence based</w:t>
      </w:r>
      <w:proofErr w:type="gramEnd"/>
      <w:r w:rsidRPr="00B70229">
        <w:rPr>
          <w:rFonts w:cstheme="minorHAnsi"/>
        </w:rPr>
        <w:t xml:space="preserve"> decision-making by governments and communities. </w:t>
      </w:r>
    </w:p>
    <w:p w14:paraId="5E7DA935" w14:textId="77777777" w:rsidR="00B70229" w:rsidRDefault="00B70229" w:rsidP="00B70229">
      <w:pPr>
        <w:rPr>
          <w:rFonts w:cstheme="minorHAnsi"/>
        </w:rPr>
      </w:pPr>
      <w:r w:rsidRPr="00B70229">
        <w:rPr>
          <w:rFonts w:cstheme="minorHAnsi"/>
        </w:rPr>
        <w:t>Our 45 scientists have extensive expertise in fauna and flora research, ecological modelling and data interpretation. We work collaboratively with national, state and local agencies, universities and the community.</w:t>
      </w:r>
    </w:p>
    <w:p w14:paraId="15D1303F" w14:textId="77777777" w:rsidR="00B70229" w:rsidRPr="000324FF" w:rsidRDefault="00B70229" w:rsidP="00B70229">
      <w:pPr>
        <w:rPr>
          <w:rFonts w:cstheme="minorHAnsi"/>
        </w:rPr>
      </w:pPr>
    </w:p>
    <w:p w14:paraId="5DF87BD4" w14:textId="77777777" w:rsidR="006C2027" w:rsidRDefault="006C2027" w:rsidP="00B70229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t>What makes a successful fox control program?</w:t>
      </w:r>
    </w:p>
    <w:p w14:paraId="0BDEF8EE" w14:textId="77777777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Australian fauna is extremely susceptible to fox predation which has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contributed to numerous extinctions of ‘critical weight range’ (35 g – 5.5 kg)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mammals. Significant investment in baiting programs has been made over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long periods with the aim to minimise the impacts of foxes on native fauna.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However, there is limited knowledge about how differences in fox bait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deployment influence the effectiveness of fox control programs.</w:t>
      </w:r>
      <w:r>
        <w:rPr>
          <w:rFonts w:cstheme="minorHAnsi"/>
        </w:rPr>
        <w:t xml:space="preserve"> </w:t>
      </w:r>
    </w:p>
    <w:p w14:paraId="683068B6" w14:textId="77777777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ARI’s Alan Robley and Lachlan Francis (in collaboration with The University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Melbourne) have applied a fox population model ‘FoxNet’ across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numerous fox control programs to determine changes in fox numbers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 response to various fox baiting strategies. The results of the report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provide guidance on the spatial scale, bait layout, bait density and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timing of baiting required for successful fox control programs.</w:t>
      </w:r>
      <w:r>
        <w:rPr>
          <w:rFonts w:cstheme="minorHAnsi"/>
        </w:rPr>
        <w:t xml:space="preserve"> </w:t>
      </w:r>
    </w:p>
    <w:p w14:paraId="7C81FBE6" w14:textId="77777777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The development of a transparent approach for quantitatively assessing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current and future investment in fox control in Victoria will improve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design of future fox control projects and help guide the best use of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funding. It is anticipated that this will improve the conservation of native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fauna across a range of spatial and temporal scales.</w:t>
      </w:r>
      <w:r>
        <w:rPr>
          <w:rFonts w:cstheme="minorHAnsi"/>
        </w:rPr>
        <w:t xml:space="preserve"> </w:t>
      </w:r>
    </w:p>
    <w:p w14:paraId="0873A11D" w14:textId="2AF76FF2" w:rsidR="00B70229" w:rsidRDefault="006C2027" w:rsidP="006C2027">
      <w:pPr>
        <w:rPr>
          <w:rFonts w:cstheme="minorHAnsi"/>
        </w:rPr>
      </w:pPr>
      <w:r w:rsidRPr="006C2027">
        <w:rPr>
          <w:rFonts w:cstheme="minorHAnsi"/>
        </w:rPr>
        <w:t>See the ARI website for a summary of the work.</w:t>
      </w:r>
    </w:p>
    <w:p w14:paraId="718E6609" w14:textId="77777777" w:rsidR="006C2027" w:rsidRPr="000324FF" w:rsidRDefault="006C2027" w:rsidP="006C2027">
      <w:pPr>
        <w:rPr>
          <w:rFonts w:cstheme="minorHAnsi"/>
        </w:rPr>
      </w:pPr>
    </w:p>
    <w:p w14:paraId="452F5E30" w14:textId="77777777" w:rsidR="006C2027" w:rsidRDefault="006C2027" w:rsidP="00B70229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t>Join ARI in the field – virtually</w:t>
      </w:r>
    </w:p>
    <w:p w14:paraId="73AE1B59" w14:textId="44E88F42" w:rsidR="00B70229" w:rsidRDefault="006C2027" w:rsidP="006C2027">
      <w:pPr>
        <w:rPr>
          <w:rFonts w:cstheme="minorHAnsi"/>
        </w:rPr>
      </w:pPr>
      <w:r w:rsidRPr="006C2027">
        <w:rPr>
          <w:rFonts w:cstheme="minorHAnsi"/>
        </w:rPr>
        <w:t>Not everyone can experience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the wonder of Victoria’s nature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like ARI scientists do. ARI’s Andy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Geschke has set out to share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the stories and passion of our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ARI researchers with a 360°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perspective in virtual reality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(VR) films. The films create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virtual, first-hand experiences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to bring ARI science to life.</w:t>
      </w:r>
    </w:p>
    <w:p w14:paraId="423FF71A" w14:textId="77777777" w:rsidR="006C2027" w:rsidRDefault="006C2027" w:rsidP="006C2027">
      <w:pPr>
        <w:rPr>
          <w:rFonts w:cstheme="minorHAnsi"/>
        </w:rPr>
      </w:pPr>
      <w:r>
        <w:rPr>
          <w:rFonts w:cstheme="minorHAnsi"/>
        </w:rPr>
        <w:t>I</w:t>
      </w:r>
      <w:r w:rsidRPr="006C2027">
        <w:rPr>
          <w:rFonts w:cstheme="minorHAnsi"/>
        </w:rPr>
        <w:t>t is hoped these films inspire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viewers to be curious about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ARI’s research, connect with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 xml:space="preserve">the natural </w:t>
      </w:r>
      <w:r>
        <w:rPr>
          <w:rFonts w:cstheme="minorHAnsi"/>
        </w:rPr>
        <w:t xml:space="preserve"> w</w:t>
      </w:r>
      <w:r w:rsidRPr="006C2027">
        <w:rPr>
          <w:rFonts w:cstheme="minorHAnsi"/>
        </w:rPr>
        <w:t>orld and learn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something new about Victoria’s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amazing fauna and flora.</w:t>
      </w:r>
      <w:r>
        <w:rPr>
          <w:rFonts w:cstheme="minorHAnsi"/>
        </w:rPr>
        <w:t xml:space="preserve"> </w:t>
      </w:r>
    </w:p>
    <w:p w14:paraId="28CCA906" w14:textId="19508D0D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 xml:space="preserve">Take a walk with our </w:t>
      </w:r>
      <w:r>
        <w:rPr>
          <w:rFonts w:cstheme="minorHAnsi"/>
        </w:rPr>
        <w:t xml:space="preserve"> s</w:t>
      </w:r>
      <w:r w:rsidRPr="006C2027">
        <w:rPr>
          <w:rFonts w:cstheme="minorHAnsi"/>
        </w:rPr>
        <w:t>cientists in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the field by visiting our website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(VR headset not mandatory).</w:t>
      </w:r>
    </w:p>
    <w:p w14:paraId="7F98B61C" w14:textId="77777777" w:rsidR="006C2027" w:rsidRDefault="006C2027" w:rsidP="006C2027">
      <w:pPr>
        <w:rPr>
          <w:rFonts w:cstheme="minorHAnsi"/>
          <w:bCs/>
          <w:sz w:val="40"/>
          <w:szCs w:val="40"/>
        </w:rPr>
      </w:pPr>
    </w:p>
    <w:p w14:paraId="601815AF" w14:textId="77777777" w:rsidR="006C2027" w:rsidRDefault="006C2027" w:rsidP="006C2027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lastRenderedPageBreak/>
        <w:t>ARI brought Banksia experts together to</w:t>
      </w:r>
      <w:r>
        <w:rPr>
          <w:rFonts w:cstheme="minorHAnsi"/>
          <w:bCs/>
          <w:sz w:val="40"/>
          <w:szCs w:val="40"/>
        </w:rPr>
        <w:t xml:space="preserve"> </w:t>
      </w:r>
      <w:r w:rsidRPr="006C2027">
        <w:rPr>
          <w:rFonts w:cstheme="minorHAnsi"/>
          <w:bCs/>
          <w:sz w:val="40"/>
          <w:szCs w:val="40"/>
        </w:rPr>
        <w:t>share knowledge and advance science</w:t>
      </w:r>
    </w:p>
    <w:p w14:paraId="3ABBC7E4" w14:textId="77777777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Victorian Banksias are facing decline due to climate change,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frequent fire and fragmentation. ARI’s Annette Muir ran an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online workshop that brought together Banksia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 xml:space="preserve">experts from government </w:t>
      </w:r>
      <w:r>
        <w:rPr>
          <w:rFonts w:cstheme="minorHAnsi"/>
        </w:rPr>
        <w:t xml:space="preserve"> a</w:t>
      </w:r>
      <w:r w:rsidRPr="006C2027">
        <w:rPr>
          <w:rFonts w:cstheme="minorHAnsi"/>
        </w:rPr>
        <w:t>gencies, universities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and volunteer groups.</w:t>
      </w:r>
      <w:r>
        <w:rPr>
          <w:rFonts w:cstheme="minorHAnsi"/>
        </w:rPr>
        <w:t xml:space="preserve"> </w:t>
      </w:r>
    </w:p>
    <w:p w14:paraId="355E0D0E" w14:textId="2FC3BF3C" w:rsidR="00B70229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The workshop documented our existing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knowledge on population trends of six Victorian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Banksia species. A number of adaptive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management strategies were identified; including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modifications to fire planning, and augmentation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small populations. The online format, due to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 xml:space="preserve">COVID-19 </w:t>
      </w:r>
      <w:r>
        <w:rPr>
          <w:rFonts w:cstheme="minorHAnsi"/>
        </w:rPr>
        <w:t xml:space="preserve"> r</w:t>
      </w:r>
      <w:r w:rsidRPr="006C2027">
        <w:rPr>
          <w:rFonts w:cstheme="minorHAnsi"/>
        </w:rPr>
        <w:t>estrictions, enabled the participation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people from around Victoria and interstate who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might not have otherwise attended.</w:t>
      </w:r>
    </w:p>
    <w:p w14:paraId="038C34F2" w14:textId="77777777" w:rsidR="006C2027" w:rsidRDefault="006C2027" w:rsidP="006C2027">
      <w:pPr>
        <w:rPr>
          <w:rFonts w:cstheme="minorHAnsi"/>
          <w:bCs/>
        </w:rPr>
      </w:pPr>
    </w:p>
    <w:p w14:paraId="7427B3B7" w14:textId="4349806F" w:rsidR="00B70229" w:rsidRDefault="006C2027" w:rsidP="00B70229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t>Impacts of COVID19 on biodiversity</w:t>
      </w:r>
    </w:p>
    <w:p w14:paraId="256B2CD4" w14:textId="26D078FE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While COVID-19 is having a profound impact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on human life, we also have a duty to think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about how it will influence biodiversity.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ARI’s Tracey Regan is co-author of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 recent editorial that provides a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snapshot of the quickly evolving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situation in relation to global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biodiversity.</w:t>
      </w:r>
    </w:p>
    <w:p w14:paraId="24E85858" w14:textId="34D7DAB7" w:rsidR="00B70229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The publication offers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encouragement and insights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 xml:space="preserve">from colleagues in </w:t>
      </w:r>
      <w:proofErr w:type="gramStart"/>
      <w:r w:rsidRPr="006C2027">
        <w:rPr>
          <w:rFonts w:cstheme="minorHAnsi"/>
        </w:rPr>
        <w:t>lockdown,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and</w:t>
      </w:r>
      <w:proofErr w:type="gramEnd"/>
      <w:r w:rsidRPr="006C2027">
        <w:rPr>
          <w:rFonts w:cstheme="minorHAnsi"/>
        </w:rPr>
        <w:t xml:space="preserve"> is available online via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ScienceDirect website.</w:t>
      </w:r>
    </w:p>
    <w:p w14:paraId="57EE7E2A" w14:textId="77777777" w:rsidR="006C2027" w:rsidRPr="000324FF" w:rsidRDefault="006C2027" w:rsidP="006C2027">
      <w:pPr>
        <w:rPr>
          <w:rFonts w:cstheme="minorHAnsi"/>
        </w:rPr>
      </w:pPr>
    </w:p>
    <w:p w14:paraId="7F7BE9E3" w14:textId="77777777" w:rsidR="006C2027" w:rsidRDefault="006C2027" w:rsidP="006C2027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t>Identifying cost-effective</w:t>
      </w:r>
      <w:r>
        <w:rPr>
          <w:rFonts w:cstheme="minorHAnsi"/>
          <w:bCs/>
          <w:sz w:val="40"/>
          <w:szCs w:val="40"/>
        </w:rPr>
        <w:t xml:space="preserve"> </w:t>
      </w:r>
      <w:r w:rsidRPr="006C2027">
        <w:rPr>
          <w:rFonts w:cstheme="minorHAnsi"/>
          <w:bCs/>
          <w:sz w:val="40"/>
          <w:szCs w:val="40"/>
        </w:rPr>
        <w:t>management actions</w:t>
      </w:r>
    </w:p>
    <w:p w14:paraId="774F9101" w14:textId="7DC9FA56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Making decisions about the best way to spend limited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conservation funds across Victoria is an urgent,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but complex task. Until recently, approaches to this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problem relied almost entirely on expert opinion;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however, with the emergence of powerful computing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and the need for more transparent and reproducible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approaches, this is rapidly being replaced with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systematic planning tools that better support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evidence-based decision making.</w:t>
      </w:r>
    </w:p>
    <w:p w14:paraId="21F8923E" w14:textId="52CEA2EC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A team of DELWP scientists, led by ARI’s Jim Thomson,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have developed a spatial conservation action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planning tool ‘Strategic Management Prospects’.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This tool forms part of Victoria’s NaturePrint suite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decision-support products that are providing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significant advances for prioritisation of conservation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actions.</w:t>
      </w:r>
    </w:p>
    <w:p w14:paraId="264AE9B7" w14:textId="5509CC83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The Strategic Management Prospect tool (otherwise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known as SMP) combines species distributions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(via habitat distribution models) for 4400 native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terrestrial species, 19 modelled threats (for example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foxes and weeds), 17 management actions and their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associated costs and benefits, across the state. This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information can be used to rank location-specific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actions by their cost-effectiveness to minimising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risk of species loss in Victoria over the next 50 years.</w:t>
      </w:r>
    </w:p>
    <w:p w14:paraId="1CC46D71" w14:textId="1C3EC978" w:rsidR="00B70229" w:rsidRPr="000324FF" w:rsidRDefault="006C2027" w:rsidP="006C2027">
      <w:pPr>
        <w:rPr>
          <w:rFonts w:cstheme="minorHAnsi"/>
        </w:rPr>
      </w:pPr>
      <w:r w:rsidRPr="006C2027">
        <w:rPr>
          <w:rFonts w:cstheme="minorHAnsi"/>
        </w:rPr>
        <w:t>SMP provides decision-makers in Victoria with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transparent evidence for identifying cost-effective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actions at a range of scales relevant to management.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 recently published peer reviewed article provides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more technical information about this extremely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impressive and important tool.</w:t>
      </w:r>
    </w:p>
    <w:p w14:paraId="6787D2BA" w14:textId="77777777" w:rsidR="006C2027" w:rsidRDefault="006C2027" w:rsidP="00B70229">
      <w:pPr>
        <w:rPr>
          <w:rFonts w:cstheme="minorHAnsi"/>
          <w:bCs/>
          <w:sz w:val="40"/>
          <w:szCs w:val="40"/>
        </w:rPr>
      </w:pPr>
    </w:p>
    <w:p w14:paraId="3B91196B" w14:textId="77777777" w:rsidR="006C2027" w:rsidRDefault="006C2027" w:rsidP="006C2027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lastRenderedPageBreak/>
        <w:t>Using genetics to inform and improve</w:t>
      </w:r>
      <w:r>
        <w:rPr>
          <w:rFonts w:cstheme="minorHAnsi"/>
          <w:bCs/>
          <w:sz w:val="40"/>
          <w:szCs w:val="40"/>
        </w:rPr>
        <w:t xml:space="preserve"> </w:t>
      </w:r>
      <w:r w:rsidRPr="006C2027">
        <w:rPr>
          <w:rFonts w:cstheme="minorHAnsi"/>
          <w:bCs/>
          <w:sz w:val="40"/>
          <w:szCs w:val="40"/>
        </w:rPr>
        <w:t>conservation of a threatened mammal</w:t>
      </w:r>
    </w:p>
    <w:p w14:paraId="2D91754F" w14:textId="77777777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In Victoria, there is a critical need to consider genetic diversity as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part of effective approaches to conservation as it relates to habitat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fragmentation, bushfires and climate change.</w:t>
      </w:r>
      <w:r>
        <w:rPr>
          <w:rFonts w:cstheme="minorHAnsi"/>
        </w:rPr>
        <w:t xml:space="preserve"> </w:t>
      </w:r>
    </w:p>
    <w:p w14:paraId="49AD7192" w14:textId="2741F44E" w:rsidR="00B70229" w:rsidRDefault="006C2027" w:rsidP="006C2027">
      <w:pPr>
        <w:rPr>
          <w:rFonts w:cstheme="minorHAnsi"/>
        </w:rPr>
      </w:pPr>
      <w:r w:rsidRPr="006C2027">
        <w:rPr>
          <w:rFonts w:cstheme="minorHAnsi"/>
        </w:rPr>
        <w:t>ARI’s Carlo Pacioni has led a series of projects, in collaboration with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Murdoch University and the Western Australian Department of Biodiversity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Conservation and Attractions, aimed at improving the conservation status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the critically endangered Woylie (</w:t>
      </w:r>
      <w:proofErr w:type="spellStart"/>
      <w:r w:rsidRPr="006C2027">
        <w:rPr>
          <w:rFonts w:cstheme="minorHAnsi"/>
        </w:rPr>
        <w:t>Bettongia</w:t>
      </w:r>
      <w:proofErr w:type="spellEnd"/>
      <w:r w:rsidRPr="006C2027">
        <w:rPr>
          <w:rFonts w:cstheme="minorHAnsi"/>
        </w:rPr>
        <w:t xml:space="preserve"> </w:t>
      </w:r>
      <w:proofErr w:type="spellStart"/>
      <w:r w:rsidRPr="006C2027">
        <w:rPr>
          <w:rFonts w:cstheme="minorHAnsi"/>
        </w:rPr>
        <w:t>penicillata</w:t>
      </w:r>
      <w:proofErr w:type="spellEnd"/>
      <w:r w:rsidRPr="006C2027">
        <w:rPr>
          <w:rFonts w:cstheme="minorHAnsi"/>
        </w:rPr>
        <w:t>). The work uses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genetics to investigate the role of translocation as a conservation strategy.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 particular, the work aims to improve the utility of mathematical models to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inform the design and targets of translocation programs for threatened species.</w:t>
      </w:r>
    </w:p>
    <w:p w14:paraId="2A61A9EE" w14:textId="77777777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This work has:</w:t>
      </w:r>
    </w:p>
    <w:p w14:paraId="233C6941" w14:textId="1809997C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• developed a modelling framework (alt link) that combines genetic diversity with other ‘real-life’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forces (e.g. breeding success, survival rates) to provide practical management options</w:t>
      </w:r>
    </w:p>
    <w:p w14:paraId="5F9EB1A9" w14:textId="77777777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• validated the modelling framework using the Woylie as a case study</w:t>
      </w:r>
    </w:p>
    <w:p w14:paraId="6612926F" w14:textId="77777777" w:rsidR="006C2027" w:rsidRP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• designed a trapping regime to ensure individuals sourced for translocations are unrelated</w:t>
      </w:r>
    </w:p>
    <w:p w14:paraId="28461D65" w14:textId="4274343E" w:rsidR="006C2027" w:rsidRDefault="006C2027" w:rsidP="006C2027">
      <w:pPr>
        <w:rPr>
          <w:rFonts w:cstheme="minorHAnsi"/>
        </w:rPr>
      </w:pPr>
      <w:r w:rsidRPr="006C2027">
        <w:rPr>
          <w:rFonts w:cstheme="minorHAnsi"/>
        </w:rPr>
        <w:t>This large body of evidence, and associated tools, will ensure that the risk of extinctions for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threatened species being considered for translocation programs is reduced, improving conservation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outcomes for these species.</w:t>
      </w:r>
    </w:p>
    <w:p w14:paraId="7F050BCE" w14:textId="77777777" w:rsidR="006C2027" w:rsidRDefault="006C2027" w:rsidP="006C2027">
      <w:pPr>
        <w:rPr>
          <w:rFonts w:cstheme="minorHAnsi"/>
        </w:rPr>
      </w:pPr>
    </w:p>
    <w:p w14:paraId="18EAE717" w14:textId="77777777" w:rsidR="006C2027" w:rsidRDefault="006C2027" w:rsidP="006C2027">
      <w:pPr>
        <w:rPr>
          <w:rFonts w:cstheme="minorHAnsi"/>
          <w:bCs/>
          <w:sz w:val="40"/>
          <w:szCs w:val="40"/>
        </w:rPr>
      </w:pPr>
      <w:r w:rsidRPr="006C2027">
        <w:rPr>
          <w:rFonts w:cstheme="minorHAnsi"/>
          <w:bCs/>
          <w:sz w:val="40"/>
          <w:szCs w:val="40"/>
        </w:rPr>
        <w:t>Integrating different types of evidence to</w:t>
      </w:r>
      <w:r>
        <w:rPr>
          <w:rFonts w:cstheme="minorHAnsi"/>
          <w:bCs/>
          <w:sz w:val="40"/>
          <w:szCs w:val="40"/>
        </w:rPr>
        <w:t xml:space="preserve"> </w:t>
      </w:r>
      <w:r w:rsidRPr="006C2027">
        <w:rPr>
          <w:rFonts w:cstheme="minorHAnsi"/>
          <w:bCs/>
          <w:sz w:val="40"/>
          <w:szCs w:val="40"/>
        </w:rPr>
        <w:t>improve decision making</w:t>
      </w:r>
    </w:p>
    <w:p w14:paraId="2411C28A" w14:textId="058251F4" w:rsidR="006C2027" w:rsidRPr="006C2027" w:rsidRDefault="006C2027" w:rsidP="006C202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C2027">
        <w:rPr>
          <w:rFonts w:cstheme="minorHAnsi"/>
        </w:rPr>
        <w:t>The Fire Analysis Module for Ecological Values (FAME) is an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award-winning decision analysis tool used for fire management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planning in Victoria which was developed by ARI and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University of Melbourne. FAME brings together spatial data on fire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history, vegetation and animal populations to evaluate the impacts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of fire on ecological values. An important aspect of FAME is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ability to predict how species will respond to bushfires and planned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burns. These predictions are helping land managers plan for a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combination of forest ages that will allow all species to thrive.</w:t>
      </w:r>
    </w:p>
    <w:p w14:paraId="368DA4FE" w14:textId="3F20CA85" w:rsidR="006C2027" w:rsidRPr="006C2027" w:rsidRDefault="006C2027" w:rsidP="006C202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C2027">
        <w:rPr>
          <w:rFonts w:cstheme="minorHAnsi"/>
        </w:rPr>
        <w:t>One of the key aspects of FAME is that it is adaptable. New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information (either refined expert knowledge or data) can be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incorporated into FAME to ensure predictions are based on the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best available knowledge. However, the variety of survey methods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and expert predictions all have different measurement scales,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and FAME doesn’t yet include a process for blending them.</w:t>
      </w:r>
    </w:p>
    <w:p w14:paraId="0B4B7591" w14:textId="78A0DD8A" w:rsidR="00B70229" w:rsidRDefault="006C2027" w:rsidP="006C2027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  <w:r w:rsidRPr="006C2027">
        <w:rPr>
          <w:rFonts w:cstheme="minorHAnsi"/>
        </w:rPr>
        <w:t>ARI’s Cindy Hauser has been building a statistical model that will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allow multiple sources of new information to be incorporated into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the tool to improve predictions. As new information about how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ecological values respond to fire is generated, the FAME tool will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better reflect our current understanding and optimise</w:t>
      </w:r>
      <w:r>
        <w:rPr>
          <w:rFonts w:cstheme="minorHAnsi"/>
        </w:rPr>
        <w:t xml:space="preserve"> </w:t>
      </w:r>
      <w:r w:rsidRPr="006C2027">
        <w:rPr>
          <w:rFonts w:cstheme="minorHAnsi"/>
        </w:rPr>
        <w:t>fire as an effective management tool in an uncertain future.</w:t>
      </w:r>
    </w:p>
    <w:p w14:paraId="68E9FCB6" w14:textId="77777777" w:rsidR="00A5559F" w:rsidRDefault="00A5559F" w:rsidP="00B70229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</w:p>
    <w:p w14:paraId="7390C56E" w14:textId="77777777" w:rsidR="00A5559F" w:rsidRDefault="00A5559F" w:rsidP="00B70229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</w:p>
    <w:p w14:paraId="13F2FBB5" w14:textId="77777777" w:rsidR="00B70229" w:rsidRPr="000324FF" w:rsidRDefault="00B70229" w:rsidP="00B70229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  <w:r w:rsidRPr="000324FF">
        <w:rPr>
          <w:rFonts w:eastAsia="Calibri" w:cstheme="minorHAnsi"/>
          <w:bCs/>
          <w:sz w:val="40"/>
          <w:szCs w:val="40"/>
        </w:rPr>
        <w:lastRenderedPageBreak/>
        <w:t>Feature publications:</w:t>
      </w:r>
    </w:p>
    <w:p w14:paraId="305CD8F8" w14:textId="7300B678" w:rsidR="00D045F3" w:rsidRP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>Thomson, J., Regan, T.R., Hollings, T., Amos, N., Geary, W.L., Parkes, D., Hauser, C.E. and White, M. (2020). Spatial conservation action planning in heterogeneous landscapes. Biological Conservation, 250: 108735.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https://doi.org/10.1016/j.biocon.2020.108735</w:t>
      </w:r>
    </w:p>
    <w:p w14:paraId="121D8310" w14:textId="2828D50D" w:rsidR="00D045F3" w:rsidRP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 xml:space="preserve">Pacioni, C., Ramsey, D.S.L., </w:t>
      </w:r>
      <w:proofErr w:type="spellStart"/>
      <w:r w:rsidRPr="00D045F3">
        <w:rPr>
          <w:rFonts w:cstheme="minorHAnsi"/>
        </w:rPr>
        <w:t>Schumaker</w:t>
      </w:r>
      <w:proofErr w:type="spellEnd"/>
      <w:r w:rsidRPr="00D045F3">
        <w:rPr>
          <w:rFonts w:cstheme="minorHAnsi"/>
        </w:rPr>
        <w:t xml:space="preserve">, N.H., </w:t>
      </w:r>
      <w:proofErr w:type="spellStart"/>
      <w:r w:rsidRPr="00D045F3">
        <w:rPr>
          <w:rFonts w:cstheme="minorHAnsi"/>
        </w:rPr>
        <w:t>Kreplins</w:t>
      </w:r>
      <w:proofErr w:type="spellEnd"/>
      <w:r w:rsidRPr="00D045F3">
        <w:rPr>
          <w:rFonts w:cstheme="minorHAnsi"/>
        </w:rPr>
        <w:t>, T. and Kennedy, M.S. (2020). A novel modelling framework to explicitly simulate predator interaction with poison baits. Wildlife Research (early online).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https://doi.org/10.1071/WR19193</w:t>
      </w:r>
    </w:p>
    <w:p w14:paraId="6DAB52DD" w14:textId="37BF1A25" w:rsidR="00D045F3" w:rsidRP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>Watson, G.M., French, K. and Collins, L., (2020). Timber harvest and frequent prescribed burning interact to affect the demography of Eucalypt species. Forest Ecology and Management, 475: 118463.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https://doi.org/10.1016/j.foreco.2020.118463</w:t>
      </w:r>
    </w:p>
    <w:p w14:paraId="6096CC2A" w14:textId="77777777" w:rsidR="00D045F3" w:rsidRP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 xml:space="preserve">Kohout, M., </w:t>
      </w:r>
      <w:proofErr w:type="spellStart"/>
      <w:r w:rsidRPr="00D045F3">
        <w:rPr>
          <w:rFonts w:cstheme="minorHAnsi"/>
        </w:rPr>
        <w:t>Coupar</w:t>
      </w:r>
      <w:proofErr w:type="spellEnd"/>
      <w:r w:rsidRPr="00D045F3">
        <w:rPr>
          <w:rFonts w:cstheme="minorHAnsi"/>
        </w:rPr>
        <w:t>, P. and Elliott, M. (2020). Battling an “aggressive pioneer” after fire: ‘Phytolacca octandra’ (Inkweed). Journal of the Australian Network for Plant Conservation, 29: 7-8. https://search.informit.com.au/documentSummary;dn=279438688585677;res=IELIAC</w:t>
      </w:r>
    </w:p>
    <w:p w14:paraId="7B57260F" w14:textId="04AD1C50" w:rsid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>Muir, A., Bluff, L., Moloney, P., Amos, N., and Thomson, J. (2020) Hairpin Banksia: A widespread plant threatened with decline by frequent fires. Journal of the Australian Network for Plant Conservation, 29: 9-11.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https://search.informit.com.au/documentSummary;dn=279457321556936;res=IELIAC</w:t>
      </w:r>
    </w:p>
    <w:p w14:paraId="069604A1" w14:textId="3A5DCB35" w:rsidR="00D045F3" w:rsidRPr="00D045F3" w:rsidRDefault="00D045F3" w:rsidP="00D045F3">
      <w:pPr>
        <w:rPr>
          <w:rFonts w:cstheme="minorHAnsi"/>
        </w:rPr>
      </w:pPr>
      <w:r w:rsidRPr="00D045F3">
        <w:rPr>
          <w:rFonts w:cstheme="minorHAnsi"/>
        </w:rPr>
        <w:t>Conservation</w:t>
      </w:r>
      <w:r w:rsidRPr="00D045F3">
        <w:t xml:space="preserve"> </w:t>
      </w:r>
      <w:proofErr w:type="spellStart"/>
      <w:r w:rsidRPr="00D045F3">
        <w:rPr>
          <w:rFonts w:cstheme="minorHAnsi"/>
        </w:rPr>
        <w:t>Wimpenny</w:t>
      </w:r>
      <w:proofErr w:type="spellEnd"/>
      <w:r w:rsidRPr="00D045F3">
        <w:rPr>
          <w:rFonts w:cstheme="minorHAnsi"/>
        </w:rPr>
        <w:t xml:space="preserve">, C., Silva, F.R.O., Miller, E.J. and </w:t>
      </w:r>
      <w:proofErr w:type="spellStart"/>
      <w:r w:rsidRPr="00D045F3">
        <w:rPr>
          <w:rFonts w:cstheme="minorHAnsi"/>
        </w:rPr>
        <w:t>Scanes</w:t>
      </w:r>
      <w:proofErr w:type="spellEnd"/>
      <w:r w:rsidRPr="00D045F3">
        <w:rPr>
          <w:rFonts w:cstheme="minorHAnsi"/>
        </w:rPr>
        <w:t xml:space="preserve">, E. (2020). Reference intervals for parameters of health of eastern grey kangaroos Macropus </w:t>
      </w:r>
      <w:proofErr w:type="spellStart"/>
      <w:r w:rsidRPr="00D045F3">
        <w:rPr>
          <w:rFonts w:cstheme="minorHAnsi"/>
        </w:rPr>
        <w:t>giganteus</w:t>
      </w:r>
      <w:proofErr w:type="spellEnd"/>
      <w:r w:rsidRPr="00D045F3">
        <w:rPr>
          <w:rFonts w:cstheme="minorHAnsi"/>
        </w:rPr>
        <w:t xml:space="preserve"> and management implications across their geographic range. Wildlife Biology, 2020(3).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https://doi.org/10.2981/wlb.00692</w:t>
      </w:r>
    </w:p>
    <w:p w14:paraId="576822FD" w14:textId="0CF926C7" w:rsidR="00D045F3" w:rsidRPr="00D045F3" w:rsidRDefault="00D045F3" w:rsidP="00D045F3">
      <w:pPr>
        <w:rPr>
          <w:rFonts w:cstheme="minorHAnsi"/>
        </w:rPr>
      </w:pPr>
      <w:proofErr w:type="spellStart"/>
      <w:r w:rsidRPr="00D045F3">
        <w:rPr>
          <w:rFonts w:cstheme="minorHAnsi"/>
        </w:rPr>
        <w:t>Huaman</w:t>
      </w:r>
      <w:proofErr w:type="spellEnd"/>
      <w:r w:rsidRPr="00D045F3">
        <w:rPr>
          <w:rFonts w:cstheme="minorHAnsi"/>
        </w:rPr>
        <w:t xml:space="preserve">, J.L., Pacioni, C., Forsyth, D.M., </w:t>
      </w:r>
      <w:proofErr w:type="spellStart"/>
      <w:r w:rsidRPr="00D045F3">
        <w:rPr>
          <w:rFonts w:cstheme="minorHAnsi"/>
        </w:rPr>
        <w:t>Pople</w:t>
      </w:r>
      <w:proofErr w:type="spellEnd"/>
      <w:r w:rsidRPr="00D045F3">
        <w:rPr>
          <w:rFonts w:cstheme="minorHAnsi"/>
        </w:rPr>
        <w:t xml:space="preserve">, A., Hampton, J.O., Carvalho, T.G. and </w:t>
      </w:r>
      <w:proofErr w:type="spellStart"/>
      <w:r w:rsidRPr="00D045F3">
        <w:rPr>
          <w:rFonts w:cstheme="minorHAnsi"/>
        </w:rPr>
        <w:t>Helbig</w:t>
      </w:r>
      <w:proofErr w:type="spellEnd"/>
      <w:r w:rsidRPr="00D045F3">
        <w:rPr>
          <w:rFonts w:cstheme="minorHAnsi"/>
        </w:rPr>
        <w:t xml:space="preserve">, K.J. (2020). </w:t>
      </w:r>
      <w:proofErr w:type="spellStart"/>
      <w:r w:rsidRPr="00D045F3">
        <w:rPr>
          <w:rFonts w:cstheme="minorHAnsi"/>
        </w:rPr>
        <w:t>Serosurveillance</w:t>
      </w:r>
      <w:proofErr w:type="spellEnd"/>
      <w:r w:rsidRPr="00D045F3">
        <w:rPr>
          <w:rFonts w:cstheme="minorHAnsi"/>
        </w:rPr>
        <w:t xml:space="preserve"> and molecular investigation of wild deer in Australia reveals seroprevalence of </w:t>
      </w:r>
      <w:proofErr w:type="spellStart"/>
      <w:r w:rsidRPr="00D045F3">
        <w:rPr>
          <w:rFonts w:cstheme="minorHAnsi"/>
        </w:rPr>
        <w:t>Pestivirus</w:t>
      </w:r>
      <w:proofErr w:type="spellEnd"/>
      <w:r w:rsidRPr="00D045F3">
        <w:rPr>
          <w:rFonts w:cstheme="minorHAnsi"/>
        </w:rPr>
        <w:t xml:space="preserve"> Infection. Viruses, 12:752.</w:t>
      </w:r>
      <w:r>
        <w:rPr>
          <w:rFonts w:cstheme="minorHAnsi"/>
        </w:rPr>
        <w:t xml:space="preserve"> </w:t>
      </w:r>
      <w:r w:rsidRPr="00D045F3">
        <w:rPr>
          <w:rFonts w:cstheme="minorHAnsi"/>
        </w:rPr>
        <w:t>https://doi.org/10.3390/v12070752</w:t>
      </w:r>
    </w:p>
    <w:p w14:paraId="511322FE" w14:textId="77777777" w:rsidR="00D045F3" w:rsidRPr="00D045F3" w:rsidRDefault="00D045F3" w:rsidP="00D045F3">
      <w:pPr>
        <w:rPr>
          <w:rFonts w:cstheme="minorHAnsi"/>
        </w:rPr>
      </w:pPr>
      <w:proofErr w:type="spellStart"/>
      <w:r w:rsidRPr="00D045F3">
        <w:rPr>
          <w:rFonts w:cstheme="minorHAnsi"/>
        </w:rPr>
        <w:t>McNellie</w:t>
      </w:r>
      <w:proofErr w:type="spellEnd"/>
      <w:r w:rsidRPr="00D045F3">
        <w:rPr>
          <w:rFonts w:cstheme="minorHAnsi"/>
        </w:rPr>
        <w:t>, M.J., Oliver, I., Dorrough, J., Ferrier, S., Newell, G. and Gibbons, P. (2020). Reference state and benchmark concepts for better biodiversity conservation in contemporary ecosystems. Preprints 2020, 2020070093. https://doi.org/10.20944/preprints202007.0093.v1</w:t>
      </w:r>
    </w:p>
    <w:p w14:paraId="6A66D4D4" w14:textId="6632575E" w:rsidR="00D045F3" w:rsidRDefault="00D045F3" w:rsidP="00D045F3">
      <w:pPr>
        <w:rPr>
          <w:rFonts w:eastAsia="Calibri" w:cstheme="minorHAnsi"/>
          <w:bCs/>
          <w:sz w:val="40"/>
          <w:szCs w:val="40"/>
        </w:rPr>
      </w:pPr>
      <w:r w:rsidRPr="00D045F3">
        <w:rPr>
          <w:rFonts w:cstheme="minorHAnsi"/>
        </w:rPr>
        <w:t xml:space="preserve">Wagner, B., Baker P., Stewart S., B., Lumsden L., Nelson J., Durkin L., Cripps J., Scroggie M., Bluff L. and </w:t>
      </w:r>
      <w:proofErr w:type="spellStart"/>
      <w:r w:rsidRPr="00D045F3">
        <w:rPr>
          <w:rFonts w:cstheme="minorHAnsi"/>
        </w:rPr>
        <w:t>Nitschke</w:t>
      </w:r>
      <w:proofErr w:type="spellEnd"/>
      <w:r w:rsidRPr="00D045F3">
        <w:rPr>
          <w:rFonts w:cstheme="minorHAnsi"/>
        </w:rPr>
        <w:t xml:space="preserve"> C. (2020). Climate change drives habitat contraction of a nocturnal arboreal marsupial at its physiological limits. Ecosphere 11(10). https://doi.org/10.1002/ecs2.3262</w:t>
      </w:r>
      <w:r>
        <w:rPr>
          <w:rFonts w:cstheme="minorHAnsi"/>
        </w:rPr>
        <w:t xml:space="preserve"> </w:t>
      </w:r>
      <w:r w:rsidRPr="00D045F3">
        <w:rPr>
          <w:rFonts w:eastAsia="Calibri" w:cstheme="minorHAnsi"/>
          <w:bCs/>
          <w:sz w:val="40"/>
          <w:szCs w:val="40"/>
        </w:rPr>
        <w:t xml:space="preserve"> </w:t>
      </w:r>
    </w:p>
    <w:p w14:paraId="3CC4CC5D" w14:textId="395AC5E6" w:rsidR="00A5559F" w:rsidRDefault="00A5559F" w:rsidP="00D045F3">
      <w:pPr>
        <w:rPr>
          <w:rFonts w:eastAsia="Calibri" w:cstheme="minorHAnsi"/>
          <w:bCs/>
          <w:sz w:val="40"/>
          <w:szCs w:val="40"/>
        </w:rPr>
      </w:pPr>
      <w:r>
        <w:rPr>
          <w:rFonts w:eastAsia="Calibri" w:cstheme="minorHAnsi"/>
          <w:bCs/>
          <w:sz w:val="40"/>
          <w:szCs w:val="40"/>
        </w:rPr>
        <w:br w:type="page"/>
      </w:r>
    </w:p>
    <w:p w14:paraId="64E0DE94" w14:textId="77777777" w:rsidR="00B70229" w:rsidRPr="000324FF" w:rsidRDefault="00B70229" w:rsidP="00B70229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  <w:r w:rsidRPr="000324FF">
        <w:rPr>
          <w:rFonts w:eastAsia="Calibri" w:cstheme="minorHAnsi"/>
          <w:bCs/>
          <w:sz w:val="40"/>
          <w:szCs w:val="40"/>
        </w:rPr>
        <w:lastRenderedPageBreak/>
        <w:t>Knowledge transfer:</w:t>
      </w:r>
    </w:p>
    <w:p w14:paraId="21C7C8F5" w14:textId="77777777" w:rsidR="00B70229" w:rsidRPr="000324FF" w:rsidRDefault="00B70229" w:rsidP="00B70229">
      <w:pPr>
        <w:spacing w:before="120" w:after="120" w:line="240" w:lineRule="auto"/>
        <w:contextualSpacing/>
        <w:rPr>
          <w:rFonts w:eastAsia="Times New Roman" w:cstheme="minorHAnsi"/>
        </w:rPr>
      </w:pPr>
      <w:r w:rsidRPr="000324FF">
        <w:rPr>
          <w:rFonts w:eastAsia="Times New Roman" w:cstheme="minorHAnsi"/>
        </w:rPr>
        <w:t>ARI seminars</w:t>
      </w:r>
      <w:r>
        <w:rPr>
          <w:rFonts w:eastAsia="Times New Roman" w:cstheme="minorHAnsi"/>
        </w:rPr>
        <w:t>:</w:t>
      </w:r>
    </w:p>
    <w:p w14:paraId="0B0FC6A0" w14:textId="77777777" w:rsidR="00D045F3" w:rsidRDefault="00D045F3" w:rsidP="00D045F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‘Marvellous, mysterious mammals: ARI’s legacy in mammal research over recent decades’</w:t>
      </w:r>
      <w:r>
        <w:rPr>
          <w:rFonts w:eastAsia="Times New Roman" w:cstheme="minorHAnsi"/>
        </w:rPr>
        <w:t xml:space="preserve"> </w:t>
      </w:r>
      <w:r w:rsidRPr="00D045F3">
        <w:rPr>
          <w:rFonts w:eastAsia="Times New Roman" w:cstheme="minorHAnsi"/>
        </w:rPr>
        <w:t>(Lindy Lumsden, Wildlife Ecology Section) LIVE ATTENDANCES EXCEEDED 300‘</w:t>
      </w:r>
    </w:p>
    <w:p w14:paraId="3D56DC87" w14:textId="77777777" w:rsidR="00D045F3" w:rsidRDefault="00D045F3" w:rsidP="00D045F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ARI’s bright future – science, policy and collaboration’ (Josephine MacHunter, Tracey Regan, Annique Harris, Khorloo Batpurev) LIVE ATTENDANCES EXCEEDED 150</w:t>
      </w:r>
    </w:p>
    <w:p w14:paraId="064E10E0" w14:textId="77777777" w:rsidR="00D045F3" w:rsidRDefault="00D045F3" w:rsidP="00D045F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‘Laying the foundations: wildlife research at ARI, 1970-1995’ (Peter Menkhorst, Waterbirds and Wetlands Program) LIVE ATTENDANCES EXCEEDED 250</w:t>
      </w:r>
      <w:r>
        <w:rPr>
          <w:rFonts w:eastAsia="Times New Roman" w:cstheme="minorHAnsi"/>
        </w:rPr>
        <w:t xml:space="preserve"> </w:t>
      </w:r>
    </w:p>
    <w:p w14:paraId="719BD92C" w14:textId="77777777" w:rsidR="00D045F3" w:rsidRDefault="00D045F3" w:rsidP="00D045F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‘Nature conservation in Victoria 1969-2020 – an abridged and idiosyncratic rendering’ (Matt White, Ecological Analysis and Synthesis Program) LIVE ATTENDANCES EXCEEDED 150</w:t>
      </w:r>
    </w:p>
    <w:p w14:paraId="0ED144AB" w14:textId="3E61D502" w:rsidR="00A5559F" w:rsidRDefault="00D045F3" w:rsidP="00D045F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‘ARI: celebrating 50 years of great science that matters for Victorians’ (Kim Lowe, ARI Director)</w:t>
      </w:r>
      <w:r>
        <w:rPr>
          <w:rFonts w:eastAsia="Times New Roman" w:cstheme="minorHAnsi"/>
        </w:rPr>
        <w:t xml:space="preserve"> </w:t>
      </w:r>
      <w:r w:rsidRPr="00D045F3">
        <w:rPr>
          <w:rFonts w:eastAsia="Times New Roman" w:cstheme="minorHAnsi"/>
        </w:rPr>
        <w:t xml:space="preserve">LIVE ATTENDANCES EXCEEDED 200 </w:t>
      </w:r>
      <w:r w:rsidR="00A5559F" w:rsidRPr="00D045F3">
        <w:rPr>
          <w:rFonts w:eastAsia="Times New Roman" w:cstheme="minorHAnsi"/>
        </w:rPr>
        <w:t xml:space="preserve">World Congress of Herpetology: </w:t>
      </w:r>
    </w:p>
    <w:p w14:paraId="4A358F0F" w14:textId="13D58947" w:rsidR="00D045F3" w:rsidRDefault="00D045F3" w:rsidP="00D045F3">
      <w:pPr>
        <w:spacing w:before="120"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DELWP Science Symposium:</w:t>
      </w:r>
    </w:p>
    <w:p w14:paraId="60A38327" w14:textId="77777777" w:rsidR="00D045F3" w:rsidRPr="00D045F3" w:rsidRDefault="00D045F3" w:rsidP="00D045F3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‘Regional Forest Agreements – Landscape scale surveys for flora and fauna’ (Jemma Cripps, Threatened Fauna Program)</w:t>
      </w:r>
    </w:p>
    <w:p w14:paraId="7BEB4E19" w14:textId="77777777" w:rsidR="00D045F3" w:rsidRPr="00D045F3" w:rsidRDefault="00D045F3" w:rsidP="00D045F3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‘Monitoring weed control activities in Melbourne’s peri-urban environment’ (Brad Farmilo, Vegetation Ecology and Threatened Flora Program)</w:t>
      </w:r>
    </w:p>
    <w:p w14:paraId="23A97A29" w14:textId="42EA69E6" w:rsidR="00D045F3" w:rsidRPr="00D045F3" w:rsidRDefault="00D045F3" w:rsidP="00D045F3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 xml:space="preserve">‘Investigating patterns of </w:t>
      </w:r>
      <w:proofErr w:type="spellStart"/>
      <w:r w:rsidRPr="00D045F3">
        <w:rPr>
          <w:rFonts w:eastAsia="Times New Roman" w:cstheme="minorHAnsi"/>
        </w:rPr>
        <w:t>recolonisation</w:t>
      </w:r>
      <w:proofErr w:type="spellEnd"/>
      <w:r w:rsidRPr="00D045F3">
        <w:rPr>
          <w:rFonts w:eastAsia="Times New Roman" w:cstheme="minorHAnsi"/>
        </w:rPr>
        <w:t xml:space="preserve"> and recovery by Leadbeater’s Possum after the 2009 Black Saturday </w:t>
      </w:r>
      <w:proofErr w:type="spellStart"/>
      <w:r w:rsidRPr="00D045F3">
        <w:rPr>
          <w:rFonts w:eastAsia="Times New Roman" w:cstheme="minorHAnsi"/>
        </w:rPr>
        <w:t>bushfires’</w:t>
      </w:r>
      <w:proofErr w:type="spellEnd"/>
      <w:r w:rsidRPr="00D045F3">
        <w:rPr>
          <w:rFonts w:eastAsia="Times New Roman" w:cstheme="minorHAnsi"/>
        </w:rPr>
        <w:t xml:space="preserve"> (Louise Durkin, Threatened Fauna Program)</w:t>
      </w:r>
    </w:p>
    <w:p w14:paraId="50E3DDA1" w14:textId="37C0462B" w:rsidR="00D045F3" w:rsidRPr="00D045F3" w:rsidRDefault="00D045F3" w:rsidP="00D045F3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</w:rPr>
      </w:pPr>
      <w:r w:rsidRPr="00D045F3">
        <w:rPr>
          <w:rFonts w:eastAsia="Times New Roman" w:cstheme="minorHAnsi"/>
        </w:rPr>
        <w:t>‘Greater FAME: building better stats into the Fire Analysis Module for Ecological values’ (Cindy Hauser, Ecological Analysis and Synthesis Program)</w:t>
      </w:r>
    </w:p>
    <w:p w14:paraId="02335205" w14:textId="77777777" w:rsidR="00A5559F" w:rsidRDefault="00A5559F" w:rsidP="00B70229">
      <w:pPr>
        <w:spacing w:after="0"/>
        <w:ind w:right="57"/>
        <w:rPr>
          <w:rFonts w:cstheme="minorHAnsi"/>
        </w:rPr>
      </w:pPr>
    </w:p>
    <w:p w14:paraId="05DE37FA" w14:textId="77777777" w:rsidR="00A5559F" w:rsidRDefault="00A5559F" w:rsidP="00B70229">
      <w:pPr>
        <w:spacing w:after="0"/>
        <w:ind w:right="57"/>
        <w:rPr>
          <w:rFonts w:cstheme="minorHAnsi"/>
        </w:rPr>
      </w:pPr>
    </w:p>
    <w:p w14:paraId="3916211A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Further info: research.ari@delwp.vic.gov.au</w:t>
      </w:r>
    </w:p>
    <w:p w14:paraId="2100C485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ari.vic.gov.au</w:t>
      </w:r>
    </w:p>
    <w:p w14:paraId="357FE3F4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delwp.vic.gov.au</w:t>
      </w:r>
    </w:p>
    <w:p w14:paraId="0658E5FB" w14:textId="77777777" w:rsidR="00B70229" w:rsidRPr="000324FF" w:rsidRDefault="00B70229" w:rsidP="00B70229">
      <w:pPr>
        <w:spacing w:before="120" w:after="120" w:line="240" w:lineRule="auto"/>
        <w:rPr>
          <w:rFonts w:cstheme="minorHAnsi"/>
        </w:rPr>
      </w:pPr>
    </w:p>
    <w:p w14:paraId="1B7B7599" w14:textId="77777777" w:rsidR="00EC1232" w:rsidRDefault="00EC1232"/>
    <w:sectPr w:rsidR="00EC1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DBF"/>
    <w:multiLevelType w:val="hybridMultilevel"/>
    <w:tmpl w:val="33303B66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75C6"/>
    <w:multiLevelType w:val="hybridMultilevel"/>
    <w:tmpl w:val="EE524514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099"/>
    <w:multiLevelType w:val="hybridMultilevel"/>
    <w:tmpl w:val="EAAE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73BA"/>
    <w:multiLevelType w:val="hybridMultilevel"/>
    <w:tmpl w:val="E24AACE2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518D"/>
    <w:multiLevelType w:val="hybridMultilevel"/>
    <w:tmpl w:val="B65E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2F34"/>
    <w:multiLevelType w:val="hybridMultilevel"/>
    <w:tmpl w:val="3E9C3AFE"/>
    <w:lvl w:ilvl="0" w:tplc="8D125AF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BelvNGA0uU1b/A1BUNSfpSYpyDtt8wzduESLQGc0Pm2lbcGa82IJ9JmXc+fWYQp1XOAuBBvqNL8w5b/fLN5lYw==" w:salt="t22al05B9UvYf3hrnWPE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9"/>
    <w:rsid w:val="002340EA"/>
    <w:rsid w:val="006C2027"/>
    <w:rsid w:val="00A5559F"/>
    <w:rsid w:val="00B70229"/>
    <w:rsid w:val="00D045F3"/>
    <w:rsid w:val="00EC1232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D3EE"/>
  <w15:chartTrackingRefBased/>
  <w15:docId w15:val="{9269F41B-8C36-46BC-AEED-5DB5687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229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229"/>
    <w:rPr>
      <w:rFonts w:ascii="Calibri" w:eastAsiaTheme="majorEastAsia" w:hAnsi="Calibr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B70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15" ma:contentTypeDescription="Create a new document." ma:contentTypeScope="" ma:versionID="a646b2768ba341ccc29820ad7464509c">
  <xsd:schema xmlns:xsd="http://www.w3.org/2001/XMLSchema" xmlns:xs="http://www.w3.org/2001/XMLSchema" xmlns:p="http://schemas.microsoft.com/office/2006/metadata/properties" xmlns:ns3="5e575a25-7d84-42fa-979f-41a456df14de" xmlns:ns4="bd7ba2a5-f47d-4c97-9d59-3f16e5162700" xmlns:ns5="a5f32de4-e402-4188-b034-e71ca7d22e54" targetNamespace="http://schemas.microsoft.com/office/2006/metadata/properties" ma:root="true" ma:fieldsID="b0e01c761ead6b51406773cf61675ae7" ns3:_="" ns4:_="" ns5:_="">
    <xsd:import namespace="5e575a25-7d84-42fa-979f-41a456df14de"/>
    <xsd:import namespace="bd7ba2a5-f47d-4c97-9d59-3f16e5162700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380B0-4323-4641-8C3D-6644127D9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062D6-456A-4D7B-9D08-8072D2717E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804291-93ED-4CE5-A520-DA98B80157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73D813-1ECB-4765-8C0D-35EE1DC15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5a25-7d84-42fa-979f-41a456df14de"/>
    <ds:schemaRef ds:uri="bd7ba2a5-f47d-4c97-9d59-3f16e5162700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C856A0-763C-4CFA-B789-4CCA1E712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1752</Words>
  <Characters>9989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 Farmilo (DELWP)</dc:creator>
  <cp:keywords/>
  <dc:description/>
  <cp:lastModifiedBy>Phoebe V Macak (DELWP)</cp:lastModifiedBy>
  <cp:revision>3</cp:revision>
  <dcterms:created xsi:type="dcterms:W3CDTF">2020-11-15T22:50:00Z</dcterms:created>
  <dcterms:modified xsi:type="dcterms:W3CDTF">2020-11-15T23:06:00Z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</Properties>
</file>