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3"/>
        <w:ind w:left="1010" w:right="0" w:firstLine="0"/>
        <w:jc w:val="left"/>
        <w:rPr>
          <w:b/>
          <w:sz w:val="40"/>
        </w:rPr>
      </w:pPr>
      <w:r>
        <w:rPr>
          <w:b/>
          <w:sz w:val="40"/>
        </w:rPr>
        <mc:AlternateContent>
          <mc:Choice Requires="wps">
            <w:drawing>
              <wp:anchor distT="0" distB="0" distL="0" distR="0" allowOverlap="1" layoutInCell="1" locked="0" behindDoc="1" simplePos="0" relativeHeight="485920256">
                <wp:simplePos x="0" y="0"/>
                <wp:positionH relativeFrom="page">
                  <wp:posOffset>3505834</wp:posOffset>
                </wp:positionH>
                <wp:positionV relativeFrom="page">
                  <wp:posOffset>10387583</wp:posOffset>
                </wp:positionV>
                <wp:extent cx="550545" cy="1524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50545" cy="152400"/>
                        </a:xfrm>
                        <a:prstGeom prst="rect">
                          <a:avLst/>
                        </a:prstGeom>
                      </wps:spPr>
                      <wps:txbx>
                        <w:txbxContent>
                          <w:p>
                            <w:pPr>
                              <w:spacing w:line="240" w:lineRule="exact" w:before="0"/>
                              <w:ind w:left="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76.049988pt;margin-top:817.919983pt;width:43.35pt;height:12pt;mso-position-horizontal-relative:page;mso-position-vertical-relative:page;z-index:-17396224" type="#_x0000_t202" id="docshape1" filled="false" stroked="false">
                <v:textbox inset="0,0,0,0">
                  <w:txbxContent>
                    <w:p>
                      <w:pPr>
                        <w:spacing w:line="240" w:lineRule="exact" w:before="0"/>
                        <w:ind w:left="0" w:right="0" w:firstLine="0"/>
                        <w:jc w:val="left"/>
                        <w:rPr>
                          <w:rFonts w:ascii="Calibri"/>
                          <w:sz w:val="24"/>
                        </w:rPr>
                      </w:pPr>
                      <w:r>
                        <w:rPr>
                          <w:rFonts w:ascii="Calibri"/>
                          <w:spacing w:val="-2"/>
                          <w:sz w:val="24"/>
                        </w:rPr>
                        <w:t>OFFICIAL</w:t>
                      </w:r>
                    </w:p>
                  </w:txbxContent>
                </v:textbox>
                <w10:wrap type="none"/>
              </v:shape>
            </w:pict>
          </mc:Fallback>
        </mc:AlternateContent>
      </w:r>
      <w:r>
        <w:rPr>
          <w:b/>
          <w:color w:val="1F1546"/>
          <w:sz w:val="40"/>
        </w:rPr>
        <w:t>Glenelg</w:t>
      </w:r>
      <w:r>
        <w:rPr>
          <w:b/>
          <w:color w:val="1F1546"/>
          <w:spacing w:val="-7"/>
          <w:sz w:val="40"/>
        </w:rPr>
        <w:t> </w:t>
      </w:r>
      <w:r>
        <w:rPr>
          <w:b/>
          <w:color w:val="1F1546"/>
          <w:sz w:val="40"/>
        </w:rPr>
        <w:t>Ark—2023</w:t>
      </w:r>
      <w:r>
        <w:rPr>
          <w:b/>
          <w:color w:val="1F1546"/>
          <w:spacing w:val="-5"/>
          <w:sz w:val="40"/>
        </w:rPr>
        <w:t> </w:t>
      </w:r>
      <w:r>
        <w:rPr>
          <w:b/>
          <w:color w:val="1F1546"/>
          <w:sz w:val="40"/>
        </w:rPr>
        <w:t>monitoring</w:t>
      </w:r>
      <w:r>
        <w:rPr>
          <w:b/>
          <w:color w:val="1F1546"/>
          <w:spacing w:val="-7"/>
          <w:sz w:val="40"/>
        </w:rPr>
        <w:t> </w:t>
      </w:r>
      <w:r>
        <w:rPr>
          <w:b/>
          <w:color w:val="1F1546"/>
          <w:sz w:val="40"/>
        </w:rPr>
        <w:t>and</w:t>
      </w:r>
      <w:r>
        <w:rPr>
          <w:b/>
          <w:color w:val="1F1546"/>
          <w:spacing w:val="-6"/>
          <w:sz w:val="40"/>
        </w:rPr>
        <w:t> </w:t>
      </w:r>
      <w:r>
        <w:rPr>
          <w:b/>
          <w:color w:val="1F1546"/>
          <w:sz w:val="40"/>
        </w:rPr>
        <w:t>evaluation</w:t>
      </w:r>
      <w:r>
        <w:rPr>
          <w:b/>
          <w:color w:val="1F1546"/>
          <w:spacing w:val="-6"/>
          <w:sz w:val="40"/>
        </w:rPr>
        <w:t> </w:t>
      </w:r>
      <w:r>
        <w:rPr>
          <w:b/>
          <w:color w:val="1F1546"/>
          <w:spacing w:val="-2"/>
          <w:sz w:val="40"/>
        </w:rPr>
        <w:t>update</w:t>
      </w:r>
    </w:p>
    <w:p>
      <w:pPr>
        <w:pStyle w:val="Heading3"/>
        <w:spacing w:line="448" w:lineRule="auto" w:before="360"/>
        <w:ind w:left="1010" w:right="6139"/>
      </w:pPr>
      <w:r>
        <w:rPr/>
        <mc:AlternateContent>
          <mc:Choice Requires="wps">
            <w:drawing>
              <wp:anchor distT="0" distB="0" distL="0" distR="0" allowOverlap="1" layoutInCell="1" locked="0" behindDoc="0" simplePos="0" relativeHeight="15730176">
                <wp:simplePos x="0" y="0"/>
                <wp:positionH relativeFrom="page">
                  <wp:posOffset>0</wp:posOffset>
                </wp:positionH>
                <wp:positionV relativeFrom="paragraph">
                  <wp:posOffset>1310563</wp:posOffset>
                </wp:positionV>
                <wp:extent cx="7560945" cy="607695"/>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560945" cy="607695"/>
                          <a:chExt cx="7560945" cy="607695"/>
                        </a:xfrm>
                      </wpg:grpSpPr>
                      <wps:wsp>
                        <wps:cNvPr id="3" name="Graphic 3"/>
                        <wps:cNvSpPr/>
                        <wps:spPr>
                          <a:xfrm>
                            <a:off x="0" y="0"/>
                            <a:ext cx="7560945" cy="607695"/>
                          </a:xfrm>
                          <a:custGeom>
                            <a:avLst/>
                            <a:gdLst/>
                            <a:ahLst/>
                            <a:cxnLst/>
                            <a:rect l="l" t="t" r="r" b="b"/>
                            <a:pathLst>
                              <a:path w="7560945" h="607695">
                                <a:moveTo>
                                  <a:pt x="0" y="0"/>
                                </a:moveTo>
                                <a:lnTo>
                                  <a:pt x="0" y="607288"/>
                                </a:lnTo>
                                <a:lnTo>
                                  <a:pt x="7560564" y="607288"/>
                                </a:lnTo>
                                <a:lnTo>
                                  <a:pt x="7560564" y="0"/>
                                </a:lnTo>
                                <a:lnTo>
                                  <a:pt x="0" y="0"/>
                                </a:lnTo>
                                <a:close/>
                              </a:path>
                            </a:pathLst>
                          </a:custGeom>
                          <a:solidFill>
                            <a:srgbClr val="1F1546"/>
                          </a:solidFill>
                        </wps:spPr>
                        <wps:bodyPr wrap="square" lIns="0" tIns="0" rIns="0" bIns="0" rtlCol="0">
                          <a:prstTxWarp prst="textNoShape">
                            <a:avLst/>
                          </a:prstTxWarp>
                          <a:noAutofit/>
                        </wps:bodyPr>
                      </wps:wsp>
                      <wps:wsp>
                        <wps:cNvPr id="4" name="Textbox 4"/>
                        <wps:cNvSpPr txBox="1"/>
                        <wps:spPr>
                          <a:xfrm>
                            <a:off x="0" y="0"/>
                            <a:ext cx="7560945" cy="607695"/>
                          </a:xfrm>
                          <a:prstGeom prst="rect">
                            <a:avLst/>
                          </a:prstGeom>
                        </wps:spPr>
                        <wps:txbx>
                          <w:txbxContent>
                            <w:p>
                              <w:pPr>
                                <w:spacing w:line="240" w:lineRule="auto" w:before="87"/>
                                <w:rPr>
                                  <w:b/>
                                  <w:sz w:val="24"/>
                                </w:rPr>
                              </w:pPr>
                            </w:p>
                            <w:p>
                              <w:pPr>
                                <w:spacing w:before="0"/>
                                <w:ind w:left="950" w:right="0" w:firstLine="0"/>
                                <w:jc w:val="left"/>
                                <w:rPr>
                                  <w:b/>
                                  <w:sz w:val="24"/>
                                </w:rPr>
                              </w:pPr>
                              <w:r>
                                <w:rPr>
                                  <w:b/>
                                  <w:color w:val="F8F9E8"/>
                                  <w:sz w:val="24"/>
                                </w:rPr>
                                <w:t>Arthur</w:t>
                              </w:r>
                              <w:r>
                                <w:rPr>
                                  <w:b/>
                                  <w:color w:val="F8F9E8"/>
                                  <w:spacing w:val="-5"/>
                                  <w:sz w:val="24"/>
                                </w:rPr>
                                <w:t> </w:t>
                              </w:r>
                              <w:r>
                                <w:rPr>
                                  <w:b/>
                                  <w:color w:val="F8F9E8"/>
                                  <w:sz w:val="24"/>
                                </w:rPr>
                                <w:t>Rylah</w:t>
                              </w:r>
                              <w:r>
                                <w:rPr>
                                  <w:b/>
                                  <w:color w:val="F8F9E8"/>
                                  <w:spacing w:val="-5"/>
                                  <w:sz w:val="24"/>
                                </w:rPr>
                                <w:t> </w:t>
                              </w:r>
                              <w:r>
                                <w:rPr>
                                  <w:b/>
                                  <w:color w:val="F8F9E8"/>
                                  <w:sz w:val="24"/>
                                </w:rPr>
                                <w:t>Institute</w:t>
                              </w:r>
                              <w:r>
                                <w:rPr>
                                  <w:b/>
                                  <w:color w:val="F8F9E8"/>
                                  <w:spacing w:val="-7"/>
                                  <w:sz w:val="24"/>
                                </w:rPr>
                                <w:t> </w:t>
                              </w:r>
                              <w:r>
                                <w:rPr>
                                  <w:b/>
                                  <w:color w:val="F8F9E8"/>
                                  <w:sz w:val="24"/>
                                </w:rPr>
                                <w:t>for</w:t>
                              </w:r>
                              <w:r>
                                <w:rPr>
                                  <w:b/>
                                  <w:color w:val="F8F9E8"/>
                                  <w:spacing w:val="-4"/>
                                  <w:sz w:val="24"/>
                                </w:rPr>
                                <w:t> </w:t>
                              </w:r>
                              <w:r>
                                <w:rPr>
                                  <w:b/>
                                  <w:color w:val="F8F9E8"/>
                                  <w:sz w:val="24"/>
                                </w:rPr>
                                <w:t>Environmental</w:t>
                              </w:r>
                              <w:r>
                                <w:rPr>
                                  <w:b/>
                                  <w:color w:val="F8F9E8"/>
                                  <w:spacing w:val="-7"/>
                                  <w:sz w:val="24"/>
                                </w:rPr>
                                <w:t> </w:t>
                              </w:r>
                              <w:r>
                                <w:rPr>
                                  <w:b/>
                                  <w:color w:val="F8F9E8"/>
                                  <w:sz w:val="24"/>
                                </w:rPr>
                                <w:t>Research</w:t>
                              </w:r>
                              <w:r>
                                <w:rPr>
                                  <w:b/>
                                  <w:color w:val="F8F9E8"/>
                                  <w:spacing w:val="-3"/>
                                  <w:sz w:val="24"/>
                                </w:rPr>
                                <w:t> </w:t>
                              </w:r>
                              <w:r>
                                <w:rPr>
                                  <w:b/>
                                  <w:color w:val="FFFFFF"/>
                                  <w:sz w:val="24"/>
                                </w:rPr>
                                <w:t>Technical</w:t>
                              </w:r>
                              <w:r>
                                <w:rPr>
                                  <w:b/>
                                  <w:color w:val="FFFFFF"/>
                                  <w:spacing w:val="-4"/>
                                  <w:sz w:val="24"/>
                                </w:rPr>
                                <w:t> </w:t>
                              </w:r>
                              <w:r>
                                <w:rPr>
                                  <w:b/>
                                  <w:color w:val="FFFFFF"/>
                                  <w:sz w:val="24"/>
                                </w:rPr>
                                <w:t>Report</w:t>
                              </w:r>
                              <w:r>
                                <w:rPr>
                                  <w:b/>
                                  <w:color w:val="FFFFFF"/>
                                  <w:spacing w:val="-6"/>
                                  <w:sz w:val="24"/>
                                </w:rPr>
                                <w:t> </w:t>
                              </w:r>
                              <w:r>
                                <w:rPr>
                                  <w:b/>
                                  <w:color w:val="FFFFFF"/>
                                  <w:sz w:val="24"/>
                                </w:rPr>
                                <w:t>Series</w:t>
                              </w:r>
                              <w:r>
                                <w:rPr>
                                  <w:b/>
                                  <w:color w:val="FFFFFF"/>
                                  <w:spacing w:val="-5"/>
                                  <w:sz w:val="24"/>
                                </w:rPr>
                                <w:t> </w:t>
                              </w:r>
                              <w:r>
                                <w:rPr>
                                  <w:b/>
                                  <w:color w:val="FFFFFF"/>
                                  <w:spacing w:val="-2"/>
                                  <w:sz w:val="24"/>
                                </w:rPr>
                                <w:t>No.380</w:t>
                              </w:r>
                            </w:p>
                          </w:txbxContent>
                        </wps:txbx>
                        <wps:bodyPr wrap="square" lIns="0" tIns="0" rIns="0" bIns="0" rtlCol="0">
                          <a:noAutofit/>
                        </wps:bodyPr>
                      </wps:wsp>
                    </wpg:wgp>
                  </a:graphicData>
                </a:graphic>
              </wp:anchor>
            </w:drawing>
          </mc:Choice>
          <mc:Fallback>
            <w:pict>
              <v:group style="position:absolute;margin-left:0pt;margin-top:103.193954pt;width:595.35pt;height:47.85pt;mso-position-horizontal-relative:page;mso-position-vertical-relative:paragraph;z-index:15730176" id="docshapegroup2" coordorigin="0,2064" coordsize="11907,957">
                <v:rect style="position:absolute;left:0;top:2063;width:11907;height:957" id="docshape3" filled="true" fillcolor="#1f1546" stroked="false">
                  <v:fill type="solid"/>
                </v:rect>
                <v:shape style="position:absolute;left:0;top:2063;width:11907;height:957" type="#_x0000_t202" id="docshape4" filled="false" stroked="false">
                  <v:textbox inset="0,0,0,0">
                    <w:txbxContent>
                      <w:p>
                        <w:pPr>
                          <w:spacing w:line="240" w:lineRule="auto" w:before="87"/>
                          <w:rPr>
                            <w:b/>
                            <w:sz w:val="24"/>
                          </w:rPr>
                        </w:pPr>
                      </w:p>
                      <w:p>
                        <w:pPr>
                          <w:spacing w:before="0"/>
                          <w:ind w:left="950" w:right="0" w:firstLine="0"/>
                          <w:jc w:val="left"/>
                          <w:rPr>
                            <w:b/>
                            <w:sz w:val="24"/>
                          </w:rPr>
                        </w:pPr>
                        <w:r>
                          <w:rPr>
                            <w:b/>
                            <w:color w:val="F8F9E8"/>
                            <w:sz w:val="24"/>
                          </w:rPr>
                          <w:t>Arthur</w:t>
                        </w:r>
                        <w:r>
                          <w:rPr>
                            <w:b/>
                            <w:color w:val="F8F9E8"/>
                            <w:spacing w:val="-5"/>
                            <w:sz w:val="24"/>
                          </w:rPr>
                          <w:t> </w:t>
                        </w:r>
                        <w:r>
                          <w:rPr>
                            <w:b/>
                            <w:color w:val="F8F9E8"/>
                            <w:sz w:val="24"/>
                          </w:rPr>
                          <w:t>Rylah</w:t>
                        </w:r>
                        <w:r>
                          <w:rPr>
                            <w:b/>
                            <w:color w:val="F8F9E8"/>
                            <w:spacing w:val="-5"/>
                            <w:sz w:val="24"/>
                          </w:rPr>
                          <w:t> </w:t>
                        </w:r>
                        <w:r>
                          <w:rPr>
                            <w:b/>
                            <w:color w:val="F8F9E8"/>
                            <w:sz w:val="24"/>
                          </w:rPr>
                          <w:t>Institute</w:t>
                        </w:r>
                        <w:r>
                          <w:rPr>
                            <w:b/>
                            <w:color w:val="F8F9E8"/>
                            <w:spacing w:val="-7"/>
                            <w:sz w:val="24"/>
                          </w:rPr>
                          <w:t> </w:t>
                        </w:r>
                        <w:r>
                          <w:rPr>
                            <w:b/>
                            <w:color w:val="F8F9E8"/>
                            <w:sz w:val="24"/>
                          </w:rPr>
                          <w:t>for</w:t>
                        </w:r>
                        <w:r>
                          <w:rPr>
                            <w:b/>
                            <w:color w:val="F8F9E8"/>
                            <w:spacing w:val="-4"/>
                            <w:sz w:val="24"/>
                          </w:rPr>
                          <w:t> </w:t>
                        </w:r>
                        <w:r>
                          <w:rPr>
                            <w:b/>
                            <w:color w:val="F8F9E8"/>
                            <w:sz w:val="24"/>
                          </w:rPr>
                          <w:t>Environmental</w:t>
                        </w:r>
                        <w:r>
                          <w:rPr>
                            <w:b/>
                            <w:color w:val="F8F9E8"/>
                            <w:spacing w:val="-7"/>
                            <w:sz w:val="24"/>
                          </w:rPr>
                          <w:t> </w:t>
                        </w:r>
                        <w:r>
                          <w:rPr>
                            <w:b/>
                            <w:color w:val="F8F9E8"/>
                            <w:sz w:val="24"/>
                          </w:rPr>
                          <w:t>Research</w:t>
                        </w:r>
                        <w:r>
                          <w:rPr>
                            <w:b/>
                            <w:color w:val="F8F9E8"/>
                            <w:spacing w:val="-3"/>
                            <w:sz w:val="24"/>
                          </w:rPr>
                          <w:t> </w:t>
                        </w:r>
                        <w:r>
                          <w:rPr>
                            <w:b/>
                            <w:color w:val="FFFFFF"/>
                            <w:sz w:val="24"/>
                          </w:rPr>
                          <w:t>Technical</w:t>
                        </w:r>
                        <w:r>
                          <w:rPr>
                            <w:b/>
                            <w:color w:val="FFFFFF"/>
                            <w:spacing w:val="-4"/>
                            <w:sz w:val="24"/>
                          </w:rPr>
                          <w:t> </w:t>
                        </w:r>
                        <w:r>
                          <w:rPr>
                            <w:b/>
                            <w:color w:val="FFFFFF"/>
                            <w:sz w:val="24"/>
                          </w:rPr>
                          <w:t>Report</w:t>
                        </w:r>
                        <w:r>
                          <w:rPr>
                            <w:b/>
                            <w:color w:val="FFFFFF"/>
                            <w:spacing w:val="-6"/>
                            <w:sz w:val="24"/>
                          </w:rPr>
                          <w:t> </w:t>
                        </w:r>
                        <w:r>
                          <w:rPr>
                            <w:b/>
                            <w:color w:val="FFFFFF"/>
                            <w:sz w:val="24"/>
                          </w:rPr>
                          <w:t>Series</w:t>
                        </w:r>
                        <w:r>
                          <w:rPr>
                            <w:b/>
                            <w:color w:val="FFFFFF"/>
                            <w:spacing w:val="-5"/>
                            <w:sz w:val="24"/>
                          </w:rPr>
                          <w:t> </w:t>
                        </w:r>
                        <w:r>
                          <w:rPr>
                            <w:b/>
                            <w:color w:val="FFFFFF"/>
                            <w:spacing w:val="-2"/>
                            <w:sz w:val="24"/>
                          </w:rPr>
                          <w:t>No.380</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0688">
                <wp:simplePos x="0" y="0"/>
                <wp:positionH relativeFrom="page">
                  <wp:posOffset>0</wp:posOffset>
                </wp:positionH>
                <wp:positionV relativeFrom="paragraph">
                  <wp:posOffset>1921534</wp:posOffset>
                </wp:positionV>
                <wp:extent cx="7562215" cy="7706995"/>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7562215" cy="7706995"/>
                          <a:chExt cx="7562215" cy="7706995"/>
                        </a:xfrm>
                      </wpg:grpSpPr>
                      <pic:pic>
                        <pic:nvPicPr>
                          <pic:cNvPr id="6" name="Image 6"/>
                          <pic:cNvPicPr/>
                        </pic:nvPicPr>
                        <pic:blipFill>
                          <a:blip r:embed="rId5" cstate="print"/>
                          <a:stretch>
                            <a:fillRect/>
                          </a:stretch>
                        </pic:blipFill>
                        <pic:spPr>
                          <a:xfrm>
                            <a:off x="5569674" y="6841854"/>
                            <a:ext cx="771345" cy="437576"/>
                          </a:xfrm>
                          <a:prstGeom prst="rect">
                            <a:avLst/>
                          </a:prstGeom>
                        </pic:spPr>
                      </pic:pic>
                      <wps:wsp>
                        <wps:cNvPr id="7" name="Graphic 7"/>
                        <wps:cNvSpPr/>
                        <wps:spPr>
                          <a:xfrm>
                            <a:off x="6444060" y="6987507"/>
                            <a:ext cx="2540" cy="243840"/>
                          </a:xfrm>
                          <a:custGeom>
                            <a:avLst/>
                            <a:gdLst/>
                            <a:ahLst/>
                            <a:cxnLst/>
                            <a:rect l="l" t="t" r="r" b="b"/>
                            <a:pathLst>
                              <a:path w="2540" h="243840">
                                <a:moveTo>
                                  <a:pt x="2052" y="0"/>
                                </a:moveTo>
                                <a:lnTo>
                                  <a:pt x="0" y="0"/>
                                </a:lnTo>
                                <a:lnTo>
                                  <a:pt x="0" y="243233"/>
                                </a:lnTo>
                                <a:lnTo>
                                  <a:pt x="2052" y="243233"/>
                                </a:lnTo>
                                <a:lnTo>
                                  <a:pt x="2052" y="0"/>
                                </a:lnTo>
                                <a:close/>
                              </a:path>
                            </a:pathLst>
                          </a:custGeom>
                          <a:solidFill>
                            <a:srgbClr val="1F1546"/>
                          </a:solidFill>
                        </wps:spPr>
                        <wps:bodyPr wrap="square" lIns="0" tIns="0" rIns="0" bIns="0" rtlCol="0">
                          <a:prstTxWarp prst="textNoShape">
                            <a:avLst/>
                          </a:prstTxWarp>
                          <a:noAutofit/>
                        </wps:bodyPr>
                      </wps:wsp>
                      <pic:pic>
                        <pic:nvPicPr>
                          <pic:cNvPr id="8" name="Image 8"/>
                          <pic:cNvPicPr/>
                        </pic:nvPicPr>
                        <pic:blipFill>
                          <a:blip r:embed="rId6" cstate="print"/>
                          <a:stretch>
                            <a:fillRect/>
                          </a:stretch>
                        </pic:blipFill>
                        <pic:spPr>
                          <a:xfrm>
                            <a:off x="6545594" y="6987448"/>
                            <a:ext cx="746397" cy="244463"/>
                          </a:xfrm>
                          <a:prstGeom prst="rect">
                            <a:avLst/>
                          </a:prstGeom>
                        </pic:spPr>
                      </pic:pic>
                      <pic:pic>
                        <pic:nvPicPr>
                          <pic:cNvPr id="9" name="Image 9"/>
                          <pic:cNvPicPr/>
                        </pic:nvPicPr>
                        <pic:blipFill>
                          <a:blip r:embed="rId7" cstate="print"/>
                          <a:stretch>
                            <a:fillRect/>
                          </a:stretch>
                        </pic:blipFill>
                        <pic:spPr>
                          <a:xfrm>
                            <a:off x="720750" y="6807923"/>
                            <a:ext cx="836464" cy="473113"/>
                          </a:xfrm>
                          <a:prstGeom prst="rect">
                            <a:avLst/>
                          </a:prstGeom>
                        </pic:spPr>
                      </pic:pic>
                      <pic:pic>
                        <pic:nvPicPr>
                          <pic:cNvPr id="10" name="Image 10" descr="J:\Biodiversity Research\Predation Projects\Glenelg\images\Photos for Al\Photos for Al\IMG_0250copy.png.jpg"/>
                          <pic:cNvPicPr/>
                        </pic:nvPicPr>
                        <pic:blipFill>
                          <a:blip r:embed="rId8" cstate="print"/>
                          <a:stretch>
                            <a:fillRect/>
                          </a:stretch>
                        </pic:blipFill>
                        <pic:spPr>
                          <a:xfrm>
                            <a:off x="0" y="4567682"/>
                            <a:ext cx="3061207" cy="1651000"/>
                          </a:xfrm>
                          <a:prstGeom prst="rect">
                            <a:avLst/>
                          </a:prstGeom>
                        </pic:spPr>
                      </pic:pic>
                      <pic:pic>
                        <pic:nvPicPr>
                          <pic:cNvPr id="11" name="Image 11" descr="J:\Biodiversity Research\Predation Projects\Glenelg\images\Photos for Al\Photos for Al\110503 294.jpg"/>
                          <pic:cNvPicPr/>
                        </pic:nvPicPr>
                        <pic:blipFill>
                          <a:blip r:embed="rId9" cstate="print"/>
                          <a:stretch>
                            <a:fillRect/>
                          </a:stretch>
                        </pic:blipFill>
                        <pic:spPr>
                          <a:xfrm>
                            <a:off x="3027679" y="2505201"/>
                            <a:ext cx="1706880" cy="2149474"/>
                          </a:xfrm>
                          <a:prstGeom prst="rect">
                            <a:avLst/>
                          </a:prstGeom>
                        </pic:spPr>
                      </pic:pic>
                      <pic:pic>
                        <pic:nvPicPr>
                          <pic:cNvPr id="12" name="Image 12" descr="J:\Biodiversity Research\Predation Projects\Glenelg\images\Photos for Al\Photos for Al\LNPotoroo Daycopy.png"/>
                          <pic:cNvPicPr/>
                        </pic:nvPicPr>
                        <pic:blipFill>
                          <a:blip r:embed="rId10" cstate="print"/>
                          <a:stretch>
                            <a:fillRect/>
                          </a:stretch>
                        </pic:blipFill>
                        <pic:spPr>
                          <a:xfrm>
                            <a:off x="4660264" y="2598547"/>
                            <a:ext cx="2900044" cy="2045970"/>
                          </a:xfrm>
                          <a:prstGeom prst="rect">
                            <a:avLst/>
                          </a:prstGeom>
                        </pic:spPr>
                      </pic:pic>
                      <pic:pic>
                        <pic:nvPicPr>
                          <pic:cNvPr id="13" name="Image 13"/>
                          <pic:cNvPicPr/>
                        </pic:nvPicPr>
                        <pic:blipFill>
                          <a:blip r:embed="rId11" cstate="print"/>
                          <a:stretch>
                            <a:fillRect/>
                          </a:stretch>
                        </pic:blipFill>
                        <pic:spPr>
                          <a:xfrm>
                            <a:off x="6986" y="2606167"/>
                            <a:ext cx="3081654" cy="2054860"/>
                          </a:xfrm>
                          <a:prstGeom prst="rect">
                            <a:avLst/>
                          </a:prstGeom>
                        </pic:spPr>
                      </pic:pic>
                      <pic:pic>
                        <pic:nvPicPr>
                          <pic:cNvPr id="14" name="Image 14" descr="J:\Biodiversity Research\Predation Projects\Glenelg\images\Photos for Al\Photos for Al\2013 11 21 07 26 18.JPG"/>
                          <pic:cNvPicPr/>
                        </pic:nvPicPr>
                        <pic:blipFill>
                          <a:blip r:embed="rId12" cstate="print"/>
                          <a:stretch>
                            <a:fillRect/>
                          </a:stretch>
                        </pic:blipFill>
                        <pic:spPr>
                          <a:xfrm>
                            <a:off x="3863975" y="2666"/>
                            <a:ext cx="3696588" cy="2604770"/>
                          </a:xfrm>
                          <a:prstGeom prst="rect">
                            <a:avLst/>
                          </a:prstGeom>
                        </pic:spPr>
                      </pic:pic>
                      <wps:wsp>
                        <wps:cNvPr id="15" name="Graphic 15"/>
                        <wps:cNvSpPr/>
                        <wps:spPr>
                          <a:xfrm>
                            <a:off x="5276341" y="3267202"/>
                            <a:ext cx="2286000" cy="2994025"/>
                          </a:xfrm>
                          <a:custGeom>
                            <a:avLst/>
                            <a:gdLst/>
                            <a:ahLst/>
                            <a:cxnLst/>
                            <a:rect l="l" t="t" r="r" b="b"/>
                            <a:pathLst>
                              <a:path w="2286000" h="2994025">
                                <a:moveTo>
                                  <a:pt x="2275078" y="0"/>
                                </a:moveTo>
                                <a:lnTo>
                                  <a:pt x="1284478" y="2057400"/>
                                </a:lnTo>
                                <a:lnTo>
                                  <a:pt x="413638" y="2051939"/>
                                </a:lnTo>
                                <a:lnTo>
                                  <a:pt x="0" y="2993517"/>
                                </a:lnTo>
                                <a:lnTo>
                                  <a:pt x="1344294" y="2993517"/>
                                </a:lnTo>
                                <a:lnTo>
                                  <a:pt x="2285873" y="979678"/>
                                </a:lnTo>
                                <a:lnTo>
                                  <a:pt x="2275078" y="0"/>
                                </a:lnTo>
                                <a:close/>
                              </a:path>
                            </a:pathLst>
                          </a:custGeom>
                          <a:solidFill>
                            <a:srgbClr val="FFFFFF"/>
                          </a:solidFill>
                        </wps:spPr>
                        <wps:bodyPr wrap="square" lIns="0" tIns="0" rIns="0" bIns="0" rtlCol="0">
                          <a:prstTxWarp prst="textNoShape">
                            <a:avLst/>
                          </a:prstTxWarp>
                          <a:noAutofit/>
                        </wps:bodyPr>
                      </wps:wsp>
                      <wps:wsp>
                        <wps:cNvPr id="16" name="Graphic 16"/>
                        <wps:cNvSpPr/>
                        <wps:spPr>
                          <a:xfrm>
                            <a:off x="5328665" y="607511"/>
                            <a:ext cx="2232025" cy="4745355"/>
                          </a:xfrm>
                          <a:custGeom>
                            <a:avLst/>
                            <a:gdLst/>
                            <a:ahLst/>
                            <a:cxnLst/>
                            <a:rect l="l" t="t" r="r" b="b"/>
                            <a:pathLst>
                              <a:path w="2232025" h="4745355">
                                <a:moveTo>
                                  <a:pt x="2231899" y="0"/>
                                </a:moveTo>
                                <a:lnTo>
                                  <a:pt x="0" y="4745347"/>
                                </a:lnTo>
                                <a:lnTo>
                                  <a:pt x="1251970" y="4745347"/>
                                </a:lnTo>
                                <a:lnTo>
                                  <a:pt x="2231899" y="2661943"/>
                                </a:lnTo>
                                <a:lnTo>
                                  <a:pt x="2231899" y="0"/>
                                </a:lnTo>
                                <a:close/>
                              </a:path>
                            </a:pathLst>
                          </a:custGeom>
                          <a:solidFill>
                            <a:srgbClr val="004B96">
                              <a:alpha val="39999"/>
                            </a:srgbClr>
                          </a:solidFill>
                        </wps:spPr>
                        <wps:bodyPr wrap="square" lIns="0" tIns="0" rIns="0" bIns="0" rtlCol="0">
                          <a:prstTxWarp prst="textNoShape">
                            <a:avLst/>
                          </a:prstTxWarp>
                          <a:noAutofit/>
                        </wps:bodyPr>
                      </wps:wsp>
                      <wps:wsp>
                        <wps:cNvPr id="17" name="Graphic 17"/>
                        <wps:cNvSpPr/>
                        <wps:spPr>
                          <a:xfrm>
                            <a:off x="4060573" y="4483818"/>
                            <a:ext cx="2084705" cy="1764030"/>
                          </a:xfrm>
                          <a:custGeom>
                            <a:avLst/>
                            <a:gdLst/>
                            <a:ahLst/>
                            <a:cxnLst/>
                            <a:rect l="l" t="t" r="r" b="b"/>
                            <a:pathLst>
                              <a:path w="2084705" h="1764030">
                                <a:moveTo>
                                  <a:pt x="2084274" y="0"/>
                                </a:moveTo>
                                <a:lnTo>
                                  <a:pt x="833696" y="0"/>
                                </a:lnTo>
                                <a:lnTo>
                                  <a:pt x="0" y="1763783"/>
                                </a:lnTo>
                                <a:lnTo>
                                  <a:pt x="1250548" y="1763783"/>
                                </a:lnTo>
                                <a:lnTo>
                                  <a:pt x="2084274" y="0"/>
                                </a:lnTo>
                                <a:close/>
                              </a:path>
                            </a:pathLst>
                          </a:custGeom>
                          <a:solidFill>
                            <a:srgbClr val="00B1A9">
                              <a:alpha val="49803"/>
                            </a:srgbClr>
                          </a:solidFill>
                        </wps:spPr>
                        <wps:bodyPr wrap="square" lIns="0" tIns="0" rIns="0" bIns="0" rtlCol="0">
                          <a:prstTxWarp prst="textNoShape">
                            <a:avLst/>
                          </a:prstTxWarp>
                          <a:noAutofit/>
                        </wps:bodyPr>
                      </wps:wsp>
                      <wps:wsp>
                        <wps:cNvPr id="18" name="Graphic 18"/>
                        <wps:cNvSpPr/>
                        <wps:spPr>
                          <a:xfrm>
                            <a:off x="4483011" y="4483734"/>
                            <a:ext cx="2092325" cy="1764030"/>
                          </a:xfrm>
                          <a:custGeom>
                            <a:avLst/>
                            <a:gdLst/>
                            <a:ahLst/>
                            <a:cxnLst/>
                            <a:rect l="l" t="t" r="r" b="b"/>
                            <a:pathLst>
                              <a:path w="2092325" h="1764030">
                                <a:moveTo>
                                  <a:pt x="824039" y="1763928"/>
                                </a:moveTo>
                                <a:lnTo>
                                  <a:pt x="412026" y="888492"/>
                                </a:lnTo>
                                <a:lnTo>
                                  <a:pt x="0" y="1763928"/>
                                </a:lnTo>
                                <a:lnTo>
                                  <a:pt x="824039" y="1763928"/>
                                </a:lnTo>
                                <a:close/>
                              </a:path>
                              <a:path w="2092325" h="1764030">
                                <a:moveTo>
                                  <a:pt x="2092134" y="875436"/>
                                </a:moveTo>
                                <a:lnTo>
                                  <a:pt x="1680121" y="0"/>
                                </a:lnTo>
                                <a:lnTo>
                                  <a:pt x="1268095" y="875436"/>
                                </a:lnTo>
                                <a:lnTo>
                                  <a:pt x="2092134" y="875436"/>
                                </a:lnTo>
                                <a:close/>
                              </a:path>
                            </a:pathLst>
                          </a:custGeom>
                          <a:solidFill>
                            <a:srgbClr val="1F1546">
                              <a:alpha val="49803"/>
                            </a:srgbClr>
                          </a:solidFill>
                        </wps:spPr>
                        <wps:bodyPr wrap="square" lIns="0" tIns="0" rIns="0" bIns="0" rtlCol="0">
                          <a:prstTxWarp prst="textNoShape">
                            <a:avLst/>
                          </a:prstTxWarp>
                          <a:noAutofit/>
                        </wps:bodyPr>
                      </wps:wsp>
                      <wps:wsp>
                        <wps:cNvPr id="19" name="Graphic 19"/>
                        <wps:cNvSpPr/>
                        <wps:spPr>
                          <a:xfrm>
                            <a:off x="2468457" y="5372798"/>
                            <a:ext cx="2421890" cy="2334260"/>
                          </a:xfrm>
                          <a:custGeom>
                            <a:avLst/>
                            <a:gdLst/>
                            <a:ahLst/>
                            <a:cxnLst/>
                            <a:rect l="l" t="t" r="r" b="b"/>
                            <a:pathLst>
                              <a:path w="2421890" h="2334260">
                                <a:moveTo>
                                  <a:pt x="2421725" y="0"/>
                                </a:moveTo>
                                <a:lnTo>
                                  <a:pt x="1100878" y="0"/>
                                </a:lnTo>
                                <a:lnTo>
                                  <a:pt x="0" y="2333785"/>
                                </a:lnTo>
                                <a:lnTo>
                                  <a:pt x="1320945" y="2333785"/>
                                </a:lnTo>
                                <a:lnTo>
                                  <a:pt x="2421725" y="0"/>
                                </a:lnTo>
                                <a:close/>
                              </a:path>
                            </a:pathLst>
                          </a:custGeom>
                          <a:solidFill>
                            <a:srgbClr val="00B1A9">
                              <a:alpha val="49803"/>
                            </a:srgbClr>
                          </a:solidFill>
                        </wps:spPr>
                        <wps:bodyPr wrap="square" lIns="0" tIns="0" rIns="0" bIns="0" rtlCol="0">
                          <a:prstTxWarp prst="textNoShape">
                            <a:avLst/>
                          </a:prstTxWarp>
                          <a:noAutofit/>
                        </wps:bodyPr>
                      </wps:wsp>
                      <pic:pic>
                        <pic:nvPicPr>
                          <pic:cNvPr id="20" name="Image 20"/>
                          <pic:cNvPicPr/>
                        </pic:nvPicPr>
                        <pic:blipFill>
                          <a:blip r:embed="rId13" cstate="print"/>
                          <a:stretch>
                            <a:fillRect/>
                          </a:stretch>
                        </pic:blipFill>
                        <pic:spPr>
                          <a:xfrm>
                            <a:off x="6552945" y="4138421"/>
                            <a:ext cx="1007567" cy="2228215"/>
                          </a:xfrm>
                          <a:prstGeom prst="rect">
                            <a:avLst/>
                          </a:prstGeom>
                        </pic:spPr>
                      </pic:pic>
                      <pic:pic>
                        <pic:nvPicPr>
                          <pic:cNvPr id="21" name="Image 21" descr="J:\Biodiversity Research\Predation Projects\Glenelg\images\Photos for Al\Photos for Al\IMG_0161.JPG"/>
                          <pic:cNvPicPr/>
                        </pic:nvPicPr>
                        <pic:blipFill>
                          <a:blip r:embed="rId14" cstate="print"/>
                          <a:stretch>
                            <a:fillRect/>
                          </a:stretch>
                        </pic:blipFill>
                        <pic:spPr>
                          <a:xfrm>
                            <a:off x="11428" y="0"/>
                            <a:ext cx="3896994" cy="2604769"/>
                          </a:xfrm>
                          <a:prstGeom prst="rect">
                            <a:avLst/>
                          </a:prstGeom>
                        </pic:spPr>
                      </pic:pic>
                    </wpg:wgp>
                  </a:graphicData>
                </a:graphic>
              </wp:anchor>
            </w:drawing>
          </mc:Choice>
          <mc:Fallback>
            <w:pict>
              <v:group style="position:absolute;margin-left:.000009pt;margin-top:151.301956pt;width:595.450pt;height:606.85pt;mso-position-horizontal-relative:page;mso-position-vertical-relative:paragraph;z-index:15730688" id="docshapegroup5" coordorigin="0,3026" coordsize="11909,12137">
                <v:shape style="position:absolute;left:8771;top:13800;width:1215;height:690" type="#_x0000_t75" id="docshape6" stroked="false">
                  <v:imagedata r:id="rId5" o:title=""/>
                </v:shape>
                <v:rect style="position:absolute;left:10148;top:14029;width:4;height:384" id="docshape7" filled="true" fillcolor="#1f1546" stroked="false">
                  <v:fill type="solid"/>
                </v:rect>
                <v:shape style="position:absolute;left:10308;top:14029;width:1176;height:385" type="#_x0000_t75" id="docshape8" stroked="false">
                  <v:imagedata r:id="rId6" o:title=""/>
                </v:shape>
                <v:shape style="position:absolute;left:1135;top:13747;width:1318;height:746" type="#_x0000_t75" id="docshape9" stroked="false">
                  <v:imagedata r:id="rId7" o:title=""/>
                </v:shape>
                <v:shape style="position:absolute;left:0;top:10219;width:4821;height:2600" type="#_x0000_t75" id="docshape10" alt="J:\Biodiversity Research\Predation Projects\Glenelg\images\Photos for Al\Photos for Al\IMG_0250copy.png.jpg" stroked="false">
                  <v:imagedata r:id="rId8" o:title=""/>
                </v:shape>
                <v:shape style="position:absolute;left:4768;top:6971;width:2688;height:3385" type="#_x0000_t75" id="docshape11" alt="J:\Biodiversity Research\Predation Projects\Glenelg\images\Photos for Al\Photos for Al\110503 294.jpg" stroked="false">
                  <v:imagedata r:id="rId9" o:title=""/>
                </v:shape>
                <v:shape style="position:absolute;left:7339;top:7118;width:4567;height:3222" type="#_x0000_t75" id="docshape12" alt="J:\Biodiversity Research\Predation Projects\Glenelg\images\Photos for Al\Photos for Al\LNPotoroo Daycopy.png" stroked="false">
                  <v:imagedata r:id="rId10" o:title=""/>
                </v:shape>
                <v:shape style="position:absolute;left:11;top:7130;width:4853;height:3236" type="#_x0000_t75" id="docshape13" stroked="false">
                  <v:imagedata r:id="rId11" o:title=""/>
                </v:shape>
                <v:shape style="position:absolute;left:6085;top:3030;width:5822;height:4102" type="#_x0000_t75" id="docshape14" alt="J:\Biodiversity Research\Predation Projects\Glenelg\images\Photos for Al\Photos for Al\2013 11 21 07 26 18.JPG" stroked="false">
                  <v:imagedata r:id="rId12" o:title=""/>
                </v:shape>
                <v:shape style="position:absolute;left:8309;top:8171;width:3600;height:4715" id="docshape15" coordorigin="8309,8171" coordsize="3600,4715" path="m11892,8171l10332,11411,8961,11403,8309,12885,10426,12885,11909,9714,11892,8171xe" filled="true" fillcolor="#ffffff" stroked="false">
                  <v:path arrowok="t"/>
                  <v:fill type="solid"/>
                </v:shape>
                <v:shape style="position:absolute;left:8391;top:3982;width:3515;height:7473" id="docshape16" coordorigin="8392,3983" coordsize="3515,7473" path="m11906,3983l8392,11456,10363,11456,11906,8175,11906,3983xe" filled="true" fillcolor="#004b96" stroked="false">
                  <v:path arrowok="t"/>
                  <v:fill opacity="26214f" type="solid"/>
                </v:shape>
                <v:shape style="position:absolute;left:6394;top:10087;width:3283;height:2778" id="docshape17" coordorigin="6395,10087" coordsize="3283,2778" path="m9677,10087l7708,10087,6395,12865,8364,12865,9677,10087xe" filled="true" fillcolor="#00b1a9" stroked="false">
                  <v:path arrowok="t"/>
                  <v:fill opacity="32639f" type="solid"/>
                </v:shape>
                <v:shape style="position:absolute;left:7059;top:10087;width:3295;height:2778" id="docshape18" coordorigin="7060,10087" coordsize="3295,2778" path="m8358,12865l7709,11486,7060,12865,8358,12865xm10355,11466l9706,10087,9057,11466,10355,11466xe" filled="true" fillcolor="#1f1546" stroked="false">
                  <v:path arrowok="t"/>
                  <v:fill opacity="32639f" type="solid"/>
                </v:shape>
                <v:shape style="position:absolute;left:3887;top:11487;width:3814;height:3676" id="docshape19" coordorigin="3887,11487" coordsize="3814,3676" path="m7701,11487l5621,11487,3887,15162,5968,15162,7701,11487xe" filled="true" fillcolor="#00b1a9" stroked="false">
                  <v:path arrowok="t"/>
                  <v:fill opacity="32639f" type="solid"/>
                </v:shape>
                <v:shape style="position:absolute;left:10319;top:9543;width:1587;height:3509" type="#_x0000_t75" id="docshape20" stroked="false">
                  <v:imagedata r:id="rId13" o:title=""/>
                </v:shape>
                <v:shape style="position:absolute;left:18;top:3026;width:6137;height:4102" type="#_x0000_t75" id="docshape21" alt="J:\Biodiversity Research\Predation Projects\Glenelg\images\Photos for Al\Photos for Al\IMG_0161.JPG" stroked="false">
                  <v:imagedata r:id="rId14" o:title=""/>
                </v:shape>
                <w10:wrap type="none"/>
              </v:group>
            </w:pict>
          </mc:Fallback>
        </mc:AlternateContent>
      </w:r>
      <w:r>
        <w:rPr>
          <w:color w:val="1F1546"/>
        </w:rPr>
        <w:t>A.</w:t>
      </w:r>
      <w:r>
        <w:rPr>
          <w:color w:val="1F1546"/>
          <w:spacing w:val="-5"/>
        </w:rPr>
        <w:t> </w:t>
      </w:r>
      <w:r>
        <w:rPr>
          <w:color w:val="1F1546"/>
        </w:rPr>
        <w:t>Robley,</w:t>
      </w:r>
      <w:r>
        <w:rPr>
          <w:color w:val="1F1546"/>
          <w:spacing w:val="-7"/>
        </w:rPr>
        <w:t> </w:t>
      </w:r>
      <w:r>
        <w:rPr>
          <w:color w:val="1F1546"/>
        </w:rPr>
        <w:t>P.D.</w:t>
      </w:r>
      <w:r>
        <w:rPr>
          <w:color w:val="1F1546"/>
          <w:spacing w:val="-5"/>
        </w:rPr>
        <w:t> </w:t>
      </w:r>
      <w:r>
        <w:rPr>
          <w:color w:val="1F1546"/>
        </w:rPr>
        <w:t>Moloney</w:t>
      </w:r>
      <w:r>
        <w:rPr>
          <w:color w:val="1F1546"/>
          <w:spacing w:val="-5"/>
        </w:rPr>
        <w:t> </w:t>
      </w:r>
      <w:r>
        <w:rPr>
          <w:color w:val="1F1546"/>
        </w:rPr>
        <w:t>and</w:t>
      </w:r>
      <w:r>
        <w:rPr>
          <w:color w:val="1F1546"/>
          <w:spacing w:val="-7"/>
        </w:rPr>
        <w:t> </w:t>
      </w:r>
      <w:r>
        <w:rPr>
          <w:color w:val="1F1546"/>
        </w:rPr>
        <w:t>E.</w:t>
      </w:r>
      <w:r>
        <w:rPr>
          <w:color w:val="1F1546"/>
          <w:spacing w:val="-5"/>
        </w:rPr>
        <w:t> </w:t>
      </w:r>
      <w:r>
        <w:rPr>
          <w:color w:val="1F1546"/>
        </w:rPr>
        <w:t>Le</w:t>
      </w:r>
      <w:r>
        <w:rPr>
          <w:color w:val="1F1546"/>
          <w:spacing w:val="-7"/>
        </w:rPr>
        <w:t> </w:t>
      </w:r>
      <w:r>
        <w:rPr>
          <w:color w:val="1F1546"/>
        </w:rPr>
        <w:t>Duc July 2024</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85"/>
        <w:rPr>
          <w:b/>
        </w:rPr>
      </w:pPr>
      <w:r>
        <w:rPr>
          <w:b/>
        </w:rPr>
        <w:drawing>
          <wp:anchor distT="0" distB="0" distL="0" distR="0" allowOverlap="1" layoutInCell="1" locked="0" behindDoc="1" simplePos="0" relativeHeight="487587840">
            <wp:simplePos x="0" y="0"/>
            <wp:positionH relativeFrom="page">
              <wp:posOffset>4320540</wp:posOffset>
            </wp:positionH>
            <wp:positionV relativeFrom="paragraph">
              <wp:posOffset>278829</wp:posOffset>
            </wp:positionV>
            <wp:extent cx="963643" cy="500157"/>
            <wp:effectExtent l="0" t="0" r="0" b="0"/>
            <wp:wrapTopAndBottom/>
            <wp:docPr id="22" name="Image 22"/>
            <wp:cNvGraphicFramePr>
              <a:graphicFrameLocks/>
            </wp:cNvGraphicFramePr>
            <a:graphic>
              <a:graphicData uri="http://schemas.openxmlformats.org/drawingml/2006/picture">
                <pic:pic>
                  <pic:nvPicPr>
                    <pic:cNvPr id="22" name="Image 22"/>
                    <pic:cNvPicPr/>
                  </pic:nvPicPr>
                  <pic:blipFill>
                    <a:blip r:embed="rId15" cstate="print"/>
                    <a:stretch>
                      <a:fillRect/>
                    </a:stretch>
                  </pic:blipFill>
                  <pic:spPr>
                    <a:xfrm>
                      <a:off x="0" y="0"/>
                      <a:ext cx="963643" cy="500157"/>
                    </a:xfrm>
                    <a:prstGeom prst="rect">
                      <a:avLst/>
                    </a:prstGeom>
                  </pic:spPr>
                </pic:pic>
              </a:graphicData>
            </a:graphic>
          </wp:anchor>
        </w:drawing>
      </w:r>
    </w:p>
    <w:p>
      <w:pPr>
        <w:spacing w:line="240" w:lineRule="auto"/>
        <w:ind w:left="5446" w:right="0" w:firstLine="0"/>
        <w:rPr>
          <w:sz w:val="20"/>
        </w:rPr>
      </w:pPr>
      <w:r>
        <w:rPr>
          <w:sz w:val="20"/>
        </w:rPr>
        <mc:AlternateContent>
          <mc:Choice Requires="wps">
            <w:drawing>
              <wp:inline distT="0" distB="0" distL="0" distR="0">
                <wp:extent cx="770890" cy="254000"/>
                <wp:effectExtent l="0" t="0" r="0" b="0"/>
                <wp:docPr id="23" name="Group 23"/>
                <wp:cNvGraphicFramePr>
                  <a:graphicFrameLocks/>
                </wp:cNvGraphicFramePr>
                <a:graphic>
                  <a:graphicData uri="http://schemas.microsoft.com/office/word/2010/wordprocessingGroup">
                    <wpg:wgp>
                      <wpg:cNvPr id="23" name="Group 23"/>
                      <wpg:cNvGrpSpPr/>
                      <wpg:grpSpPr>
                        <a:xfrm>
                          <a:off x="0" y="0"/>
                          <a:ext cx="770890" cy="254000"/>
                          <a:chExt cx="770890" cy="254000"/>
                        </a:xfrm>
                      </wpg:grpSpPr>
                      <wps:wsp>
                        <wps:cNvPr id="24" name="Graphic 24"/>
                        <wps:cNvSpPr/>
                        <wps:spPr>
                          <a:xfrm>
                            <a:off x="0" y="0"/>
                            <a:ext cx="770890" cy="254000"/>
                          </a:xfrm>
                          <a:custGeom>
                            <a:avLst/>
                            <a:gdLst/>
                            <a:ahLst/>
                            <a:cxnLst/>
                            <a:rect l="l" t="t" r="r" b="b"/>
                            <a:pathLst>
                              <a:path w="770890" h="254000">
                                <a:moveTo>
                                  <a:pt x="770889" y="0"/>
                                </a:moveTo>
                                <a:lnTo>
                                  <a:pt x="0" y="0"/>
                                </a:lnTo>
                                <a:lnTo>
                                  <a:pt x="0" y="254000"/>
                                </a:lnTo>
                                <a:lnTo>
                                  <a:pt x="770889" y="254000"/>
                                </a:lnTo>
                                <a:lnTo>
                                  <a:pt x="770889"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60.7pt;height:20pt;mso-position-horizontal-relative:char;mso-position-vertical-relative:line" id="docshapegroup22" coordorigin="0,0" coordsize="1214,400">
                <v:rect style="position:absolute;left:0;top:0;width:1214;height:400" id="docshape23" filled="true" fillcolor="#ffffff" stroked="false">
                  <v:fill type="solid"/>
                </v:rect>
              </v:group>
            </w:pict>
          </mc:Fallback>
        </mc:AlternateContent>
      </w:r>
      <w:r>
        <w:rPr>
          <w:sz w:val="20"/>
        </w:rPr>
      </w:r>
    </w:p>
    <w:p>
      <w:pPr>
        <w:spacing w:after="0" w:line="240" w:lineRule="auto"/>
        <w:rPr>
          <w:sz w:val="20"/>
        </w:rPr>
        <w:sectPr>
          <w:type w:val="continuous"/>
          <w:pgSz w:w="11910" w:h="16850"/>
          <w:pgMar w:top="1120" w:bottom="0" w:left="0" w:right="0"/>
        </w:sect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spacing w:before="129"/>
        <w:rPr>
          <w:b/>
          <w:sz w:val="18"/>
        </w:rPr>
      </w:pPr>
    </w:p>
    <w:p>
      <w:pPr>
        <w:spacing w:before="0"/>
        <w:ind w:left="1132" w:right="6139" w:firstLine="0"/>
        <w:jc w:val="left"/>
        <w:rPr>
          <w:sz w:val="18"/>
        </w:rPr>
      </w:pPr>
      <w:r>
        <w:rPr>
          <w:sz w:val="18"/>
        </w:rPr>
        <w:t>Arthur Rylah Institute for Environmental Research Department</w:t>
      </w:r>
      <w:r>
        <w:rPr>
          <w:spacing w:val="-7"/>
          <w:sz w:val="18"/>
        </w:rPr>
        <w:t> </w:t>
      </w:r>
      <w:r>
        <w:rPr>
          <w:sz w:val="18"/>
        </w:rPr>
        <w:t>of</w:t>
      </w:r>
      <w:r>
        <w:rPr>
          <w:spacing w:val="-5"/>
          <w:sz w:val="18"/>
        </w:rPr>
        <w:t> </w:t>
      </w:r>
      <w:r>
        <w:rPr>
          <w:sz w:val="18"/>
        </w:rPr>
        <w:t>Energy,</w:t>
      </w:r>
      <w:r>
        <w:rPr>
          <w:spacing w:val="-5"/>
          <w:sz w:val="18"/>
        </w:rPr>
        <w:t> </w:t>
      </w:r>
      <w:r>
        <w:rPr>
          <w:sz w:val="18"/>
        </w:rPr>
        <w:t>Environment</w:t>
      </w:r>
      <w:r>
        <w:rPr>
          <w:spacing w:val="-5"/>
          <w:sz w:val="18"/>
        </w:rPr>
        <w:t> </w:t>
      </w:r>
      <w:r>
        <w:rPr>
          <w:sz w:val="18"/>
        </w:rPr>
        <w:t>and</w:t>
      </w:r>
      <w:r>
        <w:rPr>
          <w:spacing w:val="-5"/>
          <w:sz w:val="18"/>
        </w:rPr>
        <w:t> </w:t>
      </w:r>
      <w:r>
        <w:rPr>
          <w:sz w:val="18"/>
        </w:rPr>
        <w:t>Climate</w:t>
      </w:r>
      <w:r>
        <w:rPr>
          <w:spacing w:val="-7"/>
          <w:sz w:val="18"/>
        </w:rPr>
        <w:t> </w:t>
      </w:r>
      <w:r>
        <w:rPr>
          <w:sz w:val="18"/>
        </w:rPr>
        <w:t>Action PO Box 137, Heidelberg, Victoria 3084</w:t>
      </w:r>
    </w:p>
    <w:p>
      <w:pPr>
        <w:spacing w:line="205" w:lineRule="exact" w:before="0"/>
        <w:ind w:left="1132" w:right="0" w:firstLine="0"/>
        <w:jc w:val="left"/>
        <w:rPr>
          <w:sz w:val="18"/>
        </w:rPr>
      </w:pPr>
      <w:r>
        <w:rPr>
          <w:sz w:val="18"/>
        </w:rPr>
        <w:t>Phone</w:t>
      </w:r>
      <w:r>
        <w:rPr>
          <w:spacing w:val="-4"/>
          <w:sz w:val="18"/>
        </w:rPr>
        <w:t> </w:t>
      </w:r>
      <w:r>
        <w:rPr>
          <w:sz w:val="18"/>
        </w:rPr>
        <w:t>(03)</w:t>
      </w:r>
      <w:r>
        <w:rPr>
          <w:spacing w:val="-5"/>
          <w:sz w:val="18"/>
        </w:rPr>
        <w:t> </w:t>
      </w:r>
      <w:r>
        <w:rPr>
          <w:sz w:val="18"/>
        </w:rPr>
        <w:t>9450</w:t>
      </w:r>
      <w:r>
        <w:rPr>
          <w:spacing w:val="-6"/>
          <w:sz w:val="18"/>
        </w:rPr>
        <w:t> </w:t>
      </w:r>
      <w:r>
        <w:rPr>
          <w:spacing w:val="-4"/>
          <w:sz w:val="18"/>
        </w:rPr>
        <w:t>8600</w:t>
      </w:r>
    </w:p>
    <w:p>
      <w:pPr>
        <w:spacing w:before="2"/>
        <w:ind w:left="1132" w:right="0" w:firstLine="0"/>
        <w:jc w:val="left"/>
        <w:rPr>
          <w:sz w:val="18"/>
        </w:rPr>
      </w:pPr>
      <w:r>
        <w:rPr>
          <w:sz w:val="18"/>
        </w:rPr>
        <w:t>Website:</w:t>
      </w:r>
      <w:r>
        <w:rPr>
          <w:spacing w:val="-2"/>
          <w:sz w:val="18"/>
        </w:rPr>
        <w:t> </w:t>
      </w:r>
      <w:hyperlink r:id="rId17">
        <w:r>
          <w:rPr>
            <w:color w:val="0000FF"/>
            <w:spacing w:val="-2"/>
            <w:sz w:val="18"/>
            <w:u w:val="single" w:color="0000FF"/>
          </w:rPr>
          <w:t>www.ari.vic.gov.au</w:t>
        </w:r>
      </w:hyperlink>
    </w:p>
    <w:p>
      <w:pPr>
        <w:spacing w:before="119"/>
        <w:ind w:left="1132" w:right="1204" w:firstLine="0"/>
        <w:jc w:val="left"/>
        <w:rPr>
          <w:sz w:val="18"/>
        </w:rPr>
      </w:pPr>
      <w:r>
        <w:rPr>
          <w:b/>
          <w:sz w:val="18"/>
        </w:rPr>
        <w:t>Citation</w:t>
      </w:r>
      <w:r>
        <w:rPr>
          <w:sz w:val="18"/>
        </w:rPr>
        <w:t>:</w:t>
      </w:r>
      <w:r>
        <w:rPr>
          <w:spacing w:val="-2"/>
          <w:sz w:val="18"/>
        </w:rPr>
        <w:t> </w:t>
      </w:r>
      <w:r>
        <w:rPr>
          <w:sz w:val="18"/>
        </w:rPr>
        <w:t>Robley,</w:t>
      </w:r>
      <w:r>
        <w:rPr>
          <w:spacing w:val="-2"/>
          <w:sz w:val="18"/>
        </w:rPr>
        <w:t> </w:t>
      </w:r>
      <w:r>
        <w:rPr>
          <w:sz w:val="18"/>
        </w:rPr>
        <w:t>A.,</w:t>
      </w:r>
      <w:r>
        <w:rPr>
          <w:spacing w:val="-4"/>
          <w:sz w:val="18"/>
        </w:rPr>
        <w:t> </w:t>
      </w:r>
      <w:r>
        <w:rPr>
          <w:sz w:val="18"/>
        </w:rPr>
        <w:t>Moloney,</w:t>
      </w:r>
      <w:r>
        <w:rPr>
          <w:spacing w:val="-4"/>
          <w:sz w:val="18"/>
        </w:rPr>
        <w:t> </w:t>
      </w:r>
      <w:r>
        <w:rPr>
          <w:sz w:val="18"/>
        </w:rPr>
        <w:t>P.D.</w:t>
      </w:r>
      <w:r>
        <w:rPr>
          <w:spacing w:val="-2"/>
          <w:sz w:val="18"/>
        </w:rPr>
        <w:t> </w:t>
      </w:r>
      <w:r>
        <w:rPr>
          <w:sz w:val="18"/>
        </w:rPr>
        <w:t>and</w:t>
      </w:r>
      <w:r>
        <w:rPr>
          <w:spacing w:val="-4"/>
          <w:sz w:val="18"/>
        </w:rPr>
        <w:t> </w:t>
      </w:r>
      <w:r>
        <w:rPr>
          <w:sz w:val="18"/>
        </w:rPr>
        <w:t>Le</w:t>
      </w:r>
      <w:r>
        <w:rPr>
          <w:spacing w:val="-2"/>
          <w:sz w:val="18"/>
        </w:rPr>
        <w:t> </w:t>
      </w:r>
      <w:r>
        <w:rPr>
          <w:sz w:val="18"/>
        </w:rPr>
        <w:t>Duc,</w:t>
      </w:r>
      <w:r>
        <w:rPr>
          <w:spacing w:val="-2"/>
          <w:sz w:val="18"/>
        </w:rPr>
        <w:t> </w:t>
      </w:r>
      <w:r>
        <w:rPr>
          <w:sz w:val="18"/>
        </w:rPr>
        <w:t>E.</w:t>
      </w:r>
      <w:r>
        <w:rPr>
          <w:spacing w:val="-2"/>
          <w:sz w:val="18"/>
        </w:rPr>
        <w:t> </w:t>
      </w:r>
      <w:r>
        <w:rPr>
          <w:sz w:val="18"/>
        </w:rPr>
        <w:t>(2023).</w:t>
      </w:r>
      <w:r>
        <w:rPr>
          <w:spacing w:val="-2"/>
          <w:sz w:val="18"/>
        </w:rPr>
        <w:t> </w:t>
      </w:r>
      <w:r>
        <w:rPr>
          <w:sz w:val="18"/>
        </w:rPr>
        <w:t>Glenelg</w:t>
      </w:r>
      <w:r>
        <w:rPr>
          <w:spacing w:val="-2"/>
          <w:sz w:val="18"/>
        </w:rPr>
        <w:t> </w:t>
      </w:r>
      <w:r>
        <w:rPr>
          <w:sz w:val="18"/>
        </w:rPr>
        <w:t>Ark—2023</w:t>
      </w:r>
      <w:r>
        <w:rPr>
          <w:spacing w:val="-1"/>
          <w:sz w:val="18"/>
        </w:rPr>
        <w:t> </w:t>
      </w:r>
      <w:r>
        <w:rPr>
          <w:sz w:val="18"/>
        </w:rPr>
        <w:t>monitoring</w:t>
      </w:r>
      <w:r>
        <w:rPr>
          <w:spacing w:val="-2"/>
          <w:sz w:val="18"/>
        </w:rPr>
        <w:t> </w:t>
      </w:r>
      <w:r>
        <w:rPr>
          <w:sz w:val="18"/>
        </w:rPr>
        <w:t>and</w:t>
      </w:r>
      <w:r>
        <w:rPr>
          <w:spacing w:val="-2"/>
          <w:sz w:val="18"/>
        </w:rPr>
        <w:t> </w:t>
      </w:r>
      <w:r>
        <w:rPr>
          <w:sz w:val="18"/>
        </w:rPr>
        <w:t>evaluation</w:t>
      </w:r>
      <w:r>
        <w:rPr>
          <w:spacing w:val="-2"/>
          <w:sz w:val="18"/>
        </w:rPr>
        <w:t> </w:t>
      </w:r>
      <w:r>
        <w:rPr>
          <w:sz w:val="18"/>
        </w:rPr>
        <w:t>update.</w:t>
      </w:r>
      <w:r>
        <w:rPr>
          <w:spacing w:val="-2"/>
          <w:sz w:val="18"/>
        </w:rPr>
        <w:t> </w:t>
      </w:r>
      <w:r>
        <w:rPr>
          <w:sz w:val="18"/>
        </w:rPr>
        <w:t>Arthur Rylah Institute for Environmental Research Technical Report Series No. 380. Department of Energy, Environment and Climate Action, Heidelberg, Victoria.</w:t>
      </w:r>
    </w:p>
    <w:p>
      <w:pPr>
        <w:pStyle w:val="BodyText"/>
        <w:spacing w:before="35"/>
        <w:rPr>
          <w:sz w:val="18"/>
        </w:rPr>
      </w:pPr>
    </w:p>
    <w:p>
      <w:pPr>
        <w:spacing w:line="207" w:lineRule="exact" w:before="0"/>
        <w:ind w:left="1132" w:right="0" w:firstLine="0"/>
        <w:jc w:val="left"/>
        <w:rPr>
          <w:sz w:val="18"/>
        </w:rPr>
      </w:pPr>
      <w:r>
        <w:rPr>
          <w:b/>
          <w:sz w:val="18"/>
        </w:rPr>
        <w:t>Front</w:t>
      </w:r>
      <w:r>
        <w:rPr>
          <w:b/>
          <w:spacing w:val="-2"/>
          <w:sz w:val="18"/>
        </w:rPr>
        <w:t> </w:t>
      </w:r>
      <w:r>
        <w:rPr>
          <w:b/>
          <w:sz w:val="18"/>
        </w:rPr>
        <w:t>cover</w:t>
      </w:r>
      <w:r>
        <w:rPr>
          <w:b/>
          <w:spacing w:val="-2"/>
          <w:sz w:val="18"/>
        </w:rPr>
        <w:t> </w:t>
      </w:r>
      <w:r>
        <w:rPr>
          <w:b/>
          <w:sz w:val="18"/>
        </w:rPr>
        <w:t>photo</w:t>
      </w:r>
      <w:r>
        <w:rPr>
          <w:sz w:val="18"/>
        </w:rPr>
        <w:t>:</w:t>
      </w:r>
      <w:r>
        <w:rPr>
          <w:spacing w:val="-4"/>
          <w:sz w:val="18"/>
        </w:rPr>
        <w:t> </w:t>
      </w:r>
      <w:r>
        <w:rPr>
          <w:sz w:val="18"/>
        </w:rPr>
        <w:t>(a)</w:t>
      </w:r>
      <w:r>
        <w:rPr>
          <w:spacing w:val="-2"/>
          <w:sz w:val="18"/>
        </w:rPr>
        <w:t> </w:t>
      </w:r>
      <w:r>
        <w:rPr>
          <w:sz w:val="18"/>
        </w:rPr>
        <w:t>Red</w:t>
      </w:r>
      <w:r>
        <w:rPr>
          <w:spacing w:val="-1"/>
          <w:sz w:val="18"/>
        </w:rPr>
        <w:t> </w:t>
      </w:r>
      <w:r>
        <w:rPr>
          <w:sz w:val="18"/>
        </w:rPr>
        <w:t>Fox;</w:t>
      </w:r>
      <w:r>
        <w:rPr>
          <w:spacing w:val="-2"/>
          <w:sz w:val="18"/>
        </w:rPr>
        <w:t> </w:t>
      </w:r>
      <w:r>
        <w:rPr>
          <w:sz w:val="18"/>
        </w:rPr>
        <w:t>(b)</w:t>
      </w:r>
      <w:r>
        <w:rPr>
          <w:spacing w:val="-5"/>
          <w:sz w:val="18"/>
        </w:rPr>
        <w:t> </w:t>
      </w:r>
      <w:r>
        <w:rPr>
          <w:sz w:val="18"/>
        </w:rPr>
        <w:t>feral</w:t>
      </w:r>
      <w:r>
        <w:rPr>
          <w:spacing w:val="-2"/>
          <w:sz w:val="18"/>
        </w:rPr>
        <w:t> </w:t>
      </w:r>
      <w:r>
        <w:rPr>
          <w:sz w:val="18"/>
        </w:rPr>
        <w:t>cat;</w:t>
      </w:r>
      <w:r>
        <w:rPr>
          <w:spacing w:val="-2"/>
          <w:sz w:val="18"/>
        </w:rPr>
        <w:t> </w:t>
      </w:r>
      <w:r>
        <w:rPr>
          <w:sz w:val="18"/>
        </w:rPr>
        <w:t>(c)</w:t>
      </w:r>
      <w:r>
        <w:rPr>
          <w:spacing w:val="1"/>
          <w:sz w:val="18"/>
        </w:rPr>
        <w:t> </w:t>
      </w:r>
      <w:r>
        <w:rPr>
          <w:sz w:val="18"/>
        </w:rPr>
        <w:t>DEECA</w:t>
      </w:r>
      <w:r>
        <w:rPr>
          <w:spacing w:val="-1"/>
          <w:sz w:val="18"/>
        </w:rPr>
        <w:t> </w:t>
      </w:r>
      <w:r>
        <w:rPr>
          <w:sz w:val="18"/>
        </w:rPr>
        <w:t>crew</w:t>
      </w:r>
      <w:r>
        <w:rPr>
          <w:spacing w:val="-2"/>
          <w:sz w:val="18"/>
        </w:rPr>
        <w:t> </w:t>
      </w:r>
      <w:r>
        <w:rPr>
          <w:sz w:val="18"/>
        </w:rPr>
        <w:t>monitoring</w:t>
      </w:r>
      <w:r>
        <w:rPr>
          <w:spacing w:val="-4"/>
          <w:sz w:val="18"/>
        </w:rPr>
        <w:t> </w:t>
      </w:r>
      <w:r>
        <w:rPr>
          <w:sz w:val="18"/>
        </w:rPr>
        <w:t>native</w:t>
      </w:r>
      <w:r>
        <w:rPr>
          <w:spacing w:val="-4"/>
          <w:sz w:val="18"/>
        </w:rPr>
        <w:t> </w:t>
      </w:r>
      <w:r>
        <w:rPr>
          <w:sz w:val="18"/>
        </w:rPr>
        <w:t>species’</w:t>
      </w:r>
      <w:r>
        <w:rPr>
          <w:spacing w:val="-3"/>
          <w:sz w:val="18"/>
        </w:rPr>
        <w:t> </w:t>
      </w:r>
      <w:r>
        <w:rPr>
          <w:sz w:val="18"/>
        </w:rPr>
        <w:t>(d)</w:t>
      </w:r>
      <w:r>
        <w:rPr>
          <w:spacing w:val="2"/>
          <w:sz w:val="18"/>
        </w:rPr>
        <w:t> </w:t>
      </w:r>
      <w:r>
        <w:rPr>
          <w:sz w:val="18"/>
        </w:rPr>
        <w:t>and</w:t>
      </w:r>
      <w:r>
        <w:rPr>
          <w:spacing w:val="-4"/>
          <w:sz w:val="18"/>
        </w:rPr>
        <w:t> </w:t>
      </w:r>
      <w:r>
        <w:rPr>
          <w:sz w:val="18"/>
        </w:rPr>
        <w:t>setting bait</w:t>
      </w:r>
      <w:r>
        <w:rPr>
          <w:spacing w:val="-2"/>
          <w:sz w:val="18"/>
        </w:rPr>
        <w:t> station;</w:t>
      </w:r>
    </w:p>
    <w:p>
      <w:pPr>
        <w:spacing w:line="207" w:lineRule="exact" w:before="0"/>
        <w:ind w:left="1132" w:right="0" w:firstLine="0"/>
        <w:jc w:val="left"/>
        <w:rPr>
          <w:sz w:val="18"/>
        </w:rPr>
      </w:pPr>
      <w:r>
        <w:rPr>
          <w:sz w:val="18"/>
        </w:rPr>
        <w:t>(e)</w:t>
      </w:r>
      <w:r>
        <w:rPr>
          <w:spacing w:val="-4"/>
          <w:sz w:val="18"/>
        </w:rPr>
        <w:t> </w:t>
      </w:r>
      <w:r>
        <w:rPr>
          <w:sz w:val="18"/>
        </w:rPr>
        <w:t>Long-nosed</w:t>
      </w:r>
      <w:r>
        <w:rPr>
          <w:spacing w:val="-4"/>
          <w:sz w:val="18"/>
        </w:rPr>
        <w:t> </w:t>
      </w:r>
      <w:r>
        <w:rPr>
          <w:sz w:val="18"/>
        </w:rPr>
        <w:t>Potoroo;</w:t>
      </w:r>
      <w:r>
        <w:rPr>
          <w:spacing w:val="-4"/>
          <w:sz w:val="18"/>
        </w:rPr>
        <w:t> </w:t>
      </w:r>
      <w:r>
        <w:rPr>
          <w:sz w:val="18"/>
        </w:rPr>
        <w:t>and</w:t>
      </w:r>
      <w:r>
        <w:rPr>
          <w:spacing w:val="-3"/>
          <w:sz w:val="18"/>
        </w:rPr>
        <w:t> </w:t>
      </w:r>
      <w:r>
        <w:rPr>
          <w:sz w:val="18"/>
        </w:rPr>
        <w:t>(f)</w:t>
      </w:r>
      <w:r>
        <w:rPr>
          <w:spacing w:val="-3"/>
          <w:sz w:val="18"/>
        </w:rPr>
        <w:t> </w:t>
      </w:r>
      <w:r>
        <w:rPr>
          <w:sz w:val="18"/>
        </w:rPr>
        <w:t>Southern</w:t>
      </w:r>
      <w:r>
        <w:rPr>
          <w:spacing w:val="-4"/>
          <w:sz w:val="18"/>
        </w:rPr>
        <w:t> </w:t>
      </w:r>
      <w:r>
        <w:rPr>
          <w:sz w:val="18"/>
        </w:rPr>
        <w:t>Brown</w:t>
      </w:r>
      <w:r>
        <w:rPr>
          <w:spacing w:val="-6"/>
          <w:sz w:val="18"/>
        </w:rPr>
        <w:t> </w:t>
      </w:r>
      <w:r>
        <w:rPr>
          <w:sz w:val="18"/>
        </w:rPr>
        <w:t>Bandicoot</w:t>
      </w:r>
      <w:r>
        <w:rPr>
          <w:spacing w:val="-4"/>
          <w:sz w:val="18"/>
        </w:rPr>
        <w:t> </w:t>
      </w:r>
      <w:r>
        <w:rPr>
          <w:sz w:val="18"/>
        </w:rPr>
        <w:t>(photographer:</w:t>
      </w:r>
      <w:r>
        <w:rPr>
          <w:spacing w:val="-4"/>
          <w:sz w:val="18"/>
        </w:rPr>
        <w:t> </w:t>
      </w:r>
      <w:r>
        <w:rPr>
          <w:sz w:val="18"/>
        </w:rPr>
        <w:t>Ethan</w:t>
      </w:r>
      <w:r>
        <w:rPr>
          <w:spacing w:val="-5"/>
          <w:sz w:val="18"/>
        </w:rPr>
        <w:t> </w:t>
      </w:r>
      <w:r>
        <w:rPr>
          <w:sz w:val="18"/>
        </w:rPr>
        <w:t>Le</w:t>
      </w:r>
      <w:r>
        <w:rPr>
          <w:spacing w:val="-4"/>
          <w:sz w:val="18"/>
        </w:rPr>
        <w:t> </w:t>
      </w:r>
      <w:r>
        <w:rPr>
          <w:spacing w:val="-2"/>
          <w:sz w:val="18"/>
        </w:rPr>
        <w:t>Duc).</w:t>
      </w:r>
    </w:p>
    <w:p>
      <w:pPr>
        <w:spacing w:line="478" w:lineRule="exact" w:before="26"/>
        <w:ind w:left="1132" w:right="7962" w:firstLine="0"/>
        <w:jc w:val="left"/>
        <w:rPr>
          <w:sz w:val="18"/>
        </w:rPr>
      </w:pPr>
      <w:r>
        <w:rPr>
          <w:sz w:val="18"/>
        </w:rPr>
        <w:t>Edited</w:t>
      </w:r>
      <w:r>
        <w:rPr>
          <w:spacing w:val="-10"/>
          <w:sz w:val="18"/>
        </w:rPr>
        <w:t> </w:t>
      </w:r>
      <w:r>
        <w:rPr>
          <w:sz w:val="18"/>
        </w:rPr>
        <w:t>by</w:t>
      </w:r>
      <w:r>
        <w:rPr>
          <w:spacing w:val="-8"/>
          <w:sz w:val="18"/>
        </w:rPr>
        <w:t> </w:t>
      </w:r>
      <w:r>
        <w:rPr>
          <w:sz w:val="18"/>
        </w:rPr>
        <w:t>Fox</w:t>
      </w:r>
      <w:r>
        <w:rPr>
          <w:spacing w:val="-9"/>
          <w:sz w:val="18"/>
        </w:rPr>
        <w:t> </w:t>
      </w:r>
      <w:r>
        <w:rPr>
          <w:sz w:val="18"/>
        </w:rPr>
        <w:t>Writing</w:t>
      </w:r>
      <w:r>
        <w:rPr>
          <w:spacing w:val="-8"/>
          <w:sz w:val="18"/>
        </w:rPr>
        <w:t> </w:t>
      </w:r>
      <w:r>
        <w:rPr>
          <w:sz w:val="18"/>
        </w:rPr>
        <w:t>Services ISSN 1835-3827 (print)</w:t>
      </w:r>
    </w:p>
    <w:p>
      <w:pPr>
        <w:spacing w:line="149" w:lineRule="exact" w:before="0"/>
        <w:ind w:left="1132" w:right="0" w:firstLine="0"/>
        <w:jc w:val="left"/>
        <w:rPr>
          <w:sz w:val="18"/>
        </w:rPr>
      </w:pPr>
      <w:r>
        <w:rPr>
          <w:sz w:val="18"/>
        </w:rPr>
        <w:t>ISSN</w:t>
      </w:r>
      <w:r>
        <w:rPr>
          <w:spacing w:val="-6"/>
          <w:sz w:val="18"/>
        </w:rPr>
        <w:t> </w:t>
      </w:r>
      <w:r>
        <w:rPr>
          <w:sz w:val="18"/>
        </w:rPr>
        <w:t>1835-3835</w:t>
      </w:r>
      <w:r>
        <w:rPr>
          <w:spacing w:val="-8"/>
          <w:sz w:val="18"/>
        </w:rPr>
        <w:t> </w:t>
      </w:r>
      <w:r>
        <w:rPr>
          <w:spacing w:val="-2"/>
          <w:sz w:val="18"/>
        </w:rPr>
        <w:t>(pdf))</w:t>
      </w:r>
    </w:p>
    <w:p>
      <w:pPr>
        <w:spacing w:line="207" w:lineRule="exact" w:before="1"/>
        <w:ind w:left="1132" w:right="0" w:firstLine="0"/>
        <w:jc w:val="left"/>
        <w:rPr>
          <w:sz w:val="18"/>
        </w:rPr>
      </w:pPr>
      <w:r>
        <w:rPr>
          <w:sz w:val="18"/>
        </w:rPr>
        <w:t>ISBN</w:t>
      </w:r>
      <w:r>
        <w:rPr>
          <w:spacing w:val="-11"/>
          <w:sz w:val="18"/>
        </w:rPr>
        <w:t> </w:t>
      </w:r>
      <w:r>
        <w:rPr>
          <w:sz w:val="18"/>
        </w:rPr>
        <w:t>978-1-76136-753-3</w:t>
      </w:r>
      <w:r>
        <w:rPr>
          <w:spacing w:val="-10"/>
          <w:sz w:val="18"/>
        </w:rPr>
        <w:t> </w:t>
      </w:r>
      <w:r>
        <w:rPr>
          <w:spacing w:val="-2"/>
          <w:sz w:val="18"/>
        </w:rPr>
        <w:t>(Print)</w:t>
      </w:r>
    </w:p>
    <w:p>
      <w:pPr>
        <w:spacing w:line="207" w:lineRule="exact" w:before="0"/>
        <w:ind w:left="1132" w:right="0" w:firstLine="0"/>
        <w:jc w:val="left"/>
        <w:rPr>
          <w:sz w:val="18"/>
        </w:rPr>
      </w:pPr>
      <w:r>
        <w:rPr>
          <w:sz w:val="18"/>
        </w:rPr>
        <w:t>ISBN</w:t>
      </w:r>
      <w:r>
        <w:rPr>
          <w:spacing w:val="-9"/>
          <w:sz w:val="18"/>
        </w:rPr>
        <w:t> </w:t>
      </w:r>
      <w:r>
        <w:rPr>
          <w:sz w:val="18"/>
        </w:rPr>
        <w:t>978-1-76136-754-0</w:t>
      </w:r>
      <w:r>
        <w:rPr>
          <w:spacing w:val="-9"/>
          <w:sz w:val="18"/>
        </w:rPr>
        <w:t> </w:t>
      </w:r>
      <w:r>
        <w:rPr>
          <w:sz w:val="18"/>
        </w:rPr>
        <w:t>(pdf/online/MS</w:t>
      </w:r>
      <w:r>
        <w:rPr>
          <w:spacing w:val="-12"/>
          <w:sz w:val="18"/>
        </w:rPr>
        <w:t> </w:t>
      </w:r>
      <w:r>
        <w:rPr>
          <w:spacing w:val="-4"/>
          <w:sz w:val="18"/>
        </w:rPr>
        <w:t>word)</w:t>
      </w:r>
    </w:p>
    <w:p>
      <w:pPr>
        <w:pStyle w:val="BodyText"/>
        <w:spacing w:before="216"/>
      </w:pPr>
      <w:r>
        <w:rPr/>
        <mc:AlternateContent>
          <mc:Choice Requires="wps">
            <w:drawing>
              <wp:anchor distT="0" distB="0" distL="0" distR="0" allowOverlap="1" layoutInCell="1" locked="0" behindDoc="1" simplePos="0" relativeHeight="487590400">
                <wp:simplePos x="0" y="0"/>
                <wp:positionH relativeFrom="page">
                  <wp:posOffset>720090</wp:posOffset>
                </wp:positionH>
                <wp:positionV relativeFrom="paragraph">
                  <wp:posOffset>298674</wp:posOffset>
                </wp:positionV>
                <wp:extent cx="6106795" cy="1476375"/>
                <wp:effectExtent l="0" t="0" r="0" b="0"/>
                <wp:wrapTopAndBottom/>
                <wp:docPr id="26" name="Group 26"/>
                <wp:cNvGraphicFramePr>
                  <a:graphicFrameLocks/>
                </wp:cNvGraphicFramePr>
                <a:graphic>
                  <a:graphicData uri="http://schemas.microsoft.com/office/word/2010/wordprocessingGroup">
                    <wpg:wgp>
                      <wpg:cNvPr id="26" name="Group 26"/>
                      <wpg:cNvGrpSpPr/>
                      <wpg:grpSpPr>
                        <a:xfrm>
                          <a:off x="0" y="0"/>
                          <a:ext cx="6106795" cy="1476375"/>
                          <a:chExt cx="6106795" cy="1476375"/>
                        </a:xfrm>
                      </wpg:grpSpPr>
                      <pic:pic>
                        <pic:nvPicPr>
                          <pic:cNvPr id="27" name="Image 27"/>
                          <pic:cNvPicPr/>
                        </pic:nvPicPr>
                        <pic:blipFill>
                          <a:blip r:embed="rId18" cstate="print"/>
                          <a:stretch>
                            <a:fillRect/>
                          </a:stretch>
                        </pic:blipFill>
                        <pic:spPr>
                          <a:xfrm>
                            <a:off x="3810000" y="635"/>
                            <a:ext cx="2296794" cy="1475739"/>
                          </a:xfrm>
                          <a:prstGeom prst="rect">
                            <a:avLst/>
                          </a:prstGeom>
                        </pic:spPr>
                      </pic:pic>
                      <wps:wsp>
                        <wps:cNvPr id="28" name="Graphic 28"/>
                        <wps:cNvSpPr/>
                        <wps:spPr>
                          <a:xfrm>
                            <a:off x="0" y="0"/>
                            <a:ext cx="4511675" cy="1475740"/>
                          </a:xfrm>
                          <a:custGeom>
                            <a:avLst/>
                            <a:gdLst/>
                            <a:ahLst/>
                            <a:cxnLst/>
                            <a:rect l="l" t="t" r="r" b="b"/>
                            <a:pathLst>
                              <a:path w="4511675" h="1475740">
                                <a:moveTo>
                                  <a:pt x="4511675" y="0"/>
                                </a:moveTo>
                                <a:lnTo>
                                  <a:pt x="0" y="0"/>
                                </a:lnTo>
                                <a:lnTo>
                                  <a:pt x="0" y="1475739"/>
                                </a:lnTo>
                                <a:lnTo>
                                  <a:pt x="3815842" y="1475739"/>
                                </a:lnTo>
                                <a:lnTo>
                                  <a:pt x="4511675" y="0"/>
                                </a:lnTo>
                                <a:close/>
                              </a:path>
                            </a:pathLst>
                          </a:custGeom>
                          <a:solidFill>
                            <a:srgbClr val="1F1546"/>
                          </a:solidFill>
                        </wps:spPr>
                        <wps:bodyPr wrap="square" lIns="0" tIns="0" rIns="0" bIns="0" rtlCol="0">
                          <a:prstTxWarp prst="textNoShape">
                            <a:avLst/>
                          </a:prstTxWarp>
                          <a:noAutofit/>
                        </wps:bodyPr>
                      </wps:wsp>
                      <wps:wsp>
                        <wps:cNvPr id="29" name="Textbox 29"/>
                        <wps:cNvSpPr txBox="1"/>
                        <wps:spPr>
                          <a:xfrm>
                            <a:off x="0" y="0"/>
                            <a:ext cx="6106795" cy="1476375"/>
                          </a:xfrm>
                          <a:prstGeom prst="rect">
                            <a:avLst/>
                          </a:prstGeom>
                        </wps:spPr>
                        <wps:txbx>
                          <w:txbxContent>
                            <w:p>
                              <w:pPr>
                                <w:spacing w:line="240" w:lineRule="auto" w:before="23"/>
                                <w:rPr>
                                  <w:sz w:val="18"/>
                                </w:rPr>
                              </w:pPr>
                            </w:p>
                            <w:p>
                              <w:pPr>
                                <w:spacing w:line="244" w:lineRule="auto" w:before="0"/>
                                <w:ind w:left="292" w:right="3360" w:firstLine="0"/>
                                <w:jc w:val="left"/>
                                <w:rPr>
                                  <w:rFonts w:ascii="Calibri" w:hAnsi="Calibri"/>
                                  <w:sz w:val="18"/>
                                </w:rPr>
                              </w:pPr>
                              <w:r>
                                <w:rPr>
                                  <w:rFonts w:ascii="Calibri" w:hAnsi="Calibri"/>
                                  <w:color w:val="FFFFFF"/>
                                  <w:sz w:val="18"/>
                                </w:rPr>
                                <w:t>We acknowledge and respect Victorian Traditional Owners as the original custodians</w:t>
                              </w:r>
                              <w:r>
                                <w:rPr>
                                  <w:rFonts w:ascii="Calibri" w:hAnsi="Calibri"/>
                                  <w:color w:val="FFFFFF"/>
                                  <w:spacing w:val="-5"/>
                                  <w:sz w:val="18"/>
                                </w:rPr>
                                <w:t> </w:t>
                              </w:r>
                              <w:r>
                                <w:rPr>
                                  <w:rFonts w:ascii="Calibri" w:hAnsi="Calibri"/>
                                  <w:color w:val="FFFFFF"/>
                                  <w:sz w:val="18"/>
                                </w:rPr>
                                <w:t>of</w:t>
                              </w:r>
                              <w:r>
                                <w:rPr>
                                  <w:rFonts w:ascii="Calibri" w:hAnsi="Calibri"/>
                                  <w:color w:val="FFFFFF"/>
                                  <w:spacing w:val="-5"/>
                                  <w:sz w:val="18"/>
                                </w:rPr>
                                <w:t> </w:t>
                              </w:r>
                              <w:r>
                                <w:rPr>
                                  <w:rFonts w:ascii="Calibri" w:hAnsi="Calibri"/>
                                  <w:color w:val="FFFFFF"/>
                                  <w:sz w:val="18"/>
                                </w:rPr>
                                <w:t>Victoria’s</w:t>
                              </w:r>
                              <w:r>
                                <w:rPr>
                                  <w:rFonts w:ascii="Calibri" w:hAnsi="Calibri"/>
                                  <w:color w:val="FFFFFF"/>
                                  <w:spacing w:val="-5"/>
                                  <w:sz w:val="18"/>
                                </w:rPr>
                                <w:t> </w:t>
                              </w:r>
                              <w:r>
                                <w:rPr>
                                  <w:rFonts w:ascii="Calibri" w:hAnsi="Calibri"/>
                                  <w:color w:val="FFFFFF"/>
                                  <w:sz w:val="18"/>
                                </w:rPr>
                                <w:t>land</w:t>
                              </w:r>
                              <w:r>
                                <w:rPr>
                                  <w:rFonts w:ascii="Calibri" w:hAnsi="Calibri"/>
                                  <w:color w:val="FFFFFF"/>
                                  <w:spacing w:val="-5"/>
                                  <w:sz w:val="18"/>
                                </w:rPr>
                                <w:t> </w:t>
                              </w:r>
                              <w:r>
                                <w:rPr>
                                  <w:rFonts w:ascii="Calibri" w:hAnsi="Calibri"/>
                                  <w:color w:val="FFFFFF"/>
                                  <w:sz w:val="18"/>
                                </w:rPr>
                                <w:t>and</w:t>
                              </w:r>
                              <w:r>
                                <w:rPr>
                                  <w:rFonts w:ascii="Calibri" w:hAnsi="Calibri"/>
                                  <w:color w:val="FFFFFF"/>
                                  <w:spacing w:val="-3"/>
                                  <w:sz w:val="18"/>
                                </w:rPr>
                                <w:t> </w:t>
                              </w:r>
                              <w:r>
                                <w:rPr>
                                  <w:rFonts w:ascii="Calibri" w:hAnsi="Calibri"/>
                                  <w:color w:val="FFFFFF"/>
                                  <w:sz w:val="18"/>
                                </w:rPr>
                                <w:t>waters,</w:t>
                              </w:r>
                              <w:r>
                                <w:rPr>
                                  <w:rFonts w:ascii="Calibri" w:hAnsi="Calibri"/>
                                  <w:color w:val="FFFFFF"/>
                                  <w:spacing w:val="-4"/>
                                  <w:sz w:val="18"/>
                                </w:rPr>
                                <w:t> </w:t>
                              </w:r>
                              <w:r>
                                <w:rPr>
                                  <w:rFonts w:ascii="Calibri" w:hAnsi="Calibri"/>
                                  <w:color w:val="FFFFFF"/>
                                  <w:sz w:val="18"/>
                                </w:rPr>
                                <w:t>their</w:t>
                              </w:r>
                              <w:r>
                                <w:rPr>
                                  <w:rFonts w:ascii="Calibri" w:hAnsi="Calibri"/>
                                  <w:color w:val="FFFFFF"/>
                                  <w:spacing w:val="-2"/>
                                  <w:sz w:val="18"/>
                                </w:rPr>
                                <w:t> </w:t>
                              </w:r>
                              <w:r>
                                <w:rPr>
                                  <w:rFonts w:ascii="Calibri" w:hAnsi="Calibri"/>
                                  <w:color w:val="FFFFFF"/>
                                  <w:sz w:val="18"/>
                                </w:rPr>
                                <w:t>unique</w:t>
                              </w:r>
                              <w:r>
                                <w:rPr>
                                  <w:rFonts w:ascii="Calibri" w:hAnsi="Calibri"/>
                                  <w:color w:val="FFFFFF"/>
                                  <w:spacing w:val="-5"/>
                                  <w:sz w:val="18"/>
                                </w:rPr>
                                <w:t> </w:t>
                              </w:r>
                              <w:r>
                                <w:rPr>
                                  <w:rFonts w:ascii="Calibri" w:hAnsi="Calibri"/>
                                  <w:color w:val="FFFFFF"/>
                                  <w:sz w:val="18"/>
                                </w:rPr>
                                <w:t>ability</w:t>
                              </w:r>
                              <w:r>
                                <w:rPr>
                                  <w:rFonts w:ascii="Calibri" w:hAnsi="Calibri"/>
                                  <w:color w:val="FFFFFF"/>
                                  <w:spacing w:val="-4"/>
                                  <w:sz w:val="18"/>
                                </w:rPr>
                                <w:t> </w:t>
                              </w:r>
                              <w:r>
                                <w:rPr>
                                  <w:rFonts w:ascii="Calibri" w:hAnsi="Calibri"/>
                                  <w:color w:val="FFFFFF"/>
                                  <w:sz w:val="18"/>
                                </w:rPr>
                                <w:t>to</w:t>
                              </w:r>
                              <w:r>
                                <w:rPr>
                                  <w:rFonts w:ascii="Calibri" w:hAnsi="Calibri"/>
                                  <w:color w:val="FFFFFF"/>
                                  <w:spacing w:val="-4"/>
                                  <w:sz w:val="18"/>
                                </w:rPr>
                                <w:t> </w:t>
                              </w:r>
                              <w:r>
                                <w:rPr>
                                  <w:rFonts w:ascii="Calibri" w:hAnsi="Calibri"/>
                                  <w:color w:val="FFFFFF"/>
                                  <w:sz w:val="18"/>
                                </w:rPr>
                                <w:t>care</w:t>
                              </w:r>
                              <w:r>
                                <w:rPr>
                                  <w:rFonts w:ascii="Calibri" w:hAnsi="Calibri"/>
                                  <w:color w:val="FFFFFF"/>
                                  <w:spacing w:val="-5"/>
                                  <w:sz w:val="18"/>
                                </w:rPr>
                                <w:t> </w:t>
                              </w:r>
                              <w:r>
                                <w:rPr>
                                  <w:rFonts w:ascii="Calibri" w:hAnsi="Calibri"/>
                                  <w:color w:val="FFFFFF"/>
                                  <w:sz w:val="18"/>
                                </w:rPr>
                                <w:t>for</w:t>
                              </w:r>
                              <w:r>
                                <w:rPr>
                                  <w:rFonts w:ascii="Calibri" w:hAnsi="Calibri"/>
                                  <w:color w:val="FFFFFF"/>
                                  <w:spacing w:val="-4"/>
                                  <w:sz w:val="18"/>
                                </w:rPr>
                                <w:t> </w:t>
                              </w:r>
                              <w:r>
                                <w:rPr>
                                  <w:rFonts w:ascii="Calibri" w:hAnsi="Calibri"/>
                                  <w:color w:val="FFFFFF"/>
                                  <w:sz w:val="18"/>
                                </w:rPr>
                                <w:t>Country and deep spiritual connection to it.</w:t>
                              </w:r>
                            </w:p>
                            <w:p>
                              <w:pPr>
                                <w:spacing w:line="249" w:lineRule="auto" w:before="79"/>
                                <w:ind w:left="292" w:right="4268" w:firstLine="0"/>
                                <w:jc w:val="left"/>
                                <w:rPr>
                                  <w:rFonts w:ascii="Calibri"/>
                                  <w:sz w:val="18"/>
                                </w:rPr>
                              </w:pPr>
                              <w:r>
                                <w:rPr>
                                  <w:rFonts w:ascii="Calibri"/>
                                  <w:color w:val="FFFFFF"/>
                                  <w:sz w:val="18"/>
                                </w:rPr>
                                <w:t>We</w:t>
                              </w:r>
                              <w:r>
                                <w:rPr>
                                  <w:rFonts w:ascii="Calibri"/>
                                  <w:color w:val="FFFFFF"/>
                                  <w:spacing w:val="-6"/>
                                  <w:sz w:val="18"/>
                                </w:rPr>
                                <w:t> </w:t>
                              </w:r>
                              <w:r>
                                <w:rPr>
                                  <w:rFonts w:ascii="Calibri"/>
                                  <w:color w:val="FFFFFF"/>
                                  <w:sz w:val="18"/>
                                </w:rPr>
                                <w:t>honour</w:t>
                              </w:r>
                              <w:r>
                                <w:rPr>
                                  <w:rFonts w:ascii="Calibri"/>
                                  <w:color w:val="FFFFFF"/>
                                  <w:spacing w:val="-5"/>
                                  <w:sz w:val="18"/>
                                </w:rPr>
                                <w:t> </w:t>
                              </w:r>
                              <w:r>
                                <w:rPr>
                                  <w:rFonts w:ascii="Calibri"/>
                                  <w:color w:val="FFFFFF"/>
                                  <w:sz w:val="18"/>
                                </w:rPr>
                                <w:t>Elders</w:t>
                              </w:r>
                              <w:r>
                                <w:rPr>
                                  <w:rFonts w:ascii="Calibri"/>
                                  <w:color w:val="FFFFFF"/>
                                  <w:spacing w:val="-4"/>
                                  <w:sz w:val="18"/>
                                </w:rPr>
                                <w:t> </w:t>
                              </w:r>
                              <w:r>
                                <w:rPr>
                                  <w:rFonts w:ascii="Calibri"/>
                                  <w:color w:val="FFFFFF"/>
                                  <w:sz w:val="18"/>
                                </w:rPr>
                                <w:t>past</w:t>
                              </w:r>
                              <w:r>
                                <w:rPr>
                                  <w:rFonts w:ascii="Calibri"/>
                                  <w:color w:val="FFFFFF"/>
                                  <w:spacing w:val="-5"/>
                                  <w:sz w:val="18"/>
                                </w:rPr>
                                <w:t> </w:t>
                              </w:r>
                              <w:r>
                                <w:rPr>
                                  <w:rFonts w:ascii="Calibri"/>
                                  <w:color w:val="FFFFFF"/>
                                  <w:sz w:val="18"/>
                                </w:rPr>
                                <w:t>and</w:t>
                              </w:r>
                              <w:r>
                                <w:rPr>
                                  <w:rFonts w:ascii="Calibri"/>
                                  <w:color w:val="FFFFFF"/>
                                  <w:spacing w:val="-6"/>
                                  <w:sz w:val="18"/>
                                </w:rPr>
                                <w:t> </w:t>
                              </w:r>
                              <w:r>
                                <w:rPr>
                                  <w:rFonts w:ascii="Calibri"/>
                                  <w:color w:val="FFFFFF"/>
                                  <w:sz w:val="18"/>
                                </w:rPr>
                                <w:t>present</w:t>
                              </w:r>
                              <w:r>
                                <w:rPr>
                                  <w:rFonts w:ascii="Calibri"/>
                                  <w:color w:val="FFFFFF"/>
                                  <w:spacing w:val="-5"/>
                                  <w:sz w:val="18"/>
                                </w:rPr>
                                <w:t> </w:t>
                              </w:r>
                              <w:r>
                                <w:rPr>
                                  <w:rFonts w:ascii="Calibri"/>
                                  <w:color w:val="FFFFFF"/>
                                  <w:sz w:val="18"/>
                                </w:rPr>
                                <w:t>whose</w:t>
                              </w:r>
                              <w:r>
                                <w:rPr>
                                  <w:rFonts w:ascii="Calibri"/>
                                  <w:color w:val="FFFFFF"/>
                                  <w:spacing w:val="-6"/>
                                  <w:sz w:val="18"/>
                                </w:rPr>
                                <w:t> </w:t>
                              </w:r>
                              <w:r>
                                <w:rPr>
                                  <w:rFonts w:ascii="Calibri"/>
                                  <w:color w:val="FFFFFF"/>
                                  <w:sz w:val="18"/>
                                </w:rPr>
                                <w:t>knowledge</w:t>
                              </w:r>
                              <w:r>
                                <w:rPr>
                                  <w:rFonts w:ascii="Calibri"/>
                                  <w:color w:val="FFFFFF"/>
                                  <w:spacing w:val="-6"/>
                                  <w:sz w:val="18"/>
                                </w:rPr>
                                <w:t> </w:t>
                              </w:r>
                              <w:r>
                                <w:rPr>
                                  <w:rFonts w:ascii="Calibri"/>
                                  <w:color w:val="FFFFFF"/>
                                  <w:sz w:val="18"/>
                                </w:rPr>
                                <w:t>and</w:t>
                              </w:r>
                              <w:r>
                                <w:rPr>
                                  <w:rFonts w:ascii="Calibri"/>
                                  <w:color w:val="FFFFFF"/>
                                  <w:spacing w:val="-6"/>
                                  <w:sz w:val="18"/>
                                </w:rPr>
                                <w:t> </w:t>
                              </w:r>
                              <w:r>
                                <w:rPr>
                                  <w:rFonts w:ascii="Calibri"/>
                                  <w:color w:val="FFFFFF"/>
                                  <w:sz w:val="18"/>
                                </w:rPr>
                                <w:t>wisdom has ensured the continuation of culture and traditional practices.</w:t>
                              </w:r>
                            </w:p>
                            <w:p>
                              <w:pPr>
                                <w:spacing w:line="247" w:lineRule="auto" w:before="71"/>
                                <w:ind w:left="292" w:right="3360" w:firstLine="0"/>
                                <w:jc w:val="left"/>
                                <w:rPr>
                                  <w:rFonts w:ascii="Calibri" w:hAnsi="Calibri"/>
                                  <w:sz w:val="18"/>
                                </w:rPr>
                              </w:pPr>
                              <w:r>
                                <w:rPr>
                                  <w:rFonts w:ascii="Calibri" w:hAnsi="Calibri"/>
                                  <w:color w:val="FFFFFF"/>
                                  <w:sz w:val="18"/>
                                </w:rPr>
                                <w:t>DEECA</w:t>
                              </w:r>
                              <w:r>
                                <w:rPr>
                                  <w:rFonts w:ascii="Calibri" w:hAnsi="Calibri"/>
                                  <w:color w:val="FFFFFF"/>
                                  <w:spacing w:val="-5"/>
                                  <w:sz w:val="18"/>
                                </w:rPr>
                                <w:t> </w:t>
                              </w:r>
                              <w:r>
                                <w:rPr>
                                  <w:rFonts w:ascii="Calibri" w:hAnsi="Calibri"/>
                                  <w:color w:val="FFFFFF"/>
                                  <w:sz w:val="18"/>
                                </w:rPr>
                                <w:t>is</w:t>
                              </w:r>
                              <w:r>
                                <w:rPr>
                                  <w:rFonts w:ascii="Calibri" w:hAnsi="Calibri"/>
                                  <w:color w:val="FFFFFF"/>
                                  <w:spacing w:val="-6"/>
                                  <w:sz w:val="18"/>
                                </w:rPr>
                                <w:t> </w:t>
                              </w:r>
                              <w:r>
                                <w:rPr>
                                  <w:rFonts w:ascii="Calibri" w:hAnsi="Calibri"/>
                                  <w:color w:val="FFFFFF"/>
                                  <w:sz w:val="18"/>
                                </w:rPr>
                                <w:t>committed</w:t>
                              </w:r>
                              <w:r>
                                <w:rPr>
                                  <w:rFonts w:ascii="Calibri" w:hAnsi="Calibri"/>
                                  <w:color w:val="FFFFFF"/>
                                  <w:spacing w:val="-5"/>
                                  <w:sz w:val="18"/>
                                </w:rPr>
                                <w:t> </w:t>
                              </w:r>
                              <w:r>
                                <w:rPr>
                                  <w:rFonts w:ascii="Calibri" w:hAnsi="Calibri"/>
                                  <w:color w:val="FFFFFF"/>
                                  <w:sz w:val="18"/>
                                </w:rPr>
                                <w:t>to</w:t>
                              </w:r>
                              <w:r>
                                <w:rPr>
                                  <w:rFonts w:ascii="Calibri" w:hAnsi="Calibri"/>
                                  <w:color w:val="FFFFFF"/>
                                  <w:spacing w:val="-4"/>
                                  <w:sz w:val="18"/>
                                </w:rPr>
                                <w:t> </w:t>
                              </w:r>
                              <w:r>
                                <w:rPr>
                                  <w:rFonts w:ascii="Calibri" w:hAnsi="Calibri"/>
                                  <w:color w:val="FFFFFF"/>
                                  <w:sz w:val="18"/>
                                </w:rPr>
                                <w:t>genuinely</w:t>
                              </w:r>
                              <w:r>
                                <w:rPr>
                                  <w:rFonts w:ascii="Calibri" w:hAnsi="Calibri"/>
                                  <w:color w:val="FFFFFF"/>
                                  <w:spacing w:val="-2"/>
                                  <w:sz w:val="18"/>
                                </w:rPr>
                                <w:t> </w:t>
                              </w:r>
                              <w:r>
                                <w:rPr>
                                  <w:rFonts w:ascii="Calibri" w:hAnsi="Calibri"/>
                                  <w:color w:val="FFFFFF"/>
                                  <w:sz w:val="18"/>
                                </w:rPr>
                                <w:t>partnering</w:t>
                              </w:r>
                              <w:r>
                                <w:rPr>
                                  <w:rFonts w:ascii="Calibri" w:hAnsi="Calibri"/>
                                  <w:color w:val="FFFFFF"/>
                                  <w:spacing w:val="-5"/>
                                  <w:sz w:val="18"/>
                                </w:rPr>
                                <w:t> </w:t>
                              </w:r>
                              <w:r>
                                <w:rPr>
                                  <w:rFonts w:ascii="Calibri" w:hAnsi="Calibri"/>
                                  <w:color w:val="FFFFFF"/>
                                  <w:sz w:val="18"/>
                                </w:rPr>
                                <w:t>with</w:t>
                              </w:r>
                              <w:r>
                                <w:rPr>
                                  <w:rFonts w:ascii="Calibri" w:hAnsi="Calibri"/>
                                  <w:color w:val="FFFFFF"/>
                                  <w:spacing w:val="-5"/>
                                  <w:sz w:val="18"/>
                                </w:rPr>
                                <w:t> </w:t>
                              </w:r>
                              <w:r>
                                <w:rPr>
                                  <w:rFonts w:ascii="Calibri" w:hAnsi="Calibri"/>
                                  <w:color w:val="FFFFFF"/>
                                  <w:sz w:val="18"/>
                                </w:rPr>
                                <w:t>Victorian</w:t>
                              </w:r>
                              <w:r>
                                <w:rPr>
                                  <w:rFonts w:ascii="Calibri" w:hAnsi="Calibri"/>
                                  <w:color w:val="FFFFFF"/>
                                  <w:spacing w:val="-5"/>
                                  <w:sz w:val="18"/>
                                </w:rPr>
                                <w:t> </w:t>
                              </w:r>
                              <w:r>
                                <w:rPr>
                                  <w:rFonts w:ascii="Calibri" w:hAnsi="Calibri"/>
                                  <w:color w:val="FFFFFF"/>
                                  <w:sz w:val="18"/>
                                </w:rPr>
                                <w:t>Traditional</w:t>
                              </w:r>
                              <w:r>
                                <w:rPr>
                                  <w:rFonts w:ascii="Calibri" w:hAnsi="Calibri"/>
                                  <w:color w:val="FFFFFF"/>
                                  <w:spacing w:val="-2"/>
                                  <w:sz w:val="18"/>
                                </w:rPr>
                                <w:t> </w:t>
                              </w:r>
                              <w:r>
                                <w:rPr>
                                  <w:rFonts w:ascii="Calibri" w:hAnsi="Calibri"/>
                                  <w:color w:val="FFFFFF"/>
                                  <w:sz w:val="18"/>
                                </w:rPr>
                                <w:t>Owners and Victoria’s Aboriginal community to progress their aspirations.</w:t>
                              </w:r>
                            </w:p>
                          </w:txbxContent>
                        </wps:txbx>
                        <wps:bodyPr wrap="square" lIns="0" tIns="0" rIns="0" bIns="0" rtlCol="0">
                          <a:noAutofit/>
                        </wps:bodyPr>
                      </wps:wsp>
                    </wpg:wgp>
                  </a:graphicData>
                </a:graphic>
              </wp:anchor>
            </w:drawing>
          </mc:Choice>
          <mc:Fallback>
            <w:pict>
              <v:group style="position:absolute;margin-left:56.700001pt;margin-top:23.517696pt;width:480.85pt;height:116.25pt;mso-position-horizontal-relative:page;mso-position-vertical-relative:paragraph;z-index:-15726080;mso-wrap-distance-left:0;mso-wrap-distance-right:0" id="docshapegroup25" coordorigin="1134,470" coordsize="9617,2325">
                <v:shape style="position:absolute;left:7134;top:471;width:3617;height:2324" type="#_x0000_t75" id="docshape26" stroked="false">
                  <v:imagedata r:id="rId18" o:title=""/>
                </v:shape>
                <v:shape style="position:absolute;left:1134;top:470;width:7105;height:2324" id="docshape27" coordorigin="1134,470" coordsize="7105,2324" path="m8239,470l1134,470,1134,2794,7143,2794,8239,470xe" filled="true" fillcolor="#1f1546" stroked="false">
                  <v:path arrowok="t"/>
                  <v:fill type="solid"/>
                </v:shape>
                <v:shape style="position:absolute;left:1134;top:470;width:9617;height:2325" type="#_x0000_t202" id="docshape28" filled="false" stroked="false">
                  <v:textbox inset="0,0,0,0">
                    <w:txbxContent>
                      <w:p>
                        <w:pPr>
                          <w:spacing w:line="240" w:lineRule="auto" w:before="23"/>
                          <w:rPr>
                            <w:sz w:val="18"/>
                          </w:rPr>
                        </w:pPr>
                      </w:p>
                      <w:p>
                        <w:pPr>
                          <w:spacing w:line="244" w:lineRule="auto" w:before="0"/>
                          <w:ind w:left="292" w:right="3360" w:firstLine="0"/>
                          <w:jc w:val="left"/>
                          <w:rPr>
                            <w:rFonts w:ascii="Calibri" w:hAnsi="Calibri"/>
                            <w:sz w:val="18"/>
                          </w:rPr>
                        </w:pPr>
                        <w:r>
                          <w:rPr>
                            <w:rFonts w:ascii="Calibri" w:hAnsi="Calibri"/>
                            <w:color w:val="FFFFFF"/>
                            <w:sz w:val="18"/>
                          </w:rPr>
                          <w:t>We acknowledge and respect Victorian Traditional Owners as the original custodians</w:t>
                        </w:r>
                        <w:r>
                          <w:rPr>
                            <w:rFonts w:ascii="Calibri" w:hAnsi="Calibri"/>
                            <w:color w:val="FFFFFF"/>
                            <w:spacing w:val="-5"/>
                            <w:sz w:val="18"/>
                          </w:rPr>
                          <w:t> </w:t>
                        </w:r>
                        <w:r>
                          <w:rPr>
                            <w:rFonts w:ascii="Calibri" w:hAnsi="Calibri"/>
                            <w:color w:val="FFFFFF"/>
                            <w:sz w:val="18"/>
                          </w:rPr>
                          <w:t>of</w:t>
                        </w:r>
                        <w:r>
                          <w:rPr>
                            <w:rFonts w:ascii="Calibri" w:hAnsi="Calibri"/>
                            <w:color w:val="FFFFFF"/>
                            <w:spacing w:val="-5"/>
                            <w:sz w:val="18"/>
                          </w:rPr>
                          <w:t> </w:t>
                        </w:r>
                        <w:r>
                          <w:rPr>
                            <w:rFonts w:ascii="Calibri" w:hAnsi="Calibri"/>
                            <w:color w:val="FFFFFF"/>
                            <w:sz w:val="18"/>
                          </w:rPr>
                          <w:t>Victoria’s</w:t>
                        </w:r>
                        <w:r>
                          <w:rPr>
                            <w:rFonts w:ascii="Calibri" w:hAnsi="Calibri"/>
                            <w:color w:val="FFFFFF"/>
                            <w:spacing w:val="-5"/>
                            <w:sz w:val="18"/>
                          </w:rPr>
                          <w:t> </w:t>
                        </w:r>
                        <w:r>
                          <w:rPr>
                            <w:rFonts w:ascii="Calibri" w:hAnsi="Calibri"/>
                            <w:color w:val="FFFFFF"/>
                            <w:sz w:val="18"/>
                          </w:rPr>
                          <w:t>land</w:t>
                        </w:r>
                        <w:r>
                          <w:rPr>
                            <w:rFonts w:ascii="Calibri" w:hAnsi="Calibri"/>
                            <w:color w:val="FFFFFF"/>
                            <w:spacing w:val="-5"/>
                            <w:sz w:val="18"/>
                          </w:rPr>
                          <w:t> </w:t>
                        </w:r>
                        <w:r>
                          <w:rPr>
                            <w:rFonts w:ascii="Calibri" w:hAnsi="Calibri"/>
                            <w:color w:val="FFFFFF"/>
                            <w:sz w:val="18"/>
                          </w:rPr>
                          <w:t>and</w:t>
                        </w:r>
                        <w:r>
                          <w:rPr>
                            <w:rFonts w:ascii="Calibri" w:hAnsi="Calibri"/>
                            <w:color w:val="FFFFFF"/>
                            <w:spacing w:val="-3"/>
                            <w:sz w:val="18"/>
                          </w:rPr>
                          <w:t> </w:t>
                        </w:r>
                        <w:r>
                          <w:rPr>
                            <w:rFonts w:ascii="Calibri" w:hAnsi="Calibri"/>
                            <w:color w:val="FFFFFF"/>
                            <w:sz w:val="18"/>
                          </w:rPr>
                          <w:t>waters,</w:t>
                        </w:r>
                        <w:r>
                          <w:rPr>
                            <w:rFonts w:ascii="Calibri" w:hAnsi="Calibri"/>
                            <w:color w:val="FFFFFF"/>
                            <w:spacing w:val="-4"/>
                            <w:sz w:val="18"/>
                          </w:rPr>
                          <w:t> </w:t>
                        </w:r>
                        <w:r>
                          <w:rPr>
                            <w:rFonts w:ascii="Calibri" w:hAnsi="Calibri"/>
                            <w:color w:val="FFFFFF"/>
                            <w:sz w:val="18"/>
                          </w:rPr>
                          <w:t>their</w:t>
                        </w:r>
                        <w:r>
                          <w:rPr>
                            <w:rFonts w:ascii="Calibri" w:hAnsi="Calibri"/>
                            <w:color w:val="FFFFFF"/>
                            <w:spacing w:val="-2"/>
                            <w:sz w:val="18"/>
                          </w:rPr>
                          <w:t> </w:t>
                        </w:r>
                        <w:r>
                          <w:rPr>
                            <w:rFonts w:ascii="Calibri" w:hAnsi="Calibri"/>
                            <w:color w:val="FFFFFF"/>
                            <w:sz w:val="18"/>
                          </w:rPr>
                          <w:t>unique</w:t>
                        </w:r>
                        <w:r>
                          <w:rPr>
                            <w:rFonts w:ascii="Calibri" w:hAnsi="Calibri"/>
                            <w:color w:val="FFFFFF"/>
                            <w:spacing w:val="-5"/>
                            <w:sz w:val="18"/>
                          </w:rPr>
                          <w:t> </w:t>
                        </w:r>
                        <w:r>
                          <w:rPr>
                            <w:rFonts w:ascii="Calibri" w:hAnsi="Calibri"/>
                            <w:color w:val="FFFFFF"/>
                            <w:sz w:val="18"/>
                          </w:rPr>
                          <w:t>ability</w:t>
                        </w:r>
                        <w:r>
                          <w:rPr>
                            <w:rFonts w:ascii="Calibri" w:hAnsi="Calibri"/>
                            <w:color w:val="FFFFFF"/>
                            <w:spacing w:val="-4"/>
                            <w:sz w:val="18"/>
                          </w:rPr>
                          <w:t> </w:t>
                        </w:r>
                        <w:r>
                          <w:rPr>
                            <w:rFonts w:ascii="Calibri" w:hAnsi="Calibri"/>
                            <w:color w:val="FFFFFF"/>
                            <w:sz w:val="18"/>
                          </w:rPr>
                          <w:t>to</w:t>
                        </w:r>
                        <w:r>
                          <w:rPr>
                            <w:rFonts w:ascii="Calibri" w:hAnsi="Calibri"/>
                            <w:color w:val="FFFFFF"/>
                            <w:spacing w:val="-4"/>
                            <w:sz w:val="18"/>
                          </w:rPr>
                          <w:t> </w:t>
                        </w:r>
                        <w:r>
                          <w:rPr>
                            <w:rFonts w:ascii="Calibri" w:hAnsi="Calibri"/>
                            <w:color w:val="FFFFFF"/>
                            <w:sz w:val="18"/>
                          </w:rPr>
                          <w:t>care</w:t>
                        </w:r>
                        <w:r>
                          <w:rPr>
                            <w:rFonts w:ascii="Calibri" w:hAnsi="Calibri"/>
                            <w:color w:val="FFFFFF"/>
                            <w:spacing w:val="-5"/>
                            <w:sz w:val="18"/>
                          </w:rPr>
                          <w:t> </w:t>
                        </w:r>
                        <w:r>
                          <w:rPr>
                            <w:rFonts w:ascii="Calibri" w:hAnsi="Calibri"/>
                            <w:color w:val="FFFFFF"/>
                            <w:sz w:val="18"/>
                          </w:rPr>
                          <w:t>for</w:t>
                        </w:r>
                        <w:r>
                          <w:rPr>
                            <w:rFonts w:ascii="Calibri" w:hAnsi="Calibri"/>
                            <w:color w:val="FFFFFF"/>
                            <w:spacing w:val="-4"/>
                            <w:sz w:val="18"/>
                          </w:rPr>
                          <w:t> </w:t>
                        </w:r>
                        <w:r>
                          <w:rPr>
                            <w:rFonts w:ascii="Calibri" w:hAnsi="Calibri"/>
                            <w:color w:val="FFFFFF"/>
                            <w:sz w:val="18"/>
                          </w:rPr>
                          <w:t>Country and deep spiritual connection to it.</w:t>
                        </w:r>
                      </w:p>
                      <w:p>
                        <w:pPr>
                          <w:spacing w:line="249" w:lineRule="auto" w:before="79"/>
                          <w:ind w:left="292" w:right="4268" w:firstLine="0"/>
                          <w:jc w:val="left"/>
                          <w:rPr>
                            <w:rFonts w:ascii="Calibri"/>
                            <w:sz w:val="18"/>
                          </w:rPr>
                        </w:pPr>
                        <w:r>
                          <w:rPr>
                            <w:rFonts w:ascii="Calibri"/>
                            <w:color w:val="FFFFFF"/>
                            <w:sz w:val="18"/>
                          </w:rPr>
                          <w:t>We</w:t>
                        </w:r>
                        <w:r>
                          <w:rPr>
                            <w:rFonts w:ascii="Calibri"/>
                            <w:color w:val="FFFFFF"/>
                            <w:spacing w:val="-6"/>
                            <w:sz w:val="18"/>
                          </w:rPr>
                          <w:t> </w:t>
                        </w:r>
                        <w:r>
                          <w:rPr>
                            <w:rFonts w:ascii="Calibri"/>
                            <w:color w:val="FFFFFF"/>
                            <w:sz w:val="18"/>
                          </w:rPr>
                          <w:t>honour</w:t>
                        </w:r>
                        <w:r>
                          <w:rPr>
                            <w:rFonts w:ascii="Calibri"/>
                            <w:color w:val="FFFFFF"/>
                            <w:spacing w:val="-5"/>
                            <w:sz w:val="18"/>
                          </w:rPr>
                          <w:t> </w:t>
                        </w:r>
                        <w:r>
                          <w:rPr>
                            <w:rFonts w:ascii="Calibri"/>
                            <w:color w:val="FFFFFF"/>
                            <w:sz w:val="18"/>
                          </w:rPr>
                          <w:t>Elders</w:t>
                        </w:r>
                        <w:r>
                          <w:rPr>
                            <w:rFonts w:ascii="Calibri"/>
                            <w:color w:val="FFFFFF"/>
                            <w:spacing w:val="-4"/>
                            <w:sz w:val="18"/>
                          </w:rPr>
                          <w:t> </w:t>
                        </w:r>
                        <w:r>
                          <w:rPr>
                            <w:rFonts w:ascii="Calibri"/>
                            <w:color w:val="FFFFFF"/>
                            <w:sz w:val="18"/>
                          </w:rPr>
                          <w:t>past</w:t>
                        </w:r>
                        <w:r>
                          <w:rPr>
                            <w:rFonts w:ascii="Calibri"/>
                            <w:color w:val="FFFFFF"/>
                            <w:spacing w:val="-5"/>
                            <w:sz w:val="18"/>
                          </w:rPr>
                          <w:t> </w:t>
                        </w:r>
                        <w:r>
                          <w:rPr>
                            <w:rFonts w:ascii="Calibri"/>
                            <w:color w:val="FFFFFF"/>
                            <w:sz w:val="18"/>
                          </w:rPr>
                          <w:t>and</w:t>
                        </w:r>
                        <w:r>
                          <w:rPr>
                            <w:rFonts w:ascii="Calibri"/>
                            <w:color w:val="FFFFFF"/>
                            <w:spacing w:val="-6"/>
                            <w:sz w:val="18"/>
                          </w:rPr>
                          <w:t> </w:t>
                        </w:r>
                        <w:r>
                          <w:rPr>
                            <w:rFonts w:ascii="Calibri"/>
                            <w:color w:val="FFFFFF"/>
                            <w:sz w:val="18"/>
                          </w:rPr>
                          <w:t>present</w:t>
                        </w:r>
                        <w:r>
                          <w:rPr>
                            <w:rFonts w:ascii="Calibri"/>
                            <w:color w:val="FFFFFF"/>
                            <w:spacing w:val="-5"/>
                            <w:sz w:val="18"/>
                          </w:rPr>
                          <w:t> </w:t>
                        </w:r>
                        <w:r>
                          <w:rPr>
                            <w:rFonts w:ascii="Calibri"/>
                            <w:color w:val="FFFFFF"/>
                            <w:sz w:val="18"/>
                          </w:rPr>
                          <w:t>whose</w:t>
                        </w:r>
                        <w:r>
                          <w:rPr>
                            <w:rFonts w:ascii="Calibri"/>
                            <w:color w:val="FFFFFF"/>
                            <w:spacing w:val="-6"/>
                            <w:sz w:val="18"/>
                          </w:rPr>
                          <w:t> </w:t>
                        </w:r>
                        <w:r>
                          <w:rPr>
                            <w:rFonts w:ascii="Calibri"/>
                            <w:color w:val="FFFFFF"/>
                            <w:sz w:val="18"/>
                          </w:rPr>
                          <w:t>knowledge</w:t>
                        </w:r>
                        <w:r>
                          <w:rPr>
                            <w:rFonts w:ascii="Calibri"/>
                            <w:color w:val="FFFFFF"/>
                            <w:spacing w:val="-6"/>
                            <w:sz w:val="18"/>
                          </w:rPr>
                          <w:t> </w:t>
                        </w:r>
                        <w:r>
                          <w:rPr>
                            <w:rFonts w:ascii="Calibri"/>
                            <w:color w:val="FFFFFF"/>
                            <w:sz w:val="18"/>
                          </w:rPr>
                          <w:t>and</w:t>
                        </w:r>
                        <w:r>
                          <w:rPr>
                            <w:rFonts w:ascii="Calibri"/>
                            <w:color w:val="FFFFFF"/>
                            <w:spacing w:val="-6"/>
                            <w:sz w:val="18"/>
                          </w:rPr>
                          <w:t> </w:t>
                        </w:r>
                        <w:r>
                          <w:rPr>
                            <w:rFonts w:ascii="Calibri"/>
                            <w:color w:val="FFFFFF"/>
                            <w:sz w:val="18"/>
                          </w:rPr>
                          <w:t>wisdom has ensured the continuation of culture and traditional practices.</w:t>
                        </w:r>
                      </w:p>
                      <w:p>
                        <w:pPr>
                          <w:spacing w:line="247" w:lineRule="auto" w:before="71"/>
                          <w:ind w:left="292" w:right="3360" w:firstLine="0"/>
                          <w:jc w:val="left"/>
                          <w:rPr>
                            <w:rFonts w:ascii="Calibri" w:hAnsi="Calibri"/>
                            <w:sz w:val="18"/>
                          </w:rPr>
                        </w:pPr>
                        <w:r>
                          <w:rPr>
                            <w:rFonts w:ascii="Calibri" w:hAnsi="Calibri"/>
                            <w:color w:val="FFFFFF"/>
                            <w:sz w:val="18"/>
                          </w:rPr>
                          <w:t>DEECA</w:t>
                        </w:r>
                        <w:r>
                          <w:rPr>
                            <w:rFonts w:ascii="Calibri" w:hAnsi="Calibri"/>
                            <w:color w:val="FFFFFF"/>
                            <w:spacing w:val="-5"/>
                            <w:sz w:val="18"/>
                          </w:rPr>
                          <w:t> </w:t>
                        </w:r>
                        <w:r>
                          <w:rPr>
                            <w:rFonts w:ascii="Calibri" w:hAnsi="Calibri"/>
                            <w:color w:val="FFFFFF"/>
                            <w:sz w:val="18"/>
                          </w:rPr>
                          <w:t>is</w:t>
                        </w:r>
                        <w:r>
                          <w:rPr>
                            <w:rFonts w:ascii="Calibri" w:hAnsi="Calibri"/>
                            <w:color w:val="FFFFFF"/>
                            <w:spacing w:val="-6"/>
                            <w:sz w:val="18"/>
                          </w:rPr>
                          <w:t> </w:t>
                        </w:r>
                        <w:r>
                          <w:rPr>
                            <w:rFonts w:ascii="Calibri" w:hAnsi="Calibri"/>
                            <w:color w:val="FFFFFF"/>
                            <w:sz w:val="18"/>
                          </w:rPr>
                          <w:t>committed</w:t>
                        </w:r>
                        <w:r>
                          <w:rPr>
                            <w:rFonts w:ascii="Calibri" w:hAnsi="Calibri"/>
                            <w:color w:val="FFFFFF"/>
                            <w:spacing w:val="-5"/>
                            <w:sz w:val="18"/>
                          </w:rPr>
                          <w:t> </w:t>
                        </w:r>
                        <w:r>
                          <w:rPr>
                            <w:rFonts w:ascii="Calibri" w:hAnsi="Calibri"/>
                            <w:color w:val="FFFFFF"/>
                            <w:sz w:val="18"/>
                          </w:rPr>
                          <w:t>to</w:t>
                        </w:r>
                        <w:r>
                          <w:rPr>
                            <w:rFonts w:ascii="Calibri" w:hAnsi="Calibri"/>
                            <w:color w:val="FFFFFF"/>
                            <w:spacing w:val="-4"/>
                            <w:sz w:val="18"/>
                          </w:rPr>
                          <w:t> </w:t>
                        </w:r>
                        <w:r>
                          <w:rPr>
                            <w:rFonts w:ascii="Calibri" w:hAnsi="Calibri"/>
                            <w:color w:val="FFFFFF"/>
                            <w:sz w:val="18"/>
                          </w:rPr>
                          <w:t>genuinely</w:t>
                        </w:r>
                        <w:r>
                          <w:rPr>
                            <w:rFonts w:ascii="Calibri" w:hAnsi="Calibri"/>
                            <w:color w:val="FFFFFF"/>
                            <w:spacing w:val="-2"/>
                            <w:sz w:val="18"/>
                          </w:rPr>
                          <w:t> </w:t>
                        </w:r>
                        <w:r>
                          <w:rPr>
                            <w:rFonts w:ascii="Calibri" w:hAnsi="Calibri"/>
                            <w:color w:val="FFFFFF"/>
                            <w:sz w:val="18"/>
                          </w:rPr>
                          <w:t>partnering</w:t>
                        </w:r>
                        <w:r>
                          <w:rPr>
                            <w:rFonts w:ascii="Calibri" w:hAnsi="Calibri"/>
                            <w:color w:val="FFFFFF"/>
                            <w:spacing w:val="-5"/>
                            <w:sz w:val="18"/>
                          </w:rPr>
                          <w:t> </w:t>
                        </w:r>
                        <w:r>
                          <w:rPr>
                            <w:rFonts w:ascii="Calibri" w:hAnsi="Calibri"/>
                            <w:color w:val="FFFFFF"/>
                            <w:sz w:val="18"/>
                          </w:rPr>
                          <w:t>with</w:t>
                        </w:r>
                        <w:r>
                          <w:rPr>
                            <w:rFonts w:ascii="Calibri" w:hAnsi="Calibri"/>
                            <w:color w:val="FFFFFF"/>
                            <w:spacing w:val="-5"/>
                            <w:sz w:val="18"/>
                          </w:rPr>
                          <w:t> </w:t>
                        </w:r>
                        <w:r>
                          <w:rPr>
                            <w:rFonts w:ascii="Calibri" w:hAnsi="Calibri"/>
                            <w:color w:val="FFFFFF"/>
                            <w:sz w:val="18"/>
                          </w:rPr>
                          <w:t>Victorian</w:t>
                        </w:r>
                        <w:r>
                          <w:rPr>
                            <w:rFonts w:ascii="Calibri" w:hAnsi="Calibri"/>
                            <w:color w:val="FFFFFF"/>
                            <w:spacing w:val="-5"/>
                            <w:sz w:val="18"/>
                          </w:rPr>
                          <w:t> </w:t>
                        </w:r>
                        <w:r>
                          <w:rPr>
                            <w:rFonts w:ascii="Calibri" w:hAnsi="Calibri"/>
                            <w:color w:val="FFFFFF"/>
                            <w:sz w:val="18"/>
                          </w:rPr>
                          <w:t>Traditional</w:t>
                        </w:r>
                        <w:r>
                          <w:rPr>
                            <w:rFonts w:ascii="Calibri" w:hAnsi="Calibri"/>
                            <w:color w:val="FFFFFF"/>
                            <w:spacing w:val="-2"/>
                            <w:sz w:val="18"/>
                          </w:rPr>
                          <w:t> </w:t>
                        </w:r>
                        <w:r>
                          <w:rPr>
                            <w:rFonts w:ascii="Calibri" w:hAnsi="Calibri"/>
                            <w:color w:val="FFFFFF"/>
                            <w:sz w:val="18"/>
                          </w:rPr>
                          <w:t>Owners and Victoria’s Aboriginal community to progress their aspirations.</w:t>
                        </w:r>
                      </w:p>
                    </w:txbxContent>
                  </v:textbox>
                  <w10:wrap type="none"/>
                </v:shape>
                <w10:wrap type="topAndBottom"/>
              </v:group>
            </w:pict>
          </mc:Fallback>
        </mc:AlternateContent>
      </w:r>
    </w:p>
    <w:p>
      <w:pPr>
        <w:pStyle w:val="BodyText"/>
        <w:spacing w:before="41"/>
        <w:rPr>
          <w:sz w:val="18"/>
        </w:rPr>
      </w:pPr>
    </w:p>
    <w:p>
      <w:pPr>
        <w:pStyle w:val="BodyText"/>
        <w:spacing w:before="1"/>
        <w:ind w:left="1132"/>
      </w:pPr>
      <w:r>
        <w:rPr>
          <w:color w:val="363534"/>
        </w:rPr>
        <w:t>©</w:t>
      </w:r>
      <w:r>
        <w:rPr>
          <w:color w:val="363534"/>
          <w:spacing w:val="-8"/>
        </w:rPr>
        <w:t> </w:t>
      </w:r>
      <w:r>
        <w:rPr>
          <w:color w:val="363534"/>
        </w:rPr>
        <w:t>The</w:t>
      </w:r>
      <w:r>
        <w:rPr>
          <w:color w:val="363534"/>
          <w:spacing w:val="-6"/>
        </w:rPr>
        <w:t> </w:t>
      </w:r>
      <w:r>
        <w:rPr>
          <w:color w:val="363534"/>
        </w:rPr>
        <w:t>State</w:t>
      </w:r>
      <w:r>
        <w:rPr>
          <w:color w:val="363534"/>
          <w:spacing w:val="-8"/>
        </w:rPr>
        <w:t> </w:t>
      </w:r>
      <w:r>
        <w:rPr>
          <w:color w:val="363534"/>
        </w:rPr>
        <w:t>of</w:t>
      </w:r>
      <w:r>
        <w:rPr>
          <w:color w:val="363534"/>
          <w:spacing w:val="-7"/>
        </w:rPr>
        <w:t> </w:t>
      </w:r>
      <w:r>
        <w:rPr>
          <w:color w:val="363534"/>
        </w:rPr>
        <w:t>Victoria</w:t>
      </w:r>
      <w:r>
        <w:rPr>
          <w:color w:val="363534"/>
          <w:spacing w:val="-8"/>
        </w:rPr>
        <w:t> </w:t>
      </w:r>
      <w:r>
        <w:rPr>
          <w:color w:val="363534"/>
        </w:rPr>
        <w:t>Department</w:t>
      </w:r>
      <w:r>
        <w:rPr>
          <w:color w:val="363534"/>
          <w:spacing w:val="-7"/>
        </w:rPr>
        <w:t> </w:t>
      </w:r>
      <w:r>
        <w:rPr>
          <w:color w:val="363534"/>
        </w:rPr>
        <w:t>of</w:t>
      </w:r>
      <w:r>
        <w:rPr>
          <w:color w:val="363534"/>
          <w:spacing w:val="-6"/>
        </w:rPr>
        <w:t> </w:t>
      </w:r>
      <w:r>
        <w:rPr>
          <w:color w:val="363534"/>
        </w:rPr>
        <w:t>Energy,</w:t>
      </w:r>
      <w:r>
        <w:rPr>
          <w:color w:val="363534"/>
          <w:spacing w:val="-7"/>
        </w:rPr>
        <w:t> </w:t>
      </w:r>
      <w:r>
        <w:rPr>
          <w:color w:val="363534"/>
        </w:rPr>
        <w:t>Environment</w:t>
      </w:r>
      <w:r>
        <w:rPr>
          <w:color w:val="363534"/>
          <w:spacing w:val="-6"/>
        </w:rPr>
        <w:t> </w:t>
      </w:r>
      <w:r>
        <w:rPr>
          <w:color w:val="363534"/>
        </w:rPr>
        <w:t>and</w:t>
      </w:r>
      <w:r>
        <w:rPr>
          <w:color w:val="363534"/>
          <w:spacing w:val="-6"/>
        </w:rPr>
        <w:t> </w:t>
      </w:r>
      <w:r>
        <w:rPr>
          <w:color w:val="363534"/>
        </w:rPr>
        <w:t>Climate</w:t>
      </w:r>
      <w:r>
        <w:rPr>
          <w:color w:val="363534"/>
          <w:spacing w:val="-6"/>
        </w:rPr>
        <w:t> </w:t>
      </w:r>
      <w:r>
        <w:rPr>
          <w:color w:val="363534"/>
        </w:rPr>
        <w:t>Action</w:t>
      </w:r>
      <w:r>
        <w:rPr>
          <w:color w:val="363534"/>
          <w:spacing w:val="-2"/>
        </w:rPr>
        <w:t> </w:t>
      </w:r>
      <w:r>
        <w:rPr>
          <w:color w:val="363534"/>
        </w:rPr>
        <w:t>July</w:t>
      </w:r>
      <w:r>
        <w:rPr>
          <w:color w:val="363534"/>
          <w:spacing w:val="-6"/>
        </w:rPr>
        <w:t> </w:t>
      </w:r>
      <w:r>
        <w:rPr>
          <w:color w:val="363534"/>
          <w:spacing w:val="-4"/>
        </w:rPr>
        <w:t>2024</w:t>
      </w:r>
    </w:p>
    <w:p>
      <w:pPr>
        <w:spacing w:before="101"/>
        <w:ind w:left="1132" w:right="0" w:firstLine="0"/>
        <w:jc w:val="left"/>
        <w:rPr>
          <w:b/>
          <w:sz w:val="20"/>
        </w:rPr>
      </w:pPr>
      <w:r>
        <w:rPr>
          <w:b/>
          <w:color w:val="363534"/>
          <w:sz w:val="20"/>
        </w:rPr>
        <w:t>Creative</w:t>
      </w:r>
      <w:r>
        <w:rPr>
          <w:b/>
          <w:color w:val="363534"/>
          <w:spacing w:val="-12"/>
          <w:sz w:val="20"/>
        </w:rPr>
        <w:t> </w:t>
      </w:r>
      <w:r>
        <w:rPr>
          <w:b/>
          <w:color w:val="363534"/>
          <w:spacing w:val="-2"/>
          <w:sz w:val="20"/>
        </w:rPr>
        <w:t>Commons</w:t>
      </w:r>
    </w:p>
    <w:p>
      <w:pPr>
        <w:pStyle w:val="BodyText"/>
        <w:spacing w:line="249" w:lineRule="auto" w:before="99"/>
        <w:ind w:left="1132" w:right="1204"/>
      </w:pPr>
      <w:r>
        <w:rPr>
          <w:color w:val="363534"/>
        </w:rPr>
        <w:t>This</w:t>
      </w:r>
      <w:r>
        <w:rPr>
          <w:color w:val="363534"/>
          <w:spacing w:val="-4"/>
        </w:rPr>
        <w:t> </w:t>
      </w:r>
      <w:r>
        <w:rPr>
          <w:color w:val="363534"/>
        </w:rPr>
        <w:t>work</w:t>
      </w:r>
      <w:r>
        <w:rPr>
          <w:color w:val="363534"/>
          <w:spacing w:val="-3"/>
        </w:rPr>
        <w:t> </w:t>
      </w:r>
      <w:r>
        <w:rPr>
          <w:color w:val="363534"/>
        </w:rPr>
        <w:t>is</w:t>
      </w:r>
      <w:r>
        <w:rPr>
          <w:color w:val="363534"/>
          <w:spacing w:val="-2"/>
        </w:rPr>
        <w:t> </w:t>
      </w:r>
      <w:r>
        <w:rPr>
          <w:color w:val="363534"/>
        </w:rPr>
        <w:t>licensed</w:t>
      </w:r>
      <w:r>
        <w:rPr>
          <w:color w:val="363534"/>
          <w:spacing w:val="-5"/>
        </w:rPr>
        <w:t> </w:t>
      </w:r>
      <w:r>
        <w:rPr>
          <w:color w:val="363534"/>
        </w:rPr>
        <w:t>under</w:t>
      </w:r>
      <w:r>
        <w:rPr>
          <w:color w:val="363534"/>
          <w:spacing w:val="-2"/>
        </w:rPr>
        <w:t> </w:t>
      </w:r>
      <w:r>
        <w:rPr>
          <w:color w:val="363534"/>
        </w:rPr>
        <w:t>a</w:t>
      </w:r>
      <w:r>
        <w:rPr>
          <w:color w:val="363534"/>
          <w:spacing w:val="-6"/>
        </w:rPr>
        <w:t> </w:t>
      </w:r>
      <w:r>
        <w:rPr>
          <w:color w:val="363534"/>
        </w:rPr>
        <w:t>Creative</w:t>
      </w:r>
      <w:r>
        <w:rPr>
          <w:color w:val="363534"/>
          <w:spacing w:val="-5"/>
        </w:rPr>
        <w:t> </w:t>
      </w:r>
      <w:r>
        <w:rPr>
          <w:color w:val="363534"/>
        </w:rPr>
        <w:t>Commons</w:t>
      </w:r>
      <w:r>
        <w:rPr>
          <w:color w:val="363534"/>
          <w:spacing w:val="-2"/>
        </w:rPr>
        <w:t> </w:t>
      </w:r>
      <w:r>
        <w:rPr>
          <w:color w:val="363534"/>
        </w:rPr>
        <w:t>Attribution</w:t>
      </w:r>
      <w:r>
        <w:rPr>
          <w:color w:val="363534"/>
          <w:spacing w:val="-4"/>
        </w:rPr>
        <w:t> </w:t>
      </w:r>
      <w:r>
        <w:rPr>
          <w:color w:val="363534"/>
        </w:rPr>
        <w:t>4.0</w:t>
      </w:r>
      <w:r>
        <w:rPr>
          <w:color w:val="363534"/>
          <w:spacing w:val="-5"/>
        </w:rPr>
        <w:t> </w:t>
      </w:r>
      <w:r>
        <w:rPr>
          <w:color w:val="363534"/>
        </w:rPr>
        <w:t>International</w:t>
      </w:r>
      <w:r>
        <w:rPr>
          <w:color w:val="363534"/>
          <w:spacing w:val="-4"/>
        </w:rPr>
        <w:t> </w:t>
      </w:r>
      <w:r>
        <w:rPr>
          <w:color w:val="363534"/>
        </w:rPr>
        <w:t>licence,</w:t>
      </w:r>
      <w:r>
        <w:rPr>
          <w:color w:val="363534"/>
          <w:spacing w:val="-5"/>
        </w:rPr>
        <w:t> </w:t>
      </w:r>
      <w:r>
        <w:rPr>
          <w:color w:val="363534"/>
        </w:rPr>
        <w:t>visit</w:t>
      </w:r>
      <w:r>
        <w:rPr>
          <w:color w:val="363534"/>
          <w:spacing w:val="-3"/>
        </w:rPr>
        <w:t> </w:t>
      </w:r>
      <w:r>
        <w:rPr>
          <w:color w:val="363534"/>
        </w:rPr>
        <w:t>the </w:t>
      </w:r>
      <w:hyperlink r:id="rId19">
        <w:r>
          <w:rPr>
            <w:color w:val="363534"/>
            <w:u w:val="single" w:color="363534"/>
          </w:rPr>
          <w:t>Creative</w:t>
        </w:r>
      </w:hyperlink>
      <w:r>
        <w:rPr>
          <w:color w:val="363534"/>
          <w:u w:val="none"/>
        </w:rPr>
        <w:t> </w:t>
      </w:r>
      <w:hyperlink r:id="rId19">
        <w:r>
          <w:rPr>
            <w:color w:val="363534"/>
            <w:u w:val="single" w:color="363534"/>
          </w:rPr>
          <w:t>Commons website</w:t>
        </w:r>
      </w:hyperlink>
      <w:r>
        <w:rPr>
          <w:color w:val="363534"/>
          <w:u w:val="none"/>
        </w:rPr>
        <w:t> (</w:t>
      </w:r>
      <w:hyperlink r:id="rId19">
        <w:r>
          <w:rPr>
            <w:color w:val="363534"/>
            <w:u w:val="single" w:color="363534"/>
          </w:rPr>
          <w:t>http://creativecommons.org/licenses/by/4.0/</w:t>
        </w:r>
      </w:hyperlink>
      <w:r>
        <w:rPr>
          <w:color w:val="363534"/>
          <w:u w:val="none"/>
        </w:rPr>
        <w:t>).</w:t>
      </w:r>
    </w:p>
    <w:p>
      <w:pPr>
        <w:pStyle w:val="BodyText"/>
        <w:spacing w:line="249" w:lineRule="auto" w:before="92"/>
        <w:ind w:left="1132" w:right="1204"/>
      </w:pPr>
      <w:r>
        <w:rPr>
          <w:color w:val="363534"/>
        </w:rPr>
        <w:t>You are free to re-use the work under that licence, on the condition that you credit the State of Victoria as author.</w:t>
      </w:r>
      <w:r>
        <w:rPr>
          <w:color w:val="363534"/>
          <w:spacing w:val="-4"/>
        </w:rPr>
        <w:t> </w:t>
      </w:r>
      <w:r>
        <w:rPr>
          <w:color w:val="363534"/>
        </w:rPr>
        <w:t>The</w:t>
      </w:r>
      <w:r>
        <w:rPr>
          <w:color w:val="363534"/>
          <w:spacing w:val="-3"/>
        </w:rPr>
        <w:t> </w:t>
      </w:r>
      <w:r>
        <w:rPr>
          <w:color w:val="363534"/>
        </w:rPr>
        <w:t>licence</w:t>
      </w:r>
      <w:r>
        <w:rPr>
          <w:color w:val="363534"/>
          <w:spacing w:val="-4"/>
        </w:rPr>
        <w:t> </w:t>
      </w:r>
      <w:r>
        <w:rPr>
          <w:color w:val="363534"/>
        </w:rPr>
        <w:t>does</w:t>
      </w:r>
      <w:r>
        <w:rPr>
          <w:color w:val="363534"/>
          <w:spacing w:val="-3"/>
        </w:rPr>
        <w:t> </w:t>
      </w:r>
      <w:r>
        <w:rPr>
          <w:color w:val="363534"/>
        </w:rPr>
        <w:t>not</w:t>
      </w:r>
      <w:r>
        <w:rPr>
          <w:color w:val="363534"/>
          <w:spacing w:val="-4"/>
        </w:rPr>
        <w:t> </w:t>
      </w:r>
      <w:r>
        <w:rPr>
          <w:color w:val="363534"/>
        </w:rPr>
        <w:t>apply</w:t>
      </w:r>
      <w:r>
        <w:rPr>
          <w:color w:val="363534"/>
          <w:spacing w:val="-3"/>
        </w:rPr>
        <w:t> </w:t>
      </w:r>
      <w:r>
        <w:rPr>
          <w:color w:val="363534"/>
        </w:rPr>
        <w:t>to</w:t>
      </w:r>
      <w:r>
        <w:rPr>
          <w:color w:val="363534"/>
          <w:spacing w:val="-4"/>
        </w:rPr>
        <w:t> </w:t>
      </w:r>
      <w:r>
        <w:rPr>
          <w:color w:val="363534"/>
        </w:rPr>
        <w:t>any</w:t>
      </w:r>
      <w:r>
        <w:rPr>
          <w:color w:val="363534"/>
          <w:spacing w:val="-1"/>
        </w:rPr>
        <w:t> </w:t>
      </w:r>
      <w:r>
        <w:rPr>
          <w:color w:val="363534"/>
        </w:rPr>
        <w:t>images,</w:t>
      </w:r>
      <w:r>
        <w:rPr>
          <w:color w:val="363534"/>
          <w:spacing w:val="-2"/>
        </w:rPr>
        <w:t> </w:t>
      </w:r>
      <w:r>
        <w:rPr>
          <w:color w:val="363534"/>
        </w:rPr>
        <w:t>photographs</w:t>
      </w:r>
      <w:r>
        <w:rPr>
          <w:color w:val="363534"/>
          <w:spacing w:val="-3"/>
        </w:rPr>
        <w:t> </w:t>
      </w:r>
      <w:r>
        <w:rPr>
          <w:color w:val="363534"/>
        </w:rPr>
        <w:t>or</w:t>
      </w:r>
      <w:r>
        <w:rPr>
          <w:color w:val="363534"/>
          <w:spacing w:val="-4"/>
        </w:rPr>
        <w:t> </w:t>
      </w:r>
      <w:r>
        <w:rPr>
          <w:color w:val="363534"/>
        </w:rPr>
        <w:t>branding,</w:t>
      </w:r>
      <w:r>
        <w:rPr>
          <w:color w:val="363534"/>
          <w:spacing w:val="-2"/>
        </w:rPr>
        <w:t> </w:t>
      </w:r>
      <w:r>
        <w:rPr>
          <w:color w:val="363534"/>
        </w:rPr>
        <w:t>including</w:t>
      </w:r>
      <w:r>
        <w:rPr>
          <w:color w:val="363534"/>
          <w:spacing w:val="-4"/>
        </w:rPr>
        <w:t> </w:t>
      </w:r>
      <w:r>
        <w:rPr>
          <w:color w:val="363534"/>
        </w:rPr>
        <w:t>the</w:t>
      </w:r>
      <w:r>
        <w:rPr>
          <w:color w:val="363534"/>
          <w:spacing w:val="-4"/>
        </w:rPr>
        <w:t> </w:t>
      </w:r>
      <w:r>
        <w:rPr>
          <w:color w:val="363534"/>
        </w:rPr>
        <w:t>Victorian</w:t>
      </w:r>
      <w:r>
        <w:rPr>
          <w:color w:val="363534"/>
          <w:spacing w:val="-5"/>
        </w:rPr>
        <w:t> </w:t>
      </w:r>
      <w:r>
        <w:rPr>
          <w:color w:val="363534"/>
        </w:rPr>
        <w:t>Coat</w:t>
      </w:r>
      <w:r>
        <w:rPr>
          <w:color w:val="363534"/>
          <w:spacing w:val="-2"/>
        </w:rPr>
        <w:t> </w:t>
      </w:r>
      <w:r>
        <w:rPr>
          <w:color w:val="363534"/>
        </w:rPr>
        <w:t>of Arms, and the Victorian Government, the Department and the ARI logos.</w:t>
      </w:r>
    </w:p>
    <w:p>
      <w:pPr>
        <w:spacing w:before="123"/>
        <w:ind w:left="1132" w:right="0" w:firstLine="0"/>
        <w:jc w:val="left"/>
        <w:rPr>
          <w:b/>
          <w:sz w:val="20"/>
        </w:rPr>
      </w:pPr>
      <w:r>
        <w:rPr>
          <w:b/>
          <w:color w:val="363534"/>
          <w:spacing w:val="-2"/>
          <w:sz w:val="20"/>
        </w:rPr>
        <w:t>Disclaimer</w:t>
      </w:r>
    </w:p>
    <w:p>
      <w:pPr>
        <w:pStyle w:val="BodyText"/>
        <w:spacing w:line="249" w:lineRule="auto" w:before="99"/>
        <w:ind w:left="1132" w:right="1204"/>
      </w:pPr>
      <w:r>
        <w:rPr>
          <w:color w:val="363534"/>
        </w:rPr>
        <w:t>This publication may be of assistance to you but the State of Victoria and its employees do not guarantee that the publication is without flaw of any kind or is wholly appropriate for your particular purposes and therefore</w:t>
      </w:r>
      <w:r>
        <w:rPr>
          <w:color w:val="363534"/>
          <w:spacing w:val="-4"/>
        </w:rPr>
        <w:t> </w:t>
      </w:r>
      <w:r>
        <w:rPr>
          <w:color w:val="363534"/>
        </w:rPr>
        <w:t>disclaims</w:t>
      </w:r>
      <w:r>
        <w:rPr>
          <w:color w:val="363534"/>
          <w:spacing w:val="-3"/>
        </w:rPr>
        <w:t> </w:t>
      </w:r>
      <w:r>
        <w:rPr>
          <w:color w:val="363534"/>
        </w:rPr>
        <w:t>all</w:t>
      </w:r>
      <w:r>
        <w:rPr>
          <w:color w:val="363534"/>
          <w:spacing w:val="-3"/>
        </w:rPr>
        <w:t> </w:t>
      </w:r>
      <w:r>
        <w:rPr>
          <w:color w:val="363534"/>
        </w:rPr>
        <w:t>liability</w:t>
      </w:r>
      <w:r>
        <w:rPr>
          <w:color w:val="363534"/>
          <w:spacing w:val="-3"/>
        </w:rPr>
        <w:t> </w:t>
      </w:r>
      <w:r>
        <w:rPr>
          <w:color w:val="363534"/>
        </w:rPr>
        <w:t>for</w:t>
      </w:r>
      <w:r>
        <w:rPr>
          <w:color w:val="363534"/>
          <w:spacing w:val="-3"/>
        </w:rPr>
        <w:t> </w:t>
      </w:r>
      <w:r>
        <w:rPr>
          <w:color w:val="363534"/>
        </w:rPr>
        <w:t>any</w:t>
      </w:r>
      <w:r>
        <w:rPr>
          <w:color w:val="363534"/>
          <w:spacing w:val="-3"/>
        </w:rPr>
        <w:t> </w:t>
      </w:r>
      <w:r>
        <w:rPr>
          <w:color w:val="363534"/>
        </w:rPr>
        <w:t>error,</w:t>
      </w:r>
      <w:r>
        <w:rPr>
          <w:color w:val="363534"/>
          <w:spacing w:val="-1"/>
        </w:rPr>
        <w:t> </w:t>
      </w:r>
      <w:r>
        <w:rPr>
          <w:color w:val="363534"/>
        </w:rPr>
        <w:t>loss</w:t>
      </w:r>
      <w:r>
        <w:rPr>
          <w:color w:val="363534"/>
          <w:spacing w:val="-3"/>
        </w:rPr>
        <w:t> </w:t>
      </w:r>
      <w:r>
        <w:rPr>
          <w:color w:val="363534"/>
        </w:rPr>
        <w:t>or</w:t>
      </w:r>
      <w:r>
        <w:rPr>
          <w:color w:val="363534"/>
          <w:spacing w:val="-4"/>
        </w:rPr>
        <w:t> </w:t>
      </w:r>
      <w:r>
        <w:rPr>
          <w:color w:val="363534"/>
        </w:rPr>
        <w:t>other</w:t>
      </w:r>
      <w:r>
        <w:rPr>
          <w:color w:val="363534"/>
          <w:spacing w:val="-3"/>
        </w:rPr>
        <w:t> </w:t>
      </w:r>
      <w:r>
        <w:rPr>
          <w:color w:val="363534"/>
        </w:rPr>
        <w:t>consequence</w:t>
      </w:r>
      <w:r>
        <w:rPr>
          <w:color w:val="363534"/>
          <w:spacing w:val="-4"/>
        </w:rPr>
        <w:t> </w:t>
      </w:r>
      <w:r>
        <w:rPr>
          <w:color w:val="363534"/>
        </w:rPr>
        <w:t>which</w:t>
      </w:r>
      <w:r>
        <w:rPr>
          <w:color w:val="363534"/>
          <w:spacing w:val="-2"/>
        </w:rPr>
        <w:t> </w:t>
      </w:r>
      <w:r>
        <w:rPr>
          <w:color w:val="363534"/>
        </w:rPr>
        <w:t>may</w:t>
      </w:r>
      <w:r>
        <w:rPr>
          <w:color w:val="363534"/>
          <w:spacing w:val="-1"/>
        </w:rPr>
        <w:t> </w:t>
      </w:r>
      <w:r>
        <w:rPr>
          <w:color w:val="363534"/>
        </w:rPr>
        <w:t>arise</w:t>
      </w:r>
      <w:r>
        <w:rPr>
          <w:color w:val="363534"/>
          <w:spacing w:val="-4"/>
        </w:rPr>
        <w:t> </w:t>
      </w:r>
      <w:r>
        <w:rPr>
          <w:color w:val="363534"/>
        </w:rPr>
        <w:t>from</w:t>
      </w:r>
      <w:r>
        <w:rPr>
          <w:color w:val="363534"/>
          <w:spacing w:val="-2"/>
        </w:rPr>
        <w:t> </w:t>
      </w:r>
      <w:r>
        <w:rPr>
          <w:color w:val="363534"/>
        </w:rPr>
        <w:t>you</w:t>
      </w:r>
      <w:r>
        <w:rPr>
          <w:color w:val="363534"/>
          <w:spacing w:val="-5"/>
        </w:rPr>
        <w:t> </w:t>
      </w:r>
      <w:r>
        <w:rPr>
          <w:color w:val="363534"/>
        </w:rPr>
        <w:t>relying</w:t>
      </w:r>
      <w:r>
        <w:rPr>
          <w:color w:val="363534"/>
          <w:spacing w:val="-4"/>
        </w:rPr>
        <w:t> </w:t>
      </w:r>
      <w:r>
        <w:rPr>
          <w:color w:val="363534"/>
        </w:rPr>
        <w:t>on any information in this publication.</w:t>
      </w:r>
    </w:p>
    <w:p>
      <w:pPr>
        <w:pStyle w:val="Heading3"/>
        <w:spacing w:before="115"/>
      </w:pPr>
      <w:r>
        <w:rPr>
          <w:color w:val="363534"/>
          <w:spacing w:val="-2"/>
        </w:rPr>
        <w:t>Accessibility</w:t>
      </w:r>
    </w:p>
    <w:p>
      <w:pPr>
        <w:spacing w:before="91"/>
        <w:ind w:left="1132" w:right="1256" w:firstLine="0"/>
        <w:jc w:val="both"/>
        <w:rPr>
          <w:sz w:val="24"/>
        </w:rPr>
      </w:pPr>
      <w:r>
        <w:rPr>
          <w:color w:val="363534"/>
          <w:sz w:val="24"/>
        </w:rPr>
        <w:t>To receive</w:t>
      </w:r>
      <w:r>
        <w:rPr>
          <w:color w:val="363534"/>
          <w:spacing w:val="-2"/>
          <w:sz w:val="24"/>
        </w:rPr>
        <w:t> </w:t>
      </w:r>
      <w:r>
        <w:rPr>
          <w:color w:val="363534"/>
          <w:sz w:val="24"/>
        </w:rPr>
        <w:t>this document in</w:t>
      </w:r>
      <w:r>
        <w:rPr>
          <w:color w:val="363534"/>
          <w:spacing w:val="-2"/>
          <w:sz w:val="24"/>
        </w:rPr>
        <w:t> </w:t>
      </w:r>
      <w:r>
        <w:rPr>
          <w:color w:val="363534"/>
          <w:sz w:val="24"/>
        </w:rPr>
        <w:t>an</w:t>
      </w:r>
      <w:r>
        <w:rPr>
          <w:color w:val="363534"/>
          <w:spacing w:val="-2"/>
          <w:sz w:val="24"/>
        </w:rPr>
        <w:t> </w:t>
      </w:r>
      <w:r>
        <w:rPr>
          <w:color w:val="363534"/>
          <w:sz w:val="24"/>
        </w:rPr>
        <w:t>alternative</w:t>
      </w:r>
      <w:r>
        <w:rPr>
          <w:color w:val="363534"/>
          <w:spacing w:val="-2"/>
          <w:sz w:val="24"/>
        </w:rPr>
        <w:t> </w:t>
      </w:r>
      <w:r>
        <w:rPr>
          <w:color w:val="363534"/>
          <w:sz w:val="24"/>
        </w:rPr>
        <w:t>format, phone the Customer Service Centre on 136</w:t>
      </w:r>
      <w:r>
        <w:rPr>
          <w:color w:val="363534"/>
          <w:spacing w:val="-5"/>
          <w:sz w:val="24"/>
        </w:rPr>
        <w:t> </w:t>
      </w:r>
      <w:r>
        <w:rPr>
          <w:color w:val="363534"/>
          <w:sz w:val="24"/>
        </w:rPr>
        <w:t>186,</w:t>
      </w:r>
      <w:r>
        <w:rPr>
          <w:color w:val="363534"/>
          <w:spacing w:val="-3"/>
          <w:sz w:val="24"/>
        </w:rPr>
        <w:t> </w:t>
      </w:r>
      <w:r>
        <w:rPr>
          <w:color w:val="363534"/>
          <w:sz w:val="24"/>
        </w:rPr>
        <w:t>email</w:t>
      </w:r>
      <w:r>
        <w:rPr>
          <w:color w:val="363534"/>
          <w:spacing w:val="-2"/>
          <w:sz w:val="24"/>
        </w:rPr>
        <w:t> </w:t>
      </w:r>
      <w:hyperlink r:id="rId20">
        <w:r>
          <w:rPr>
            <w:color w:val="0000FF"/>
            <w:sz w:val="24"/>
            <w:u w:val="single" w:color="0000FF"/>
          </w:rPr>
          <w:t>customer.service@deeca.vic.gov.au</w:t>
        </w:r>
      </w:hyperlink>
      <w:r>
        <w:rPr>
          <w:color w:val="363534"/>
          <w:sz w:val="24"/>
          <w:u w:val="none"/>
        </w:rPr>
        <w:t>,</w:t>
      </w:r>
      <w:r>
        <w:rPr>
          <w:color w:val="363534"/>
          <w:spacing w:val="-5"/>
          <w:sz w:val="24"/>
          <w:u w:val="none"/>
        </w:rPr>
        <w:t> </w:t>
      </w:r>
      <w:r>
        <w:rPr>
          <w:color w:val="363534"/>
          <w:sz w:val="24"/>
          <w:u w:val="none"/>
        </w:rPr>
        <w:t>or</w:t>
      </w:r>
      <w:r>
        <w:rPr>
          <w:color w:val="363534"/>
          <w:spacing w:val="-3"/>
          <w:sz w:val="24"/>
          <w:u w:val="none"/>
        </w:rPr>
        <w:t> </w:t>
      </w:r>
      <w:r>
        <w:rPr>
          <w:color w:val="363534"/>
          <w:sz w:val="24"/>
          <w:u w:val="none"/>
        </w:rPr>
        <w:t>contact</w:t>
      </w:r>
      <w:r>
        <w:rPr>
          <w:color w:val="363534"/>
          <w:spacing w:val="-3"/>
          <w:sz w:val="24"/>
          <w:u w:val="none"/>
        </w:rPr>
        <w:t> </w:t>
      </w:r>
      <w:r>
        <w:rPr>
          <w:color w:val="363534"/>
          <w:sz w:val="24"/>
          <w:u w:val="none"/>
        </w:rPr>
        <w:t>National</w:t>
      </w:r>
      <w:r>
        <w:rPr>
          <w:color w:val="363534"/>
          <w:spacing w:val="-3"/>
          <w:sz w:val="24"/>
          <w:u w:val="none"/>
        </w:rPr>
        <w:t> </w:t>
      </w:r>
      <w:r>
        <w:rPr>
          <w:color w:val="363534"/>
          <w:sz w:val="24"/>
          <w:u w:val="none"/>
        </w:rPr>
        <w:t>Relay</w:t>
      </w:r>
      <w:r>
        <w:rPr>
          <w:color w:val="363534"/>
          <w:spacing w:val="-6"/>
          <w:sz w:val="24"/>
          <w:u w:val="none"/>
        </w:rPr>
        <w:t> </w:t>
      </w:r>
      <w:r>
        <w:rPr>
          <w:color w:val="363534"/>
          <w:sz w:val="24"/>
          <w:u w:val="none"/>
        </w:rPr>
        <w:t>Service</w:t>
      </w:r>
      <w:r>
        <w:rPr>
          <w:color w:val="363534"/>
          <w:spacing w:val="-5"/>
          <w:sz w:val="24"/>
          <w:u w:val="none"/>
        </w:rPr>
        <w:t> </w:t>
      </w:r>
      <w:r>
        <w:rPr>
          <w:color w:val="363534"/>
          <w:sz w:val="24"/>
          <w:u w:val="none"/>
        </w:rPr>
        <w:t>on 133 677. Available at </w:t>
      </w:r>
      <w:hyperlink r:id="rId21">
        <w:r>
          <w:rPr>
            <w:color w:val="363534"/>
            <w:sz w:val="24"/>
            <w:u w:val="single" w:color="363534"/>
          </w:rPr>
          <w:t>DEECA website</w:t>
        </w:r>
      </w:hyperlink>
      <w:r>
        <w:rPr>
          <w:color w:val="363534"/>
          <w:sz w:val="24"/>
          <w:u w:val="none"/>
        </w:rPr>
        <w:t> </w:t>
      </w:r>
      <w:hyperlink r:id="rId21">
        <w:r>
          <w:rPr>
            <w:color w:val="363534"/>
            <w:sz w:val="24"/>
            <w:u w:val="none"/>
          </w:rPr>
          <w:t>(www.deeca.vic.gov.au).</w:t>
        </w:r>
      </w:hyperlink>
    </w:p>
    <w:p>
      <w:pPr>
        <w:spacing w:after="0"/>
        <w:jc w:val="both"/>
        <w:rPr>
          <w:sz w:val="24"/>
        </w:rPr>
        <w:sectPr>
          <w:footerReference w:type="default" r:id="rId16"/>
          <w:pgSz w:w="11910" w:h="16840"/>
          <w:pgMar w:header="0" w:footer="283" w:top="1920" w:bottom="480" w:left="0" w:right="0"/>
        </w:sectPr>
      </w:pPr>
    </w:p>
    <w:p>
      <w:pPr>
        <w:pStyle w:val="Title"/>
      </w:pPr>
      <w:r>
        <w:rPr/>
        <w:t>Glenelg</w:t>
      </w:r>
      <w:r>
        <w:rPr>
          <w:spacing w:val="-27"/>
        </w:rPr>
        <w:t> </w:t>
      </w:r>
      <w:r>
        <w:rPr/>
        <w:t>Ark—2023</w:t>
      </w:r>
      <w:r>
        <w:rPr>
          <w:spacing w:val="-10"/>
        </w:rPr>
        <w:t> </w:t>
      </w:r>
      <w:r>
        <w:rPr/>
        <w:t>monitoring</w:t>
      </w:r>
      <w:r>
        <w:rPr>
          <w:spacing w:val="-13"/>
        </w:rPr>
        <w:t> </w:t>
      </w:r>
      <w:r>
        <w:rPr/>
        <w:t>and evaluation update</w:t>
      </w:r>
    </w:p>
    <w:p>
      <w:pPr>
        <w:pStyle w:val="BodyText"/>
        <w:rPr>
          <w:b/>
          <w:sz w:val="48"/>
        </w:rPr>
      </w:pPr>
    </w:p>
    <w:p>
      <w:pPr>
        <w:pStyle w:val="BodyText"/>
        <w:spacing w:before="323"/>
        <w:rPr>
          <w:b/>
          <w:sz w:val="48"/>
        </w:rPr>
      </w:pPr>
    </w:p>
    <w:p>
      <w:pPr>
        <w:pStyle w:val="Heading2"/>
        <w:spacing w:before="1"/>
        <w:ind w:left="1132"/>
        <w:rPr>
          <w:position w:val="10"/>
          <w:sz w:val="21"/>
        </w:rPr>
      </w:pPr>
      <w:r>
        <w:rPr/>
        <w:t>Alan</w:t>
      </w:r>
      <w:r>
        <w:rPr>
          <w:spacing w:val="-9"/>
        </w:rPr>
        <w:t> </w:t>
      </w:r>
      <w:r>
        <w:rPr/>
        <w:t>Robley</w:t>
      </w:r>
      <w:r>
        <w:rPr>
          <w:position w:val="10"/>
          <w:sz w:val="21"/>
        </w:rPr>
        <w:t>1</w:t>
      </w:r>
      <w:r>
        <w:rPr/>
        <w:t>,</w:t>
      </w:r>
      <w:r>
        <w:rPr>
          <w:spacing w:val="-8"/>
        </w:rPr>
        <w:t> </w:t>
      </w:r>
      <w:r>
        <w:rPr/>
        <w:t>Paul</w:t>
      </w:r>
      <w:r>
        <w:rPr>
          <w:spacing w:val="-8"/>
        </w:rPr>
        <w:t> </w:t>
      </w:r>
      <w:r>
        <w:rPr/>
        <w:t>D.</w:t>
      </w:r>
      <w:r>
        <w:rPr>
          <w:spacing w:val="-8"/>
        </w:rPr>
        <w:t> </w:t>
      </w:r>
      <w:r>
        <w:rPr/>
        <w:t>Moloney</w:t>
      </w:r>
      <w:r>
        <w:rPr>
          <w:position w:val="10"/>
          <w:sz w:val="21"/>
        </w:rPr>
        <w:t>1</w:t>
      </w:r>
      <w:r>
        <w:rPr>
          <w:spacing w:val="25"/>
          <w:position w:val="10"/>
          <w:sz w:val="21"/>
        </w:rPr>
        <w:t> </w:t>
      </w:r>
      <w:r>
        <w:rPr/>
        <w:t>and</w:t>
      </w:r>
      <w:r>
        <w:rPr>
          <w:spacing w:val="-10"/>
        </w:rPr>
        <w:t> </w:t>
      </w:r>
      <w:r>
        <w:rPr/>
        <w:t>Ethan</w:t>
      </w:r>
      <w:r>
        <w:rPr>
          <w:spacing w:val="-8"/>
        </w:rPr>
        <w:t> </w:t>
      </w:r>
      <w:r>
        <w:rPr/>
        <w:t>Le</w:t>
      </w:r>
      <w:r>
        <w:rPr>
          <w:spacing w:val="-4"/>
        </w:rPr>
        <w:t> Duc</w:t>
      </w:r>
      <w:r>
        <w:rPr>
          <w:spacing w:val="-4"/>
          <w:position w:val="10"/>
          <w:sz w:val="21"/>
        </w:rPr>
        <w:t>2</w:t>
      </w: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spacing w:before="362"/>
        <w:rPr>
          <w:b/>
          <w:sz w:val="32"/>
        </w:rPr>
      </w:pPr>
    </w:p>
    <w:p>
      <w:pPr>
        <w:pStyle w:val="BodyText"/>
        <w:ind w:left="1132" w:right="5701"/>
      </w:pPr>
      <w:r>
        <w:rPr>
          <w:position w:val="6"/>
          <w:sz w:val="13"/>
        </w:rPr>
        <w:t>1</w:t>
      </w:r>
      <w:r>
        <w:rPr/>
        <w:t>Arthur Rylah Institute for Environmental Research Department</w:t>
      </w:r>
      <w:r>
        <w:rPr>
          <w:spacing w:val="-6"/>
        </w:rPr>
        <w:t> </w:t>
      </w:r>
      <w:r>
        <w:rPr/>
        <w:t>of</w:t>
      </w:r>
      <w:r>
        <w:rPr>
          <w:spacing w:val="-6"/>
        </w:rPr>
        <w:t> </w:t>
      </w:r>
      <w:r>
        <w:rPr/>
        <w:t>Energy,</w:t>
      </w:r>
      <w:r>
        <w:rPr>
          <w:spacing w:val="-8"/>
        </w:rPr>
        <w:t> </w:t>
      </w:r>
      <w:r>
        <w:rPr/>
        <w:t>Environment</w:t>
      </w:r>
      <w:r>
        <w:rPr>
          <w:spacing w:val="-6"/>
        </w:rPr>
        <w:t> </w:t>
      </w:r>
      <w:r>
        <w:rPr/>
        <w:t>and</w:t>
      </w:r>
      <w:r>
        <w:rPr>
          <w:spacing w:val="-6"/>
        </w:rPr>
        <w:t> </w:t>
      </w:r>
      <w:r>
        <w:rPr/>
        <w:t>Climate</w:t>
      </w:r>
      <w:r>
        <w:rPr>
          <w:spacing w:val="-7"/>
        </w:rPr>
        <w:t> </w:t>
      </w:r>
      <w:r>
        <w:rPr/>
        <w:t>Action 123 Brown Street, Heidelberg, Victoria 3084</w:t>
      </w:r>
    </w:p>
    <w:p>
      <w:pPr>
        <w:pStyle w:val="BodyText"/>
        <w:spacing w:before="119"/>
        <w:ind w:left="1132" w:right="5701"/>
      </w:pPr>
      <w:r>
        <w:rPr>
          <w:position w:val="6"/>
          <w:sz w:val="13"/>
        </w:rPr>
        <w:t>2</w:t>
      </w:r>
      <w:r>
        <w:rPr/>
        <w:t>Barwon Southwest, Forest, Fire and Regions Department</w:t>
      </w:r>
      <w:r>
        <w:rPr>
          <w:spacing w:val="-6"/>
        </w:rPr>
        <w:t> </w:t>
      </w:r>
      <w:r>
        <w:rPr/>
        <w:t>of</w:t>
      </w:r>
      <w:r>
        <w:rPr>
          <w:spacing w:val="-6"/>
        </w:rPr>
        <w:t> </w:t>
      </w:r>
      <w:r>
        <w:rPr/>
        <w:t>Energy,</w:t>
      </w:r>
      <w:r>
        <w:rPr>
          <w:spacing w:val="-8"/>
        </w:rPr>
        <w:t> </w:t>
      </w:r>
      <w:r>
        <w:rPr/>
        <w:t>Environment</w:t>
      </w:r>
      <w:r>
        <w:rPr>
          <w:spacing w:val="-6"/>
        </w:rPr>
        <w:t> </w:t>
      </w:r>
      <w:r>
        <w:rPr/>
        <w:t>and</w:t>
      </w:r>
      <w:r>
        <w:rPr>
          <w:spacing w:val="-6"/>
        </w:rPr>
        <w:t> </w:t>
      </w:r>
      <w:r>
        <w:rPr/>
        <w:t>Climate</w:t>
      </w:r>
      <w:r>
        <w:rPr>
          <w:spacing w:val="-7"/>
        </w:rPr>
        <w:t> </w:t>
      </w:r>
      <w:r>
        <w:rPr/>
        <w:t>Action 12 Murray Street, Heywood, Victoria 3304</w:t>
      </w:r>
    </w:p>
    <w:p>
      <w:pPr>
        <w:pStyle w:val="BodyText"/>
      </w:pPr>
    </w:p>
    <w:p>
      <w:pPr>
        <w:pStyle w:val="BodyText"/>
      </w:pPr>
    </w:p>
    <w:p>
      <w:pPr>
        <w:pStyle w:val="BodyText"/>
      </w:pPr>
    </w:p>
    <w:p>
      <w:pPr>
        <w:pStyle w:val="BodyText"/>
      </w:pPr>
    </w:p>
    <w:p>
      <w:pPr>
        <w:pStyle w:val="BodyText"/>
      </w:pPr>
    </w:p>
    <w:p>
      <w:pPr>
        <w:pStyle w:val="BodyText"/>
        <w:spacing w:before="57"/>
      </w:pPr>
    </w:p>
    <w:p>
      <w:pPr>
        <w:spacing w:line="364" w:lineRule="exact" w:before="0"/>
        <w:ind w:left="1132" w:right="0" w:firstLine="0"/>
        <w:jc w:val="left"/>
        <w:rPr>
          <w:sz w:val="32"/>
        </w:rPr>
      </w:pPr>
      <w:r>
        <w:rPr>
          <w:sz w:val="32"/>
        </w:rPr>
        <w:t>Arthur</w:t>
      </w:r>
      <w:r>
        <w:rPr>
          <w:spacing w:val="-12"/>
          <w:sz w:val="32"/>
        </w:rPr>
        <w:t> </w:t>
      </w:r>
      <w:r>
        <w:rPr>
          <w:sz w:val="32"/>
        </w:rPr>
        <w:t>Rylah</w:t>
      </w:r>
      <w:r>
        <w:rPr>
          <w:spacing w:val="-13"/>
          <w:sz w:val="32"/>
        </w:rPr>
        <w:t> </w:t>
      </w:r>
      <w:r>
        <w:rPr>
          <w:sz w:val="32"/>
        </w:rPr>
        <w:t>Institute</w:t>
      </w:r>
      <w:r>
        <w:rPr>
          <w:spacing w:val="-12"/>
          <w:sz w:val="32"/>
        </w:rPr>
        <w:t> </w:t>
      </w:r>
      <w:r>
        <w:rPr>
          <w:sz w:val="32"/>
        </w:rPr>
        <w:t>for</w:t>
      </w:r>
      <w:r>
        <w:rPr>
          <w:spacing w:val="-12"/>
          <w:sz w:val="32"/>
        </w:rPr>
        <w:t> </w:t>
      </w:r>
      <w:r>
        <w:rPr>
          <w:sz w:val="32"/>
        </w:rPr>
        <w:t>Environmental</w:t>
      </w:r>
      <w:r>
        <w:rPr>
          <w:spacing w:val="-10"/>
          <w:sz w:val="32"/>
        </w:rPr>
        <w:t> </w:t>
      </w:r>
      <w:r>
        <w:rPr>
          <w:spacing w:val="-2"/>
          <w:sz w:val="32"/>
        </w:rPr>
        <w:t>Research</w:t>
      </w:r>
    </w:p>
    <w:p>
      <w:pPr>
        <w:spacing w:line="364" w:lineRule="exact" w:before="0"/>
        <w:ind w:left="1132" w:right="0" w:firstLine="0"/>
        <w:jc w:val="left"/>
        <w:rPr>
          <w:b/>
          <w:sz w:val="32"/>
        </w:rPr>
      </w:pPr>
      <w:r>
        <w:rPr>
          <w:b/>
          <w:sz w:val="32"/>
        </w:rPr>
        <w:t>Technical</w:t>
      </w:r>
      <w:r>
        <w:rPr>
          <w:b/>
          <w:spacing w:val="-10"/>
          <w:sz w:val="32"/>
        </w:rPr>
        <w:t> </w:t>
      </w:r>
      <w:r>
        <w:rPr>
          <w:b/>
          <w:sz w:val="32"/>
        </w:rPr>
        <w:t>Report</w:t>
      </w:r>
      <w:r>
        <w:rPr>
          <w:b/>
          <w:spacing w:val="-10"/>
          <w:sz w:val="32"/>
        </w:rPr>
        <w:t> </w:t>
      </w:r>
      <w:r>
        <w:rPr>
          <w:b/>
          <w:sz w:val="32"/>
        </w:rPr>
        <w:t>Series</w:t>
      </w:r>
      <w:r>
        <w:rPr>
          <w:b/>
          <w:spacing w:val="-11"/>
          <w:sz w:val="32"/>
        </w:rPr>
        <w:t> </w:t>
      </w:r>
      <w:r>
        <w:rPr>
          <w:b/>
          <w:sz w:val="32"/>
        </w:rPr>
        <w:t>No.</w:t>
      </w:r>
      <w:r>
        <w:rPr>
          <w:b/>
          <w:spacing w:val="-9"/>
          <w:sz w:val="32"/>
        </w:rPr>
        <w:t> </w:t>
      </w:r>
      <w:r>
        <w:rPr>
          <w:b/>
          <w:spacing w:val="-5"/>
          <w:sz w:val="32"/>
        </w:rPr>
        <w:t>380</w:t>
      </w:r>
    </w:p>
    <w:p>
      <w:pPr>
        <w:spacing w:after="0" w:line="364" w:lineRule="exact"/>
        <w:jc w:val="left"/>
        <w:rPr>
          <w:b/>
          <w:sz w:val="32"/>
        </w:rPr>
        <w:sectPr>
          <w:pgSz w:w="11910" w:h="16840"/>
          <w:pgMar w:header="0" w:footer="283" w:top="1660" w:bottom="480" w:left="0" w:right="0"/>
        </w:sectPr>
      </w:pPr>
    </w:p>
    <w:p>
      <w:pPr>
        <w:pStyle w:val="Heading1"/>
      </w:pPr>
      <w:bookmarkStart w:name="_TOC_250020" w:id="1"/>
      <w:bookmarkEnd w:id="1"/>
      <w:r>
        <w:rPr>
          <w:color w:val="001F5F"/>
          <w:spacing w:val="-2"/>
        </w:rPr>
        <w:t>Acknowledgements</w:t>
      </w:r>
    </w:p>
    <w:p>
      <w:pPr>
        <w:pStyle w:val="BodyText"/>
        <w:spacing w:before="139"/>
        <w:rPr>
          <w:sz w:val="40"/>
        </w:rPr>
      </w:pPr>
    </w:p>
    <w:p>
      <w:pPr>
        <w:pStyle w:val="BodyText"/>
        <w:spacing w:before="1"/>
        <w:ind w:left="1132" w:right="1204"/>
      </w:pPr>
      <w:r>
        <w:rPr/>
        <w:t>This</w:t>
      </w:r>
      <w:r>
        <w:rPr>
          <w:spacing w:val="-3"/>
        </w:rPr>
        <w:t> </w:t>
      </w:r>
      <w:r>
        <w:rPr/>
        <w:t>project</w:t>
      </w:r>
      <w:r>
        <w:rPr>
          <w:spacing w:val="-4"/>
        </w:rPr>
        <w:t> </w:t>
      </w:r>
      <w:r>
        <w:rPr/>
        <w:t>was</w:t>
      </w:r>
      <w:r>
        <w:rPr>
          <w:spacing w:val="-3"/>
        </w:rPr>
        <w:t> </w:t>
      </w:r>
      <w:r>
        <w:rPr/>
        <w:t>funded</w:t>
      </w:r>
      <w:r>
        <w:rPr>
          <w:spacing w:val="-3"/>
        </w:rPr>
        <w:t> </w:t>
      </w:r>
      <w:r>
        <w:rPr/>
        <w:t>by</w:t>
      </w:r>
      <w:r>
        <w:rPr>
          <w:spacing w:val="-1"/>
        </w:rPr>
        <w:t> </w:t>
      </w:r>
      <w:r>
        <w:rPr/>
        <w:t>Department</w:t>
      </w:r>
      <w:r>
        <w:rPr>
          <w:spacing w:val="-2"/>
        </w:rPr>
        <w:t> </w:t>
      </w:r>
      <w:r>
        <w:rPr/>
        <w:t>of</w:t>
      </w:r>
      <w:r>
        <w:rPr>
          <w:spacing w:val="-2"/>
        </w:rPr>
        <w:t> </w:t>
      </w:r>
      <w:r>
        <w:rPr/>
        <w:t>Energy,</w:t>
      </w:r>
      <w:r>
        <w:rPr>
          <w:spacing w:val="-4"/>
        </w:rPr>
        <w:t> </w:t>
      </w:r>
      <w:r>
        <w:rPr/>
        <w:t>Environment</w:t>
      </w:r>
      <w:r>
        <w:rPr>
          <w:spacing w:val="-2"/>
        </w:rPr>
        <w:t> </w:t>
      </w:r>
      <w:r>
        <w:rPr/>
        <w:t>and</w:t>
      </w:r>
      <w:r>
        <w:rPr>
          <w:spacing w:val="-2"/>
        </w:rPr>
        <w:t> </w:t>
      </w:r>
      <w:r>
        <w:rPr/>
        <w:t>Climate</w:t>
      </w:r>
      <w:r>
        <w:rPr>
          <w:spacing w:val="-3"/>
        </w:rPr>
        <w:t> </w:t>
      </w:r>
      <w:r>
        <w:rPr/>
        <w:t>Action</w:t>
      </w:r>
      <w:r>
        <w:rPr>
          <w:spacing w:val="-1"/>
        </w:rPr>
        <w:t> </w:t>
      </w:r>
      <w:r>
        <w:rPr/>
        <w:t>under</w:t>
      </w:r>
      <w:r>
        <w:rPr>
          <w:spacing w:val="-3"/>
        </w:rPr>
        <w:t> </w:t>
      </w:r>
      <w:r>
        <w:rPr/>
        <w:t>the</w:t>
      </w:r>
      <w:r>
        <w:rPr>
          <w:spacing w:val="-3"/>
        </w:rPr>
        <w:t> </w:t>
      </w:r>
      <w:r>
        <w:rPr/>
        <w:t>Environment and Community Program, and we thank Damian McMaster for facilitating this funding.</w:t>
      </w:r>
    </w:p>
    <w:p>
      <w:pPr>
        <w:pStyle w:val="BodyText"/>
        <w:spacing w:before="120"/>
        <w:ind w:left="1132"/>
      </w:pPr>
      <w:r>
        <w:rPr/>
        <w:t>Members</w:t>
      </w:r>
      <w:r>
        <w:rPr>
          <w:spacing w:val="-7"/>
        </w:rPr>
        <w:t> </w:t>
      </w:r>
      <w:r>
        <w:rPr/>
        <w:t>of</w:t>
      </w:r>
      <w:r>
        <w:rPr>
          <w:spacing w:val="-8"/>
        </w:rPr>
        <w:t> </w:t>
      </w:r>
      <w:r>
        <w:rPr/>
        <w:t>the</w:t>
      </w:r>
      <w:r>
        <w:rPr>
          <w:spacing w:val="-9"/>
        </w:rPr>
        <w:t> </w:t>
      </w:r>
      <w:r>
        <w:rPr/>
        <w:t>Glenelg</w:t>
      </w:r>
      <w:r>
        <w:rPr>
          <w:spacing w:val="-6"/>
        </w:rPr>
        <w:t> </w:t>
      </w:r>
      <w:r>
        <w:rPr/>
        <w:t>Ark</w:t>
      </w:r>
      <w:r>
        <w:rPr>
          <w:spacing w:val="-7"/>
        </w:rPr>
        <w:t> </w:t>
      </w:r>
      <w:r>
        <w:rPr/>
        <w:t>Working</w:t>
      </w:r>
      <w:r>
        <w:rPr>
          <w:spacing w:val="-6"/>
        </w:rPr>
        <w:t> </w:t>
      </w:r>
      <w:r>
        <w:rPr/>
        <w:t>Group</w:t>
      </w:r>
      <w:r>
        <w:rPr>
          <w:spacing w:val="-6"/>
        </w:rPr>
        <w:t> </w:t>
      </w:r>
      <w:r>
        <w:rPr/>
        <w:t>provided</w:t>
      </w:r>
      <w:r>
        <w:rPr>
          <w:spacing w:val="-7"/>
        </w:rPr>
        <w:t> </w:t>
      </w:r>
      <w:r>
        <w:rPr/>
        <w:t>guidance</w:t>
      </w:r>
      <w:r>
        <w:rPr>
          <w:spacing w:val="-6"/>
        </w:rPr>
        <w:t> </w:t>
      </w:r>
      <w:r>
        <w:rPr/>
        <w:t>and</w:t>
      </w:r>
      <w:r>
        <w:rPr>
          <w:spacing w:val="-6"/>
        </w:rPr>
        <w:t> </w:t>
      </w:r>
      <w:r>
        <w:rPr/>
        <w:t>input</w:t>
      </w:r>
      <w:r>
        <w:rPr>
          <w:spacing w:val="-6"/>
        </w:rPr>
        <w:t> </w:t>
      </w:r>
      <w:r>
        <w:rPr>
          <w:spacing w:val="-2"/>
        </w:rPr>
        <w:t>throughout.</w:t>
      </w:r>
    </w:p>
    <w:p>
      <w:pPr>
        <w:pStyle w:val="BodyText"/>
        <w:spacing w:before="118"/>
        <w:ind w:left="1132" w:right="1204"/>
      </w:pPr>
      <w:r>
        <w:rPr/>
        <w:t>Members of the works crew at the Heywood and Dartmoor Depots undertook invaluable project support activities, including baiting and camera set-up: Tyler Britten, Jack Gibbons, Jess Greenwood, Amber Mirtchen,</w:t>
      </w:r>
      <w:r>
        <w:rPr>
          <w:spacing w:val="-4"/>
        </w:rPr>
        <w:t> </w:t>
      </w:r>
      <w:r>
        <w:rPr/>
        <w:t>Jamie</w:t>
      </w:r>
      <w:r>
        <w:rPr>
          <w:spacing w:val="-2"/>
        </w:rPr>
        <w:t> </w:t>
      </w:r>
      <w:r>
        <w:rPr/>
        <w:t>Brown,</w:t>
      </w:r>
      <w:r>
        <w:rPr>
          <w:spacing w:val="-4"/>
        </w:rPr>
        <w:t> </w:t>
      </w:r>
      <w:r>
        <w:rPr/>
        <w:t>James</w:t>
      </w:r>
      <w:r>
        <w:rPr>
          <w:spacing w:val="-3"/>
        </w:rPr>
        <w:t> </w:t>
      </w:r>
      <w:r>
        <w:rPr/>
        <w:t>Gray,</w:t>
      </w:r>
      <w:r>
        <w:rPr>
          <w:spacing w:val="-4"/>
        </w:rPr>
        <w:t> </w:t>
      </w:r>
      <w:r>
        <w:rPr/>
        <w:t>Samantha</w:t>
      </w:r>
      <w:r>
        <w:rPr>
          <w:spacing w:val="-2"/>
        </w:rPr>
        <w:t> </w:t>
      </w:r>
      <w:r>
        <w:rPr/>
        <w:t>Sheppard,</w:t>
      </w:r>
      <w:r>
        <w:rPr>
          <w:spacing w:val="-4"/>
        </w:rPr>
        <w:t> </w:t>
      </w:r>
      <w:r>
        <w:rPr/>
        <w:t>Gordie</w:t>
      </w:r>
      <w:r>
        <w:rPr>
          <w:spacing w:val="-2"/>
        </w:rPr>
        <w:t> </w:t>
      </w:r>
      <w:r>
        <w:rPr/>
        <w:t>Slade,</w:t>
      </w:r>
      <w:r>
        <w:rPr>
          <w:spacing w:val="-4"/>
        </w:rPr>
        <w:t> </w:t>
      </w:r>
      <w:r>
        <w:rPr/>
        <w:t>Ebony</w:t>
      </w:r>
      <w:r>
        <w:rPr>
          <w:spacing w:val="-3"/>
        </w:rPr>
        <w:t> </w:t>
      </w:r>
      <w:r>
        <w:rPr/>
        <w:t>Stiles,</w:t>
      </w:r>
      <w:r>
        <w:rPr>
          <w:spacing w:val="-2"/>
        </w:rPr>
        <w:t> </w:t>
      </w:r>
      <w:r>
        <w:rPr/>
        <w:t>Sarah</w:t>
      </w:r>
      <w:r>
        <w:rPr>
          <w:spacing w:val="-2"/>
        </w:rPr>
        <w:t> </w:t>
      </w:r>
      <w:r>
        <w:rPr/>
        <w:t>Smith,</w:t>
      </w:r>
      <w:r>
        <w:rPr>
          <w:spacing w:val="-4"/>
        </w:rPr>
        <w:t> </w:t>
      </w:r>
      <w:r>
        <w:rPr/>
        <w:t>Dylan Thomas and Jess Pridmore. Baiting for the control of foxes was also undertaken by Ray Albert, Josh Ferguson, James Gray, Jess Pridmore and Dylan Thomas.</w:t>
      </w:r>
    </w:p>
    <w:p>
      <w:pPr>
        <w:pStyle w:val="BodyText"/>
        <w:spacing w:before="123"/>
        <w:ind w:left="1132" w:right="1204"/>
      </w:pPr>
      <w:r>
        <w:rPr/>
        <w:t>Camera</w:t>
      </w:r>
      <w:r>
        <w:rPr>
          <w:spacing w:val="-2"/>
        </w:rPr>
        <w:t> </w:t>
      </w:r>
      <w:r>
        <w:rPr/>
        <w:t>trapping</w:t>
      </w:r>
      <w:r>
        <w:rPr>
          <w:spacing w:val="-4"/>
        </w:rPr>
        <w:t> </w:t>
      </w:r>
      <w:r>
        <w:rPr/>
        <w:t>and</w:t>
      </w:r>
      <w:r>
        <w:rPr>
          <w:spacing w:val="-5"/>
        </w:rPr>
        <w:t> </w:t>
      </w:r>
      <w:r>
        <w:rPr/>
        <w:t>other</w:t>
      </w:r>
      <w:r>
        <w:rPr>
          <w:spacing w:val="-2"/>
        </w:rPr>
        <w:t> </w:t>
      </w:r>
      <w:r>
        <w:rPr/>
        <w:t>field</w:t>
      </w:r>
      <w:r>
        <w:rPr>
          <w:spacing w:val="-4"/>
        </w:rPr>
        <w:t> </w:t>
      </w:r>
      <w:r>
        <w:rPr/>
        <w:t>activities</w:t>
      </w:r>
      <w:r>
        <w:rPr>
          <w:spacing w:val="-3"/>
        </w:rPr>
        <w:t> </w:t>
      </w:r>
      <w:r>
        <w:rPr/>
        <w:t>were</w:t>
      </w:r>
      <w:r>
        <w:rPr>
          <w:spacing w:val="-2"/>
        </w:rPr>
        <w:t> </w:t>
      </w:r>
      <w:r>
        <w:rPr/>
        <w:t>performed</w:t>
      </w:r>
      <w:r>
        <w:rPr>
          <w:spacing w:val="-5"/>
        </w:rPr>
        <w:t> </w:t>
      </w:r>
      <w:r>
        <w:rPr/>
        <w:t>under</w:t>
      </w:r>
      <w:r>
        <w:rPr>
          <w:spacing w:val="-4"/>
        </w:rPr>
        <w:t> </w:t>
      </w:r>
      <w:r>
        <w:rPr/>
        <w:t>Research</w:t>
      </w:r>
      <w:r>
        <w:rPr>
          <w:spacing w:val="-2"/>
        </w:rPr>
        <w:t> </w:t>
      </w:r>
      <w:r>
        <w:rPr/>
        <w:t>Permit</w:t>
      </w:r>
      <w:r>
        <w:rPr>
          <w:spacing w:val="-2"/>
        </w:rPr>
        <w:t> </w:t>
      </w:r>
      <w:r>
        <w:rPr/>
        <w:t>Number 10010908</w:t>
      </w:r>
      <w:r>
        <w:rPr>
          <w:spacing w:val="-1"/>
        </w:rPr>
        <w:t> </w:t>
      </w:r>
      <w:r>
        <w:rPr/>
        <w:t>and AEC Permit Number AEC 23-003.</w:t>
      </w:r>
    </w:p>
    <w:p>
      <w:pPr>
        <w:pStyle w:val="BodyText"/>
        <w:spacing w:before="118"/>
        <w:ind w:left="1132"/>
      </w:pPr>
      <w:r>
        <w:rPr/>
        <w:t>Lindy</w:t>
      </w:r>
      <w:r>
        <w:rPr>
          <w:spacing w:val="-7"/>
        </w:rPr>
        <w:t> </w:t>
      </w:r>
      <w:r>
        <w:rPr/>
        <w:t>Lumsden,</w:t>
      </w:r>
      <w:r>
        <w:rPr>
          <w:spacing w:val="-5"/>
        </w:rPr>
        <w:t> </w:t>
      </w:r>
      <w:r>
        <w:rPr/>
        <w:t>Jim</w:t>
      </w:r>
      <w:r>
        <w:rPr>
          <w:spacing w:val="-8"/>
        </w:rPr>
        <w:t> </w:t>
      </w:r>
      <w:r>
        <w:rPr/>
        <w:t>Thomson</w:t>
      </w:r>
      <w:r>
        <w:rPr>
          <w:spacing w:val="-7"/>
        </w:rPr>
        <w:t> </w:t>
      </w:r>
      <w:r>
        <w:rPr/>
        <w:t>and</w:t>
      </w:r>
      <w:r>
        <w:rPr>
          <w:spacing w:val="-7"/>
        </w:rPr>
        <w:t> </w:t>
      </w:r>
      <w:r>
        <w:rPr/>
        <w:t>Lauren</w:t>
      </w:r>
      <w:r>
        <w:rPr>
          <w:spacing w:val="-7"/>
        </w:rPr>
        <w:t> </w:t>
      </w:r>
      <w:r>
        <w:rPr/>
        <w:t>White</w:t>
      </w:r>
      <w:r>
        <w:rPr>
          <w:spacing w:val="-7"/>
        </w:rPr>
        <w:t> </w:t>
      </w:r>
      <w:r>
        <w:rPr/>
        <w:t>provided</w:t>
      </w:r>
      <w:r>
        <w:rPr>
          <w:spacing w:val="-7"/>
        </w:rPr>
        <w:t> </w:t>
      </w:r>
      <w:r>
        <w:rPr/>
        <w:t>comments</w:t>
      </w:r>
      <w:r>
        <w:rPr>
          <w:spacing w:val="-6"/>
        </w:rPr>
        <w:t> </w:t>
      </w:r>
      <w:r>
        <w:rPr/>
        <w:t>that</w:t>
      </w:r>
      <w:r>
        <w:rPr>
          <w:spacing w:val="-7"/>
        </w:rPr>
        <w:t> </w:t>
      </w:r>
      <w:r>
        <w:rPr/>
        <w:t>improved</w:t>
      </w:r>
      <w:r>
        <w:rPr>
          <w:spacing w:val="-8"/>
        </w:rPr>
        <w:t> </w:t>
      </w:r>
      <w:r>
        <w:rPr/>
        <w:t>this</w:t>
      </w:r>
      <w:r>
        <w:rPr>
          <w:spacing w:val="-7"/>
        </w:rPr>
        <w:t> </w:t>
      </w:r>
      <w:r>
        <w:rPr>
          <w:spacing w:val="-2"/>
        </w:rPr>
        <w:t>report.</w:t>
      </w:r>
    </w:p>
    <w:p>
      <w:pPr>
        <w:pStyle w:val="BodyText"/>
        <w:spacing w:after="0"/>
        <w:sectPr>
          <w:footerReference w:type="default" r:id="rId22"/>
          <w:pgSz w:w="11910" w:h="16850"/>
          <w:pgMar w:header="0" w:footer="688" w:top="1060" w:bottom="880" w:left="0" w:right="0"/>
        </w:sectPr>
      </w:pPr>
    </w:p>
    <w:p>
      <w:pPr>
        <w:pStyle w:val="Heading1"/>
      </w:pPr>
      <w:r>
        <w:rPr>
          <w:color w:val="001F5F"/>
          <w:spacing w:val="-2"/>
        </w:rPr>
        <w:t>Contents</w:t>
      </w:r>
    </w:p>
    <w:sdt>
      <w:sdtPr>
        <w:docPartObj>
          <w:docPartGallery w:val="Table of Contents"/>
          <w:docPartUnique/>
        </w:docPartObj>
      </w:sdtPr>
      <w:sdtEndPr/>
      <w:sdtContent>
        <w:p>
          <w:pPr>
            <w:pStyle w:val="TOC2"/>
            <w:tabs>
              <w:tab w:pos="10763" w:val="right" w:leader="none"/>
            </w:tabs>
            <w:spacing w:before="600"/>
            <w:ind w:left="1132" w:firstLine="0"/>
            <w:rPr>
              <w:b/>
            </w:rPr>
          </w:pPr>
          <w:r>
            <w:rPr>
              <w:b/>
            </w:rPr>
            <mc:AlternateContent>
              <mc:Choice Requires="wps">
                <w:drawing>
                  <wp:anchor distT="0" distB="0" distL="0" distR="0" allowOverlap="1" layoutInCell="1" locked="0" behindDoc="0" simplePos="0" relativeHeight="15732224">
                    <wp:simplePos x="0" y="0"/>
                    <wp:positionH relativeFrom="page">
                      <wp:posOffset>701040</wp:posOffset>
                    </wp:positionH>
                    <wp:positionV relativeFrom="paragraph">
                      <wp:posOffset>548791</wp:posOffset>
                    </wp:positionV>
                    <wp:extent cx="6158230" cy="1270"/>
                    <wp:effectExtent l="0" t="0" r="0" b="0"/>
                    <wp:wrapNone/>
                    <wp:docPr id="37" name="Graphic 37"/>
                    <wp:cNvGraphicFramePr>
                      <a:graphicFrameLocks/>
                    </wp:cNvGraphicFramePr>
                    <a:graphic>
                      <a:graphicData uri="http://schemas.microsoft.com/office/word/2010/wordprocessingShape">
                        <wps:wsp>
                          <wps:cNvPr id="37" name="Graphic 37"/>
                          <wps:cNvSpPr/>
                          <wps:spPr>
                            <a:xfrm>
                              <a:off x="0" y="0"/>
                              <a:ext cx="6158230" cy="1270"/>
                            </a:xfrm>
                            <a:custGeom>
                              <a:avLst/>
                              <a:gdLst/>
                              <a:ahLst/>
                              <a:cxnLst/>
                              <a:rect l="l" t="t" r="r" b="b"/>
                              <a:pathLst>
                                <a:path w="6158230" h="0">
                                  <a:moveTo>
                                    <a:pt x="0" y="0"/>
                                  </a:moveTo>
                                  <a:lnTo>
                                    <a:pt x="6158230" y="0"/>
                                  </a:lnTo>
                                </a:path>
                              </a:pathLst>
                            </a:custGeom>
                            <a:ln w="18288">
                              <a:solidFill>
                                <a:srgbClr val="218591"/>
                              </a:solidFill>
                              <a:prstDash val="sysDot"/>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224" from="55.200001pt,43.211952pt" to="540.100001pt,43.211952pt" stroked="true" strokeweight="1.44pt" strokecolor="#218591">
                    <v:stroke dashstyle="shortdot"/>
                    <w10:wrap type="none"/>
                  </v:line>
                </w:pict>
              </mc:Fallback>
            </mc:AlternateContent>
          </w:r>
          <w:hyperlink w:history="true" w:anchor="_TOC_250020">
            <w:r>
              <w:rPr>
                <w:color w:val="001F5F"/>
                <w:spacing w:val="-2"/>
              </w:rPr>
              <w:t>Acknowledgements</w:t>
            </w:r>
            <w:r>
              <w:rPr>
                <w:color w:val="001F5F"/>
              </w:rPr>
              <w:tab/>
            </w:r>
            <w:r>
              <w:rPr>
                <w:b/>
                <w:color w:val="001F5F"/>
                <w:spacing w:val="-5"/>
              </w:rPr>
              <w:t>ii</w:t>
            </w:r>
          </w:hyperlink>
        </w:p>
        <w:p>
          <w:pPr>
            <w:pStyle w:val="TOC1"/>
            <w:tabs>
              <w:tab w:pos="10763" w:val="right" w:leader="none"/>
            </w:tabs>
            <w:ind w:left="1132" w:firstLine="0"/>
          </w:pPr>
          <w:r>
            <w:rPr/>
            <mc:AlternateContent>
              <mc:Choice Requires="wps">
                <w:drawing>
                  <wp:anchor distT="0" distB="0" distL="0" distR="0" allowOverlap="1" layoutInCell="1" locked="0" behindDoc="0" simplePos="0" relativeHeight="15732736">
                    <wp:simplePos x="0" y="0"/>
                    <wp:positionH relativeFrom="page">
                      <wp:posOffset>701040</wp:posOffset>
                    </wp:positionH>
                    <wp:positionV relativeFrom="paragraph">
                      <wp:posOffset>212254</wp:posOffset>
                    </wp:positionV>
                    <wp:extent cx="6158230" cy="1270"/>
                    <wp:effectExtent l="0" t="0" r="0" b="0"/>
                    <wp:wrapNone/>
                    <wp:docPr id="38" name="Graphic 38"/>
                    <wp:cNvGraphicFramePr>
                      <a:graphicFrameLocks/>
                    </wp:cNvGraphicFramePr>
                    <a:graphic>
                      <a:graphicData uri="http://schemas.microsoft.com/office/word/2010/wordprocessingShape">
                        <wps:wsp>
                          <wps:cNvPr id="38" name="Graphic 38"/>
                          <wps:cNvSpPr/>
                          <wps:spPr>
                            <a:xfrm>
                              <a:off x="0" y="0"/>
                              <a:ext cx="6158230" cy="1270"/>
                            </a:xfrm>
                            <a:custGeom>
                              <a:avLst/>
                              <a:gdLst/>
                              <a:ahLst/>
                              <a:cxnLst/>
                              <a:rect l="l" t="t" r="r" b="b"/>
                              <a:pathLst>
                                <a:path w="6158230" h="0">
                                  <a:moveTo>
                                    <a:pt x="0" y="0"/>
                                  </a:moveTo>
                                  <a:lnTo>
                                    <a:pt x="6158230" y="0"/>
                                  </a:lnTo>
                                </a:path>
                              </a:pathLst>
                            </a:custGeom>
                            <a:ln w="18288">
                              <a:solidFill>
                                <a:srgbClr val="218591"/>
                              </a:solidFill>
                              <a:prstDash val="sysDot"/>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736" from="55.200001pt,16.712929pt" to="540.100001pt,16.712929pt" stroked="true" strokeweight="1.44pt" strokecolor="#218591">
                    <v:stroke dashstyle="shortdot"/>
                    <w10:wrap type="none"/>
                  </v:line>
                </w:pict>
              </mc:Fallback>
            </mc:AlternateContent>
          </w:r>
          <w:hyperlink w:history="true" w:anchor="_TOC_250019">
            <w:r>
              <w:rPr>
                <w:color w:val="001F5F"/>
                <w:spacing w:val="-2"/>
              </w:rPr>
              <w:t>Summary</w:t>
            </w:r>
            <w:r>
              <w:rPr>
                <w:color w:val="001F5F"/>
              </w:rPr>
              <w:tab/>
            </w:r>
            <w:r>
              <w:rPr>
                <w:color w:val="001F5F"/>
                <w:spacing w:val="-10"/>
              </w:rPr>
              <w:t>1</w:t>
            </w:r>
          </w:hyperlink>
        </w:p>
        <w:p>
          <w:pPr>
            <w:pStyle w:val="TOC1"/>
            <w:numPr>
              <w:ilvl w:val="0"/>
              <w:numId w:val="1"/>
            </w:numPr>
            <w:tabs>
              <w:tab w:pos="1699" w:val="left" w:leader="none"/>
              <w:tab w:pos="10763" w:val="right" w:leader="none"/>
            </w:tabs>
            <w:spacing w:line="240" w:lineRule="auto" w:before="70" w:after="0"/>
            <w:ind w:left="1699" w:right="0" w:hanging="567"/>
            <w:jc w:val="left"/>
          </w:pPr>
          <w:r>
            <w:rPr/>
            <mc:AlternateContent>
              <mc:Choice Requires="wps">
                <w:drawing>
                  <wp:anchor distT="0" distB="0" distL="0" distR="0" allowOverlap="1" layoutInCell="1" locked="0" behindDoc="0" simplePos="0" relativeHeight="15733248">
                    <wp:simplePos x="0" y="0"/>
                    <wp:positionH relativeFrom="page">
                      <wp:posOffset>701040</wp:posOffset>
                    </wp:positionH>
                    <wp:positionV relativeFrom="paragraph">
                      <wp:posOffset>212266</wp:posOffset>
                    </wp:positionV>
                    <wp:extent cx="6158230" cy="1270"/>
                    <wp:effectExtent l="0" t="0" r="0" b="0"/>
                    <wp:wrapNone/>
                    <wp:docPr id="39" name="Graphic 39"/>
                    <wp:cNvGraphicFramePr>
                      <a:graphicFrameLocks/>
                    </wp:cNvGraphicFramePr>
                    <a:graphic>
                      <a:graphicData uri="http://schemas.microsoft.com/office/word/2010/wordprocessingShape">
                        <wps:wsp>
                          <wps:cNvPr id="39" name="Graphic 39"/>
                          <wps:cNvSpPr/>
                          <wps:spPr>
                            <a:xfrm>
                              <a:off x="0" y="0"/>
                              <a:ext cx="6158230" cy="1270"/>
                            </a:xfrm>
                            <a:custGeom>
                              <a:avLst/>
                              <a:gdLst/>
                              <a:ahLst/>
                              <a:cxnLst/>
                              <a:rect l="l" t="t" r="r" b="b"/>
                              <a:pathLst>
                                <a:path w="6158230" h="0">
                                  <a:moveTo>
                                    <a:pt x="0" y="0"/>
                                  </a:moveTo>
                                  <a:lnTo>
                                    <a:pt x="6158230" y="0"/>
                                  </a:lnTo>
                                </a:path>
                              </a:pathLst>
                            </a:custGeom>
                            <a:ln w="18288">
                              <a:solidFill>
                                <a:srgbClr val="218591"/>
                              </a:solidFill>
                              <a:prstDash val="sysDot"/>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248" from="55.200001pt,16.713905pt" to="540.100001pt,16.713905pt" stroked="true" strokeweight="1.44pt" strokecolor="#218591">
                    <v:stroke dashstyle="shortdot"/>
                    <w10:wrap type="none"/>
                  </v:line>
                </w:pict>
              </mc:Fallback>
            </mc:AlternateContent>
          </w:r>
          <w:hyperlink w:history="true" w:anchor="_TOC_250018">
            <w:r>
              <w:rPr>
                <w:color w:val="001F5F"/>
                <w:spacing w:val="-2"/>
              </w:rPr>
              <w:t>Introduction</w:t>
            </w:r>
            <w:r>
              <w:rPr>
                <w:color w:val="001F5F"/>
              </w:rPr>
              <w:tab/>
            </w:r>
            <w:r>
              <w:rPr>
                <w:color w:val="001F5F"/>
                <w:spacing w:val="-10"/>
              </w:rPr>
              <w:t>4</w:t>
            </w:r>
          </w:hyperlink>
        </w:p>
        <w:p>
          <w:pPr>
            <w:pStyle w:val="TOC1"/>
            <w:numPr>
              <w:ilvl w:val="0"/>
              <w:numId w:val="1"/>
            </w:numPr>
            <w:tabs>
              <w:tab w:pos="1699" w:val="left" w:leader="none"/>
              <w:tab w:pos="10763" w:val="right" w:leader="none"/>
            </w:tabs>
            <w:spacing w:line="240" w:lineRule="auto" w:before="70" w:after="0"/>
            <w:ind w:left="1699" w:right="0" w:hanging="567"/>
            <w:jc w:val="left"/>
          </w:pPr>
          <w:r>
            <w:rPr/>
            <mc:AlternateContent>
              <mc:Choice Requires="wps">
                <w:drawing>
                  <wp:anchor distT="0" distB="0" distL="0" distR="0" allowOverlap="1" layoutInCell="1" locked="0" behindDoc="0" simplePos="0" relativeHeight="15733760">
                    <wp:simplePos x="0" y="0"/>
                    <wp:positionH relativeFrom="page">
                      <wp:posOffset>701040</wp:posOffset>
                    </wp:positionH>
                    <wp:positionV relativeFrom="paragraph">
                      <wp:posOffset>238187</wp:posOffset>
                    </wp:positionV>
                    <wp:extent cx="6158230" cy="1270"/>
                    <wp:effectExtent l="0" t="0" r="0" b="0"/>
                    <wp:wrapNone/>
                    <wp:docPr id="40" name="Graphic 40"/>
                    <wp:cNvGraphicFramePr>
                      <a:graphicFrameLocks/>
                    </wp:cNvGraphicFramePr>
                    <a:graphic>
                      <a:graphicData uri="http://schemas.microsoft.com/office/word/2010/wordprocessingShape">
                        <wps:wsp>
                          <wps:cNvPr id="40" name="Graphic 40"/>
                          <wps:cNvSpPr/>
                          <wps:spPr>
                            <a:xfrm>
                              <a:off x="0" y="0"/>
                              <a:ext cx="6158230" cy="1270"/>
                            </a:xfrm>
                            <a:custGeom>
                              <a:avLst/>
                              <a:gdLst/>
                              <a:ahLst/>
                              <a:cxnLst/>
                              <a:rect l="l" t="t" r="r" b="b"/>
                              <a:pathLst>
                                <a:path w="6158230" h="0">
                                  <a:moveTo>
                                    <a:pt x="0" y="0"/>
                                  </a:moveTo>
                                  <a:lnTo>
                                    <a:pt x="6158230" y="0"/>
                                  </a:lnTo>
                                </a:path>
                              </a:pathLst>
                            </a:custGeom>
                            <a:ln w="18288">
                              <a:solidFill>
                                <a:srgbClr val="218591"/>
                              </a:solidFill>
                              <a:prstDash val="sysDot"/>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760" from="55.200001pt,18.754883pt" to="540.100001pt,18.754883pt" stroked="true" strokeweight="1.44pt" strokecolor="#218591">
                    <v:stroke dashstyle="shortdot"/>
                    <w10:wrap type="none"/>
                  </v:line>
                </w:pict>
              </mc:Fallback>
            </mc:AlternateContent>
          </w:r>
          <w:hyperlink w:history="true" w:anchor="_TOC_250017">
            <w:r>
              <w:rPr>
                <w:color w:val="001F5F"/>
                <w:spacing w:val="-2"/>
              </w:rPr>
              <w:t>Methods</w:t>
            </w:r>
            <w:r>
              <w:rPr>
                <w:color w:val="001F5F"/>
              </w:rPr>
              <w:tab/>
            </w:r>
            <w:r>
              <w:rPr>
                <w:color w:val="001F5F"/>
                <w:spacing w:val="-10"/>
              </w:rPr>
              <w:t>5</w:t>
            </w:r>
          </w:hyperlink>
        </w:p>
        <w:p>
          <w:pPr>
            <w:pStyle w:val="TOC2"/>
            <w:numPr>
              <w:ilvl w:val="1"/>
              <w:numId w:val="1"/>
            </w:numPr>
            <w:tabs>
              <w:tab w:pos="1699" w:val="left" w:leader="none"/>
              <w:tab w:pos="10763" w:val="right" w:leader="none"/>
            </w:tabs>
            <w:spacing w:line="240" w:lineRule="auto" w:before="209" w:after="0"/>
            <w:ind w:left="1699" w:right="0" w:hanging="567"/>
            <w:jc w:val="left"/>
          </w:pPr>
          <w:hyperlink w:history="true" w:anchor="_TOC_250016">
            <w:r>
              <w:rPr>
                <w:spacing w:val="-2"/>
              </w:rPr>
              <w:t>Location</w:t>
            </w:r>
            <w:r>
              <w:rPr/>
              <w:tab/>
            </w:r>
            <w:r>
              <w:rPr>
                <w:spacing w:val="-10"/>
              </w:rPr>
              <w:t>5</w:t>
            </w:r>
          </w:hyperlink>
        </w:p>
        <w:p>
          <w:pPr>
            <w:pStyle w:val="TOC2"/>
            <w:numPr>
              <w:ilvl w:val="1"/>
              <w:numId w:val="1"/>
            </w:numPr>
            <w:tabs>
              <w:tab w:pos="1699" w:val="left" w:leader="none"/>
              <w:tab w:pos="10763" w:val="right" w:leader="none"/>
            </w:tabs>
            <w:spacing w:line="240" w:lineRule="auto" w:before="60" w:after="0"/>
            <w:ind w:left="1699" w:right="0" w:hanging="567"/>
            <w:jc w:val="left"/>
          </w:pPr>
          <w:hyperlink w:history="true" w:anchor="_TOC_250015">
            <w:r>
              <w:rPr/>
              <w:t>Monitoring</w:t>
            </w:r>
            <w:r>
              <w:rPr>
                <w:spacing w:val="-11"/>
              </w:rPr>
              <w:t> </w:t>
            </w:r>
            <w:r>
              <w:rPr/>
              <w:t>and</w:t>
            </w:r>
            <w:r>
              <w:rPr>
                <w:spacing w:val="-11"/>
              </w:rPr>
              <w:t> </w:t>
            </w:r>
            <w:r>
              <w:rPr/>
              <w:t>evaluation</w:t>
            </w:r>
            <w:r>
              <w:rPr>
                <w:spacing w:val="-8"/>
              </w:rPr>
              <w:t> </w:t>
            </w:r>
            <w:r>
              <w:rPr>
                <w:spacing w:val="-2"/>
              </w:rPr>
              <w:t>design</w:t>
            </w:r>
            <w:r>
              <w:rPr/>
              <w:tab/>
            </w:r>
            <w:r>
              <w:rPr>
                <w:spacing w:val="-10"/>
              </w:rPr>
              <w:t>5</w:t>
            </w:r>
          </w:hyperlink>
        </w:p>
        <w:p>
          <w:pPr>
            <w:pStyle w:val="TOC2"/>
            <w:numPr>
              <w:ilvl w:val="1"/>
              <w:numId w:val="1"/>
            </w:numPr>
            <w:tabs>
              <w:tab w:pos="1699" w:val="left" w:leader="none"/>
              <w:tab w:pos="10763" w:val="right" w:leader="none"/>
            </w:tabs>
            <w:spacing w:line="240" w:lineRule="auto" w:before="61" w:after="0"/>
            <w:ind w:left="1699" w:right="0" w:hanging="567"/>
            <w:jc w:val="left"/>
          </w:pPr>
          <w:hyperlink w:history="true" w:anchor="_TOC_250014">
            <w:r>
              <w:rPr/>
              <w:t>Data</w:t>
            </w:r>
            <w:r>
              <w:rPr>
                <w:spacing w:val="-10"/>
              </w:rPr>
              <w:t> </w:t>
            </w:r>
            <w:r>
              <w:rPr>
                <w:spacing w:val="-2"/>
              </w:rPr>
              <w:t>collection</w:t>
            </w:r>
            <w:r>
              <w:rPr/>
              <w:tab/>
            </w:r>
            <w:r>
              <w:rPr>
                <w:spacing w:val="-10"/>
              </w:rPr>
              <w:t>6</w:t>
            </w:r>
          </w:hyperlink>
        </w:p>
        <w:p>
          <w:pPr>
            <w:pStyle w:val="TOC2"/>
            <w:numPr>
              <w:ilvl w:val="1"/>
              <w:numId w:val="1"/>
            </w:numPr>
            <w:tabs>
              <w:tab w:pos="1699" w:val="left" w:leader="none"/>
              <w:tab w:pos="10763" w:val="right" w:leader="none"/>
            </w:tabs>
            <w:spacing w:line="240" w:lineRule="auto" w:before="60" w:after="0"/>
            <w:ind w:left="1699" w:right="0" w:hanging="567"/>
            <w:jc w:val="left"/>
          </w:pPr>
          <w:hyperlink w:history="true" w:anchor="_TOC_250013">
            <w:r>
              <w:rPr/>
              <w:t>Species</w:t>
            </w:r>
            <w:r>
              <w:rPr>
                <w:spacing w:val="-9"/>
              </w:rPr>
              <w:t> </w:t>
            </w:r>
            <w:r>
              <w:rPr>
                <w:spacing w:val="-2"/>
              </w:rPr>
              <w:t>occupancy</w:t>
            </w:r>
            <w:r>
              <w:rPr/>
              <w:tab/>
            </w:r>
            <w:r>
              <w:rPr>
                <w:spacing w:val="-10"/>
              </w:rPr>
              <w:t>7</w:t>
            </w:r>
          </w:hyperlink>
        </w:p>
        <w:p>
          <w:pPr>
            <w:pStyle w:val="TOC2"/>
            <w:numPr>
              <w:ilvl w:val="1"/>
              <w:numId w:val="1"/>
            </w:numPr>
            <w:tabs>
              <w:tab w:pos="1699" w:val="left" w:leader="none"/>
              <w:tab w:pos="10763" w:val="right" w:leader="none"/>
            </w:tabs>
            <w:spacing w:line="240" w:lineRule="auto" w:before="60" w:after="0"/>
            <w:ind w:left="1699" w:right="0" w:hanging="567"/>
            <w:jc w:val="left"/>
          </w:pPr>
          <w:hyperlink w:history="true" w:anchor="_TOC_250012">
            <w:r>
              <w:rPr/>
              <w:t>Fox</w:t>
            </w:r>
            <w:r>
              <w:rPr>
                <w:spacing w:val="-5"/>
              </w:rPr>
              <w:t> </w:t>
            </w:r>
            <w:r>
              <w:rPr/>
              <w:t>and</w:t>
            </w:r>
            <w:r>
              <w:rPr>
                <w:spacing w:val="-5"/>
              </w:rPr>
              <w:t> </w:t>
            </w:r>
            <w:r>
              <w:rPr/>
              <w:t>feral</w:t>
            </w:r>
            <w:r>
              <w:rPr>
                <w:spacing w:val="-3"/>
              </w:rPr>
              <w:t> </w:t>
            </w:r>
            <w:r>
              <w:rPr/>
              <w:t>cat</w:t>
            </w:r>
            <w:r>
              <w:rPr>
                <w:spacing w:val="-6"/>
              </w:rPr>
              <w:t> </w:t>
            </w:r>
            <w:r>
              <w:rPr>
                <w:spacing w:val="-2"/>
              </w:rPr>
              <w:t>activity</w:t>
            </w:r>
            <w:r>
              <w:rPr/>
              <w:tab/>
            </w:r>
            <w:r>
              <w:rPr>
                <w:spacing w:val="-10"/>
              </w:rPr>
              <w:t>8</w:t>
            </w:r>
          </w:hyperlink>
        </w:p>
        <w:p>
          <w:pPr>
            <w:pStyle w:val="TOC1"/>
            <w:numPr>
              <w:ilvl w:val="0"/>
              <w:numId w:val="1"/>
            </w:numPr>
            <w:tabs>
              <w:tab w:pos="1699" w:val="left" w:leader="none"/>
              <w:tab w:pos="10763" w:val="right" w:leader="none"/>
            </w:tabs>
            <w:spacing w:line="240" w:lineRule="auto" w:before="321" w:after="0"/>
            <w:ind w:left="1699" w:right="0" w:hanging="567"/>
            <w:jc w:val="left"/>
          </w:pPr>
          <w:r>
            <w:rPr/>
            <mc:AlternateContent>
              <mc:Choice Requires="wps">
                <w:drawing>
                  <wp:anchor distT="0" distB="0" distL="0" distR="0" allowOverlap="1" layoutInCell="1" locked="0" behindDoc="0" simplePos="0" relativeHeight="15734272">
                    <wp:simplePos x="0" y="0"/>
                    <wp:positionH relativeFrom="page">
                      <wp:posOffset>701040</wp:posOffset>
                    </wp:positionH>
                    <wp:positionV relativeFrom="paragraph">
                      <wp:posOffset>396122</wp:posOffset>
                    </wp:positionV>
                    <wp:extent cx="6158230" cy="1270"/>
                    <wp:effectExtent l="0" t="0" r="0" b="0"/>
                    <wp:wrapNone/>
                    <wp:docPr id="41" name="Graphic 41"/>
                    <wp:cNvGraphicFramePr>
                      <a:graphicFrameLocks/>
                    </wp:cNvGraphicFramePr>
                    <a:graphic>
                      <a:graphicData uri="http://schemas.microsoft.com/office/word/2010/wordprocessingShape">
                        <wps:wsp>
                          <wps:cNvPr id="41" name="Graphic 41"/>
                          <wps:cNvSpPr/>
                          <wps:spPr>
                            <a:xfrm>
                              <a:off x="0" y="0"/>
                              <a:ext cx="6158230" cy="1270"/>
                            </a:xfrm>
                            <a:custGeom>
                              <a:avLst/>
                              <a:gdLst/>
                              <a:ahLst/>
                              <a:cxnLst/>
                              <a:rect l="l" t="t" r="r" b="b"/>
                              <a:pathLst>
                                <a:path w="6158230" h="0">
                                  <a:moveTo>
                                    <a:pt x="0" y="0"/>
                                  </a:moveTo>
                                  <a:lnTo>
                                    <a:pt x="6158230" y="0"/>
                                  </a:lnTo>
                                </a:path>
                              </a:pathLst>
                            </a:custGeom>
                            <a:ln w="18288">
                              <a:solidFill>
                                <a:srgbClr val="218591"/>
                              </a:solidFill>
                              <a:prstDash val="sysDot"/>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272" from="55.200001pt,31.190742pt" to="540.100001pt,31.190742pt" stroked="true" strokeweight="1.44pt" strokecolor="#218591">
                    <v:stroke dashstyle="shortdot"/>
                    <w10:wrap type="none"/>
                  </v:line>
                </w:pict>
              </mc:Fallback>
            </mc:AlternateContent>
          </w:r>
          <w:hyperlink w:history="true" w:anchor="_TOC_250011">
            <w:r>
              <w:rPr>
                <w:color w:val="001F5F"/>
                <w:spacing w:val="-2"/>
              </w:rPr>
              <w:t>Results</w:t>
            </w:r>
            <w:r>
              <w:rPr>
                <w:color w:val="001F5F"/>
              </w:rPr>
              <w:tab/>
            </w:r>
            <w:r>
              <w:rPr>
                <w:color w:val="001F5F"/>
                <w:spacing w:val="-10"/>
              </w:rPr>
              <w:t>9</w:t>
            </w:r>
          </w:hyperlink>
        </w:p>
        <w:p>
          <w:pPr>
            <w:pStyle w:val="TOC2"/>
            <w:numPr>
              <w:ilvl w:val="1"/>
              <w:numId w:val="1"/>
            </w:numPr>
            <w:tabs>
              <w:tab w:pos="1699" w:val="left" w:leader="none"/>
              <w:tab w:pos="10763" w:val="right" w:leader="none"/>
            </w:tabs>
            <w:spacing w:line="240" w:lineRule="auto" w:before="209" w:after="0"/>
            <w:ind w:left="1699" w:right="0" w:hanging="567"/>
            <w:jc w:val="left"/>
          </w:pPr>
          <w:hyperlink w:history="true" w:anchor="_TOC_250010">
            <w:r>
              <w:rPr/>
              <w:t>Initial</w:t>
            </w:r>
            <w:r>
              <w:rPr>
                <w:spacing w:val="-11"/>
              </w:rPr>
              <w:t> </w:t>
            </w:r>
            <w:r>
              <w:rPr/>
              <w:t>occupancy,</w:t>
            </w:r>
            <w:r>
              <w:rPr>
                <w:spacing w:val="-10"/>
              </w:rPr>
              <w:t> </w:t>
            </w:r>
            <w:r>
              <w:rPr/>
              <w:t>survival,</w:t>
            </w:r>
            <w:r>
              <w:rPr>
                <w:spacing w:val="-9"/>
              </w:rPr>
              <w:t> </w:t>
            </w:r>
            <w:r>
              <w:rPr/>
              <w:t>colonisation,</w:t>
            </w:r>
            <w:r>
              <w:rPr>
                <w:spacing w:val="-8"/>
              </w:rPr>
              <w:t> </w:t>
            </w:r>
            <w:r>
              <w:rPr/>
              <w:t>and</w:t>
            </w:r>
            <w:r>
              <w:rPr>
                <w:spacing w:val="-8"/>
              </w:rPr>
              <w:t> </w:t>
            </w:r>
            <w:r>
              <w:rPr/>
              <w:t>growth</w:t>
            </w:r>
            <w:r>
              <w:rPr>
                <w:spacing w:val="-10"/>
              </w:rPr>
              <w:t> </w:t>
            </w:r>
            <w:r>
              <w:rPr>
                <w:spacing w:val="-4"/>
              </w:rPr>
              <w:t>rates</w:t>
            </w:r>
            <w:r>
              <w:rPr/>
              <w:tab/>
            </w:r>
            <w:r>
              <w:rPr>
                <w:spacing w:val="-10"/>
              </w:rPr>
              <w:t>9</w:t>
            </w:r>
          </w:hyperlink>
        </w:p>
        <w:p>
          <w:pPr>
            <w:pStyle w:val="TOC3"/>
            <w:numPr>
              <w:ilvl w:val="2"/>
              <w:numId w:val="1"/>
            </w:numPr>
            <w:tabs>
              <w:tab w:pos="2409" w:val="left" w:leader="none"/>
              <w:tab w:pos="10763" w:val="right" w:leader="none"/>
            </w:tabs>
            <w:spacing w:line="240" w:lineRule="auto" w:before="60" w:after="0"/>
            <w:ind w:left="2409" w:right="0" w:hanging="710"/>
            <w:jc w:val="left"/>
          </w:pPr>
          <w:hyperlink w:history="true" w:anchor="_TOC_250009">
            <w:r>
              <w:rPr/>
              <w:t>Common</w:t>
            </w:r>
            <w:r>
              <w:rPr>
                <w:spacing w:val="-10"/>
              </w:rPr>
              <w:t> </w:t>
            </w:r>
            <w:r>
              <w:rPr/>
              <w:t>Brushtail</w:t>
            </w:r>
            <w:r>
              <w:rPr>
                <w:spacing w:val="-10"/>
              </w:rPr>
              <w:t> </w:t>
            </w:r>
            <w:r>
              <w:rPr>
                <w:spacing w:val="-2"/>
              </w:rPr>
              <w:t>Possum</w:t>
            </w:r>
            <w:r>
              <w:rPr/>
              <w:tab/>
            </w:r>
            <w:r>
              <w:rPr>
                <w:spacing w:val="-10"/>
              </w:rPr>
              <w:t>9</w:t>
            </w:r>
          </w:hyperlink>
        </w:p>
        <w:p>
          <w:pPr>
            <w:pStyle w:val="TOC3"/>
            <w:numPr>
              <w:ilvl w:val="2"/>
              <w:numId w:val="1"/>
            </w:numPr>
            <w:tabs>
              <w:tab w:pos="2409" w:val="left" w:leader="none"/>
              <w:tab w:pos="10761" w:val="right" w:leader="none"/>
            </w:tabs>
            <w:spacing w:line="240" w:lineRule="auto" w:before="121" w:after="0"/>
            <w:ind w:left="2409" w:right="0" w:hanging="710"/>
            <w:jc w:val="left"/>
          </w:pPr>
          <w:hyperlink w:history="true" w:anchor="_TOC_250008">
            <w:r>
              <w:rPr/>
              <w:t>Long-nosed</w:t>
            </w:r>
            <w:r>
              <w:rPr>
                <w:spacing w:val="-14"/>
              </w:rPr>
              <w:t> </w:t>
            </w:r>
            <w:r>
              <w:rPr>
                <w:spacing w:val="-2"/>
              </w:rPr>
              <w:t>Potoroo</w:t>
            </w:r>
            <w:r>
              <w:rPr/>
              <w:tab/>
            </w:r>
            <w:r>
              <w:rPr>
                <w:spacing w:val="-5"/>
              </w:rPr>
              <w:t>11</w:t>
            </w:r>
          </w:hyperlink>
        </w:p>
        <w:p>
          <w:pPr>
            <w:pStyle w:val="TOC3"/>
            <w:numPr>
              <w:ilvl w:val="2"/>
              <w:numId w:val="1"/>
            </w:numPr>
            <w:tabs>
              <w:tab w:pos="2409" w:val="left" w:leader="none"/>
              <w:tab w:pos="10761" w:val="right" w:leader="none"/>
            </w:tabs>
            <w:spacing w:line="240" w:lineRule="auto" w:before="120" w:after="0"/>
            <w:ind w:left="2409" w:right="0" w:hanging="710"/>
            <w:jc w:val="left"/>
          </w:pPr>
          <w:hyperlink w:history="true" w:anchor="_TOC_250007">
            <w:r>
              <w:rPr/>
              <w:t>Southern</w:t>
            </w:r>
            <w:r>
              <w:rPr>
                <w:spacing w:val="-9"/>
              </w:rPr>
              <w:t> </w:t>
            </w:r>
            <w:r>
              <w:rPr/>
              <w:t>Brown</w:t>
            </w:r>
            <w:r>
              <w:rPr>
                <w:spacing w:val="-9"/>
              </w:rPr>
              <w:t> </w:t>
            </w:r>
            <w:r>
              <w:rPr>
                <w:spacing w:val="-2"/>
              </w:rPr>
              <w:t>Bandicoot</w:t>
            </w:r>
            <w:r>
              <w:rPr/>
              <w:tab/>
            </w:r>
            <w:r>
              <w:rPr>
                <w:spacing w:val="-5"/>
              </w:rPr>
              <w:t>14</w:t>
            </w:r>
          </w:hyperlink>
        </w:p>
        <w:p>
          <w:pPr>
            <w:pStyle w:val="TOC2"/>
            <w:numPr>
              <w:ilvl w:val="1"/>
              <w:numId w:val="1"/>
            </w:numPr>
            <w:tabs>
              <w:tab w:pos="1699" w:val="left" w:leader="none"/>
              <w:tab w:pos="10761" w:val="right" w:leader="none"/>
            </w:tabs>
            <w:spacing w:line="240" w:lineRule="auto" w:before="121" w:after="0"/>
            <w:ind w:left="1699" w:right="0" w:hanging="567"/>
            <w:jc w:val="left"/>
          </w:pPr>
          <w:hyperlink w:history="true" w:anchor="_TOC_250006">
            <w:r>
              <w:rPr/>
              <w:t>Predator</w:t>
            </w:r>
            <w:r>
              <w:rPr>
                <w:spacing w:val="-11"/>
              </w:rPr>
              <w:t> </w:t>
            </w:r>
            <w:r>
              <w:rPr>
                <w:spacing w:val="-2"/>
              </w:rPr>
              <w:t>activity</w:t>
            </w:r>
            <w:r>
              <w:rPr/>
              <w:tab/>
            </w:r>
            <w:r>
              <w:rPr>
                <w:spacing w:val="-5"/>
              </w:rPr>
              <w:t>17</w:t>
            </w:r>
          </w:hyperlink>
        </w:p>
        <w:p>
          <w:pPr>
            <w:pStyle w:val="TOC3"/>
            <w:numPr>
              <w:ilvl w:val="2"/>
              <w:numId w:val="1"/>
            </w:numPr>
            <w:tabs>
              <w:tab w:pos="2409" w:val="left" w:leader="none"/>
              <w:tab w:pos="10761" w:val="right" w:leader="none"/>
            </w:tabs>
            <w:spacing w:line="240" w:lineRule="auto" w:before="58" w:after="0"/>
            <w:ind w:left="2409" w:right="0" w:hanging="710"/>
            <w:jc w:val="left"/>
          </w:pPr>
          <w:hyperlink w:history="true" w:anchor="_TOC_250005">
            <w:r>
              <w:rPr/>
              <w:t>Fox</w:t>
            </w:r>
            <w:r>
              <w:rPr>
                <w:spacing w:val="-4"/>
              </w:rPr>
              <w:t> </w:t>
            </w:r>
            <w:r>
              <w:rPr>
                <w:spacing w:val="-2"/>
              </w:rPr>
              <w:t>activity</w:t>
            </w:r>
            <w:r>
              <w:rPr/>
              <w:tab/>
            </w:r>
            <w:r>
              <w:rPr>
                <w:spacing w:val="-5"/>
              </w:rPr>
              <w:t>17</w:t>
            </w:r>
          </w:hyperlink>
        </w:p>
        <w:p>
          <w:pPr>
            <w:pStyle w:val="TOC3"/>
            <w:numPr>
              <w:ilvl w:val="2"/>
              <w:numId w:val="1"/>
            </w:numPr>
            <w:tabs>
              <w:tab w:pos="2409" w:val="left" w:leader="none"/>
              <w:tab w:pos="10761" w:val="right" w:leader="none"/>
            </w:tabs>
            <w:spacing w:line="240" w:lineRule="auto" w:before="120" w:after="0"/>
            <w:ind w:left="2409" w:right="0" w:hanging="710"/>
            <w:jc w:val="left"/>
          </w:pPr>
          <w:hyperlink w:history="true" w:anchor="_TOC_250004">
            <w:r>
              <w:rPr/>
              <w:t>Feral</w:t>
            </w:r>
            <w:r>
              <w:rPr>
                <w:spacing w:val="-7"/>
              </w:rPr>
              <w:t> </w:t>
            </w:r>
            <w:r>
              <w:rPr/>
              <w:t>cat</w:t>
            </w:r>
            <w:r>
              <w:rPr>
                <w:spacing w:val="-5"/>
              </w:rPr>
              <w:t> </w:t>
            </w:r>
            <w:r>
              <w:rPr>
                <w:spacing w:val="-2"/>
              </w:rPr>
              <w:t>activity</w:t>
            </w:r>
            <w:r>
              <w:rPr/>
              <w:tab/>
            </w:r>
            <w:r>
              <w:rPr>
                <w:spacing w:val="-7"/>
              </w:rPr>
              <w:t>18</w:t>
            </w:r>
          </w:hyperlink>
        </w:p>
        <w:p>
          <w:pPr>
            <w:pStyle w:val="TOC2"/>
            <w:numPr>
              <w:ilvl w:val="1"/>
              <w:numId w:val="2"/>
            </w:numPr>
            <w:tabs>
              <w:tab w:pos="1699" w:val="left" w:leader="none"/>
              <w:tab w:pos="10761" w:val="right" w:leader="none"/>
            </w:tabs>
            <w:spacing w:line="240" w:lineRule="auto" w:before="120" w:after="0"/>
            <w:ind w:left="1699" w:right="0" w:hanging="567"/>
            <w:jc w:val="left"/>
          </w:pPr>
          <w:hyperlink w:history="true" w:anchor="_TOC_250003">
            <w:r>
              <w:rPr/>
              <w:t>Other</w:t>
            </w:r>
            <w:r>
              <w:rPr>
                <w:spacing w:val="-7"/>
              </w:rPr>
              <w:t> </w:t>
            </w:r>
            <w:r>
              <w:rPr/>
              <w:t>species’</w:t>
            </w:r>
            <w:r>
              <w:rPr>
                <w:spacing w:val="-9"/>
              </w:rPr>
              <w:t> </w:t>
            </w:r>
            <w:r>
              <w:rPr/>
              <w:t>naïve</w:t>
            </w:r>
            <w:r>
              <w:rPr>
                <w:spacing w:val="-8"/>
              </w:rPr>
              <w:t> </w:t>
            </w:r>
            <w:r>
              <w:rPr>
                <w:spacing w:val="-2"/>
              </w:rPr>
              <w:t>occupancy</w:t>
            </w:r>
            <w:r>
              <w:rPr>
                <w:rFonts w:ascii="Times New Roman" w:hAnsi="Times New Roman"/>
              </w:rPr>
              <w:tab/>
            </w:r>
            <w:r>
              <w:rPr>
                <w:spacing w:val="-5"/>
              </w:rPr>
              <w:t>19</w:t>
            </w:r>
          </w:hyperlink>
        </w:p>
        <w:p>
          <w:pPr>
            <w:pStyle w:val="TOC1"/>
            <w:numPr>
              <w:ilvl w:val="0"/>
              <w:numId w:val="1"/>
            </w:numPr>
            <w:tabs>
              <w:tab w:pos="1699" w:val="left" w:leader="none"/>
              <w:tab w:pos="10761" w:val="right" w:leader="none"/>
            </w:tabs>
            <w:spacing w:line="240" w:lineRule="auto" w:before="320" w:after="0"/>
            <w:ind w:left="1699" w:right="0" w:hanging="567"/>
            <w:jc w:val="left"/>
          </w:pPr>
          <w:r>
            <w:rPr/>
            <mc:AlternateContent>
              <mc:Choice Requires="wps">
                <w:drawing>
                  <wp:anchor distT="0" distB="0" distL="0" distR="0" allowOverlap="1" layoutInCell="1" locked="0" behindDoc="0" simplePos="0" relativeHeight="15734784">
                    <wp:simplePos x="0" y="0"/>
                    <wp:positionH relativeFrom="page">
                      <wp:posOffset>701040</wp:posOffset>
                    </wp:positionH>
                    <wp:positionV relativeFrom="paragraph">
                      <wp:posOffset>371342</wp:posOffset>
                    </wp:positionV>
                    <wp:extent cx="6158230" cy="1270"/>
                    <wp:effectExtent l="0" t="0" r="0" b="0"/>
                    <wp:wrapNone/>
                    <wp:docPr id="42" name="Graphic 42"/>
                    <wp:cNvGraphicFramePr>
                      <a:graphicFrameLocks/>
                    </wp:cNvGraphicFramePr>
                    <a:graphic>
                      <a:graphicData uri="http://schemas.microsoft.com/office/word/2010/wordprocessingShape">
                        <wps:wsp>
                          <wps:cNvPr id="42" name="Graphic 42"/>
                          <wps:cNvSpPr/>
                          <wps:spPr>
                            <a:xfrm>
                              <a:off x="0" y="0"/>
                              <a:ext cx="6158230" cy="1270"/>
                            </a:xfrm>
                            <a:custGeom>
                              <a:avLst/>
                              <a:gdLst/>
                              <a:ahLst/>
                              <a:cxnLst/>
                              <a:rect l="l" t="t" r="r" b="b"/>
                              <a:pathLst>
                                <a:path w="6158230" h="0">
                                  <a:moveTo>
                                    <a:pt x="0" y="0"/>
                                  </a:moveTo>
                                  <a:lnTo>
                                    <a:pt x="6158230" y="0"/>
                                  </a:lnTo>
                                </a:path>
                              </a:pathLst>
                            </a:custGeom>
                            <a:ln w="18288">
                              <a:solidFill>
                                <a:srgbClr val="218591"/>
                              </a:solidFill>
                              <a:prstDash val="sysDot"/>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784" from="55.200001pt,29.239531pt" to="540.100001pt,29.239531pt" stroked="true" strokeweight="1.44pt" strokecolor="#218591">
                    <v:stroke dashstyle="shortdot"/>
                    <w10:wrap type="none"/>
                  </v:line>
                </w:pict>
              </mc:Fallback>
            </mc:AlternateContent>
          </w:r>
          <w:hyperlink w:history="true" w:anchor="_TOC_250002">
            <w:r>
              <w:rPr>
                <w:color w:val="001F5F"/>
                <w:spacing w:val="-2"/>
              </w:rPr>
              <w:t>Discussion</w:t>
            </w:r>
            <w:r>
              <w:rPr>
                <w:color w:val="001F5F"/>
              </w:rPr>
              <w:tab/>
            </w:r>
            <w:r>
              <w:rPr>
                <w:color w:val="001F5F"/>
                <w:spacing w:val="-5"/>
              </w:rPr>
              <w:t>20</w:t>
            </w:r>
          </w:hyperlink>
        </w:p>
        <w:p>
          <w:pPr>
            <w:pStyle w:val="TOC1"/>
            <w:numPr>
              <w:ilvl w:val="0"/>
              <w:numId w:val="1"/>
            </w:numPr>
            <w:tabs>
              <w:tab w:pos="1699" w:val="left" w:leader="none"/>
              <w:tab w:pos="10761" w:val="right" w:leader="none"/>
            </w:tabs>
            <w:spacing w:line="240" w:lineRule="auto" w:before="71" w:after="0"/>
            <w:ind w:left="1699" w:right="0" w:hanging="567"/>
            <w:jc w:val="left"/>
          </w:pPr>
          <w:r>
            <w:rPr/>
            <mc:AlternateContent>
              <mc:Choice Requires="wps">
                <w:drawing>
                  <wp:anchor distT="0" distB="0" distL="0" distR="0" allowOverlap="1" layoutInCell="1" locked="0" behindDoc="0" simplePos="0" relativeHeight="15735296">
                    <wp:simplePos x="0" y="0"/>
                    <wp:positionH relativeFrom="page">
                      <wp:posOffset>701040</wp:posOffset>
                    </wp:positionH>
                    <wp:positionV relativeFrom="paragraph">
                      <wp:posOffset>212858</wp:posOffset>
                    </wp:positionV>
                    <wp:extent cx="6158230" cy="1270"/>
                    <wp:effectExtent l="0" t="0" r="0" b="0"/>
                    <wp:wrapNone/>
                    <wp:docPr id="43" name="Graphic 43"/>
                    <wp:cNvGraphicFramePr>
                      <a:graphicFrameLocks/>
                    </wp:cNvGraphicFramePr>
                    <a:graphic>
                      <a:graphicData uri="http://schemas.microsoft.com/office/word/2010/wordprocessingShape">
                        <wps:wsp>
                          <wps:cNvPr id="43" name="Graphic 43"/>
                          <wps:cNvSpPr/>
                          <wps:spPr>
                            <a:xfrm>
                              <a:off x="0" y="0"/>
                              <a:ext cx="6158230" cy="1270"/>
                            </a:xfrm>
                            <a:custGeom>
                              <a:avLst/>
                              <a:gdLst/>
                              <a:ahLst/>
                              <a:cxnLst/>
                              <a:rect l="l" t="t" r="r" b="b"/>
                              <a:pathLst>
                                <a:path w="6158230" h="0">
                                  <a:moveTo>
                                    <a:pt x="0" y="0"/>
                                  </a:moveTo>
                                  <a:lnTo>
                                    <a:pt x="6158230" y="0"/>
                                  </a:lnTo>
                                </a:path>
                              </a:pathLst>
                            </a:custGeom>
                            <a:ln w="18288">
                              <a:solidFill>
                                <a:srgbClr val="218591"/>
                              </a:solidFill>
                              <a:prstDash val="sysDot"/>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296" from="55.200001pt,16.760508pt" to="540.100001pt,16.760508pt" stroked="true" strokeweight="1.44pt" strokecolor="#218591">
                    <v:stroke dashstyle="shortdot"/>
                    <w10:wrap type="none"/>
                  </v:line>
                </w:pict>
              </mc:Fallback>
            </mc:AlternateContent>
          </w:r>
          <w:hyperlink w:history="true" w:anchor="_TOC_250001">
            <w:r>
              <w:rPr>
                <w:color w:val="001F5F"/>
                <w:spacing w:val="-2"/>
              </w:rPr>
              <w:t>References</w:t>
            </w:r>
            <w:r>
              <w:rPr>
                <w:color w:val="001F5F"/>
              </w:rPr>
              <w:tab/>
            </w:r>
            <w:r>
              <w:rPr>
                <w:color w:val="001F5F"/>
                <w:spacing w:val="-5"/>
              </w:rPr>
              <w:t>24</w:t>
            </w:r>
          </w:hyperlink>
        </w:p>
        <w:p>
          <w:pPr>
            <w:pStyle w:val="TOC1"/>
            <w:tabs>
              <w:tab w:pos="10761" w:val="right" w:leader="none"/>
            </w:tabs>
            <w:ind w:left="1132" w:firstLine="0"/>
          </w:pPr>
          <w:hyperlink w:history="true" w:anchor="_TOC_250000">
            <w:r>
              <w:rPr>
                <w:color w:val="001F5F"/>
                <w:spacing w:val="-2"/>
              </w:rPr>
              <w:t>Appendix</w:t>
            </w:r>
            <w:r>
              <w:rPr>
                <w:color w:val="001F5F"/>
              </w:rPr>
              <w:tab/>
            </w:r>
            <w:r>
              <w:rPr>
                <w:color w:val="001F5F"/>
                <w:spacing w:val="-5"/>
              </w:rPr>
              <w:t>28</w:t>
            </w:r>
          </w:hyperlink>
        </w:p>
      </w:sdtContent>
    </w:sdt>
    <w:p>
      <w:pPr>
        <w:pStyle w:val="BodyText"/>
        <w:spacing w:before="5"/>
        <w:rPr>
          <w:b/>
          <w:sz w:val="4"/>
        </w:rPr>
      </w:pPr>
      <w:r>
        <w:rPr>
          <w:b/>
          <w:sz w:val="4"/>
        </w:rPr>
        <mc:AlternateContent>
          <mc:Choice Requires="wps">
            <w:drawing>
              <wp:anchor distT="0" distB="0" distL="0" distR="0" allowOverlap="1" layoutInCell="1" locked="0" behindDoc="1" simplePos="0" relativeHeight="487590912">
                <wp:simplePos x="0" y="0"/>
                <wp:positionH relativeFrom="page">
                  <wp:posOffset>701040</wp:posOffset>
                </wp:positionH>
                <wp:positionV relativeFrom="paragraph">
                  <wp:posOffset>47656</wp:posOffset>
                </wp:positionV>
                <wp:extent cx="6158230" cy="1270"/>
                <wp:effectExtent l="0" t="0" r="0" b="0"/>
                <wp:wrapTopAndBottom/>
                <wp:docPr id="44" name="Graphic 44"/>
                <wp:cNvGraphicFramePr>
                  <a:graphicFrameLocks/>
                </wp:cNvGraphicFramePr>
                <a:graphic>
                  <a:graphicData uri="http://schemas.microsoft.com/office/word/2010/wordprocessingShape">
                    <wps:wsp>
                      <wps:cNvPr id="44" name="Graphic 44"/>
                      <wps:cNvSpPr/>
                      <wps:spPr>
                        <a:xfrm>
                          <a:off x="0" y="0"/>
                          <a:ext cx="6158230" cy="1270"/>
                        </a:xfrm>
                        <a:custGeom>
                          <a:avLst/>
                          <a:gdLst/>
                          <a:ahLst/>
                          <a:cxnLst/>
                          <a:rect l="l" t="t" r="r" b="b"/>
                          <a:pathLst>
                            <a:path w="6158230" h="0">
                              <a:moveTo>
                                <a:pt x="0" y="0"/>
                              </a:moveTo>
                              <a:lnTo>
                                <a:pt x="6158230" y="0"/>
                              </a:lnTo>
                            </a:path>
                          </a:pathLst>
                        </a:custGeom>
                        <a:ln w="18288">
                          <a:solidFill>
                            <a:srgbClr val="218591"/>
                          </a:solidFill>
                          <a:prstDash val="sysDot"/>
                        </a:ln>
                      </wps:spPr>
                      <wps:bodyPr wrap="square" lIns="0" tIns="0" rIns="0" bIns="0" rtlCol="0">
                        <a:prstTxWarp prst="textNoShape">
                          <a:avLst/>
                        </a:prstTxWarp>
                        <a:noAutofit/>
                      </wps:bodyPr>
                    </wps:wsp>
                  </a:graphicData>
                </a:graphic>
              </wp:anchor>
            </w:drawing>
          </mc:Choice>
          <mc:Fallback>
            <w:pict>
              <v:shape style="position:absolute;margin-left:55.200001pt;margin-top:3.752461pt;width:484.9pt;height:.1pt;mso-position-horizontal-relative:page;mso-position-vertical-relative:paragraph;z-index:-15725568;mso-wrap-distance-left:0;mso-wrap-distance-right:0" id="docshape36" coordorigin="1104,75" coordsize="9698,0" path="m1104,75l10802,75e" filled="false" stroked="true" strokeweight="1.44pt" strokecolor="#218591">
                <v:path arrowok="t"/>
                <v:stroke dashstyle="shortdot"/>
                <w10:wrap type="topAndBottom"/>
              </v:shape>
            </w:pict>
          </mc:Fallback>
        </mc:AlternateContent>
      </w:r>
    </w:p>
    <w:p>
      <w:pPr>
        <w:pStyle w:val="BodyText"/>
        <w:spacing w:after="0"/>
        <w:rPr>
          <w:b/>
          <w:sz w:val="4"/>
        </w:rPr>
        <w:sectPr>
          <w:footerReference w:type="default" r:id="rId23"/>
          <w:pgSz w:w="11910" w:h="16850"/>
          <w:pgMar w:header="0" w:footer="688" w:top="1060" w:bottom="880" w:left="0" w:right="0"/>
        </w:sectPr>
      </w:pPr>
    </w:p>
    <w:p>
      <w:pPr>
        <w:pStyle w:val="Heading2"/>
        <w:spacing w:before="65"/>
        <w:ind w:left="1132"/>
      </w:pPr>
      <w:r>
        <w:rPr>
          <w:color w:val="001F5F"/>
          <w:spacing w:val="-2"/>
        </w:rPr>
        <w:t>Tables</w:t>
      </w:r>
    </w:p>
    <w:p>
      <w:pPr>
        <w:pStyle w:val="BodyText"/>
        <w:tabs>
          <w:tab w:pos="10653" w:val="left" w:leader="dot"/>
        </w:tabs>
        <w:spacing w:before="600"/>
        <w:ind w:left="1132"/>
      </w:pPr>
      <w:hyperlink w:history="true" w:anchor="_bookmark2">
        <w:r>
          <w:rPr/>
          <w:t>Table</w:t>
        </w:r>
        <w:r>
          <w:rPr>
            <w:spacing w:val="-6"/>
          </w:rPr>
          <w:t> </w:t>
        </w:r>
        <w:r>
          <w:rPr/>
          <w:t>1.</w:t>
        </w:r>
        <w:r>
          <w:rPr>
            <w:spacing w:val="-8"/>
          </w:rPr>
          <w:t> </w:t>
        </w:r>
        <w:r>
          <w:rPr/>
          <w:t>Description</w:t>
        </w:r>
        <w:r>
          <w:rPr>
            <w:spacing w:val="-6"/>
          </w:rPr>
          <w:t> </w:t>
        </w:r>
        <w:r>
          <w:rPr/>
          <w:t>of</w:t>
        </w:r>
        <w:r>
          <w:rPr>
            <w:spacing w:val="-7"/>
          </w:rPr>
          <w:t> </w:t>
        </w:r>
        <w:r>
          <w:rPr/>
          <w:t>the</w:t>
        </w:r>
        <w:r>
          <w:rPr>
            <w:spacing w:val="-6"/>
          </w:rPr>
          <w:t> </w:t>
        </w:r>
        <w:r>
          <w:rPr/>
          <w:t>site-level</w:t>
        </w:r>
        <w:r>
          <w:rPr>
            <w:spacing w:val="-8"/>
          </w:rPr>
          <w:t> </w:t>
        </w:r>
        <w:r>
          <w:rPr/>
          <w:t>covariates</w:t>
        </w:r>
        <w:r>
          <w:rPr>
            <w:spacing w:val="-7"/>
          </w:rPr>
          <w:t> </w:t>
        </w:r>
        <w:r>
          <w:rPr/>
          <w:t>used</w:t>
        </w:r>
        <w:r>
          <w:rPr>
            <w:spacing w:val="-7"/>
          </w:rPr>
          <w:t> </w:t>
        </w:r>
        <w:r>
          <w:rPr/>
          <w:t>in</w:t>
        </w:r>
        <w:r>
          <w:rPr>
            <w:spacing w:val="-8"/>
          </w:rPr>
          <w:t> </w:t>
        </w:r>
        <w:r>
          <w:rPr/>
          <w:t>the</w:t>
        </w:r>
        <w:r>
          <w:rPr>
            <w:spacing w:val="-5"/>
          </w:rPr>
          <w:t> </w:t>
        </w:r>
        <w:r>
          <w:rPr/>
          <w:t>multi-season</w:t>
        </w:r>
        <w:r>
          <w:rPr>
            <w:spacing w:val="-9"/>
          </w:rPr>
          <w:t> </w:t>
        </w:r>
        <w:r>
          <w:rPr/>
          <w:t>occupancy</w:t>
        </w:r>
        <w:r>
          <w:rPr>
            <w:spacing w:val="-6"/>
          </w:rPr>
          <w:t> </w:t>
        </w:r>
        <w:r>
          <w:rPr>
            <w:spacing w:val="-2"/>
          </w:rPr>
          <w:t>models</w:t>
        </w:r>
        <w:r>
          <w:rPr/>
          <w:tab/>
        </w:r>
        <w:r>
          <w:rPr>
            <w:spacing w:val="-10"/>
          </w:rPr>
          <w:t>7</w:t>
        </w:r>
      </w:hyperlink>
    </w:p>
    <w:p>
      <w:pPr>
        <w:pStyle w:val="BodyText"/>
        <w:tabs>
          <w:tab w:pos="10540" w:val="left" w:leader="dot"/>
        </w:tabs>
        <w:spacing w:before="120"/>
        <w:ind w:left="1132"/>
      </w:pPr>
      <w:hyperlink w:history="true" w:anchor="_bookmark12">
        <w:r>
          <w:rPr/>
          <w:t>Table</w:t>
        </w:r>
        <w:r>
          <w:rPr>
            <w:spacing w:val="-5"/>
          </w:rPr>
          <w:t> </w:t>
        </w:r>
        <w:r>
          <w:rPr/>
          <w:t>2.</w:t>
        </w:r>
        <w:r>
          <w:rPr>
            <w:spacing w:val="-5"/>
          </w:rPr>
          <w:t> </w:t>
        </w:r>
        <w:r>
          <w:rPr/>
          <w:t>Summary</w:t>
        </w:r>
        <w:r>
          <w:rPr>
            <w:spacing w:val="-5"/>
          </w:rPr>
          <w:t> </w:t>
        </w:r>
        <w:r>
          <w:rPr/>
          <w:t>of</w:t>
        </w:r>
        <w:r>
          <w:rPr>
            <w:spacing w:val="-4"/>
          </w:rPr>
          <w:t> </w:t>
        </w:r>
        <w:r>
          <w:rPr/>
          <w:t>fox</w:t>
        </w:r>
        <w:r>
          <w:rPr>
            <w:spacing w:val="-6"/>
          </w:rPr>
          <w:t> </w:t>
        </w:r>
        <w:r>
          <w:rPr/>
          <w:t>detections</w:t>
        </w:r>
        <w:r>
          <w:rPr>
            <w:spacing w:val="-6"/>
          </w:rPr>
          <w:t> </w:t>
        </w:r>
        <w:r>
          <w:rPr/>
          <w:t>across</w:t>
        </w:r>
        <w:r>
          <w:rPr>
            <w:spacing w:val="-5"/>
          </w:rPr>
          <w:t> </w:t>
        </w:r>
        <w:r>
          <w:rPr/>
          <w:t>all</w:t>
        </w:r>
        <w:r>
          <w:rPr>
            <w:spacing w:val="-8"/>
          </w:rPr>
          <w:t> </w:t>
        </w:r>
        <w:r>
          <w:rPr/>
          <w:t>years</w:t>
        </w:r>
        <w:r>
          <w:rPr>
            <w:spacing w:val="-5"/>
          </w:rPr>
          <w:t> </w:t>
        </w:r>
        <w:r>
          <w:rPr/>
          <w:t>by</w:t>
        </w:r>
        <w:r>
          <w:rPr>
            <w:spacing w:val="-6"/>
          </w:rPr>
          <w:t> </w:t>
        </w:r>
        <w:r>
          <w:rPr>
            <w:spacing w:val="-2"/>
          </w:rPr>
          <w:t>location</w:t>
        </w:r>
        <w:r>
          <w:rPr/>
          <w:tab/>
        </w:r>
        <w:r>
          <w:rPr>
            <w:spacing w:val="-5"/>
          </w:rPr>
          <w:t>17</w:t>
        </w:r>
      </w:hyperlink>
    </w:p>
    <w:p>
      <w:pPr>
        <w:pStyle w:val="BodyText"/>
        <w:tabs>
          <w:tab w:pos="10540" w:val="left" w:leader="dot"/>
        </w:tabs>
        <w:spacing w:before="120"/>
        <w:ind w:left="1132"/>
      </w:pPr>
      <w:hyperlink w:history="true" w:anchor="_bookmark14">
        <w:r>
          <w:rPr/>
          <w:t>Table</w:t>
        </w:r>
        <w:r>
          <w:rPr>
            <w:spacing w:val="-5"/>
          </w:rPr>
          <w:t> </w:t>
        </w:r>
        <w:r>
          <w:rPr/>
          <w:t>3.</w:t>
        </w:r>
        <w:r>
          <w:rPr>
            <w:spacing w:val="-4"/>
          </w:rPr>
          <w:t> </w:t>
        </w:r>
        <w:r>
          <w:rPr/>
          <w:t>Summary</w:t>
        </w:r>
        <w:r>
          <w:rPr>
            <w:spacing w:val="-4"/>
          </w:rPr>
          <w:t> </w:t>
        </w:r>
        <w:r>
          <w:rPr/>
          <w:t>of</w:t>
        </w:r>
        <w:r>
          <w:rPr>
            <w:spacing w:val="-4"/>
          </w:rPr>
          <w:t> </w:t>
        </w:r>
        <w:r>
          <w:rPr/>
          <w:t>feral</w:t>
        </w:r>
        <w:r>
          <w:rPr>
            <w:spacing w:val="-5"/>
          </w:rPr>
          <w:t> </w:t>
        </w:r>
        <w:r>
          <w:rPr/>
          <w:t>cat</w:t>
        </w:r>
        <w:r>
          <w:rPr>
            <w:spacing w:val="-6"/>
          </w:rPr>
          <w:t> </w:t>
        </w:r>
        <w:r>
          <w:rPr/>
          <w:t>detections</w:t>
        </w:r>
        <w:r>
          <w:rPr>
            <w:spacing w:val="-5"/>
          </w:rPr>
          <w:t> </w:t>
        </w:r>
        <w:r>
          <w:rPr/>
          <w:t>across</w:t>
        </w:r>
        <w:r>
          <w:rPr>
            <w:spacing w:val="-6"/>
          </w:rPr>
          <w:t> </w:t>
        </w:r>
        <w:r>
          <w:rPr/>
          <w:t>all</w:t>
        </w:r>
        <w:r>
          <w:rPr>
            <w:spacing w:val="-5"/>
          </w:rPr>
          <w:t> </w:t>
        </w:r>
        <w:r>
          <w:rPr/>
          <w:t>years</w:t>
        </w:r>
        <w:r>
          <w:rPr>
            <w:spacing w:val="-4"/>
          </w:rPr>
          <w:t> </w:t>
        </w:r>
        <w:r>
          <w:rPr/>
          <w:t>by</w:t>
        </w:r>
        <w:r>
          <w:rPr>
            <w:spacing w:val="-5"/>
          </w:rPr>
          <w:t> </w:t>
        </w:r>
        <w:r>
          <w:rPr>
            <w:spacing w:val="-2"/>
          </w:rPr>
          <w:t>location</w:t>
        </w:r>
        <w:r>
          <w:rPr/>
          <w:tab/>
        </w:r>
        <w:r>
          <w:rPr>
            <w:spacing w:val="-5"/>
          </w:rPr>
          <w:t>18</w:t>
        </w:r>
      </w:hyperlink>
    </w:p>
    <w:p>
      <w:pPr>
        <w:pStyle w:val="Heading2"/>
        <w:spacing w:before="563"/>
        <w:ind w:left="1132"/>
      </w:pPr>
      <w:r>
        <w:rPr>
          <w:color w:val="001F5F"/>
          <w:spacing w:val="-2"/>
        </w:rPr>
        <w:t>Figures</w:t>
      </w:r>
    </w:p>
    <w:p>
      <w:pPr>
        <w:pStyle w:val="BodyText"/>
        <w:tabs>
          <w:tab w:pos="10653" w:val="left" w:leader="dot"/>
        </w:tabs>
        <w:spacing w:before="599"/>
        <w:ind w:left="1132"/>
      </w:pPr>
      <w:hyperlink w:history="true" w:anchor="_bookmark0">
        <w:r>
          <w:rPr/>
          <w:t>Figure</w:t>
        </w:r>
        <w:r>
          <w:rPr>
            <w:spacing w:val="-7"/>
          </w:rPr>
          <w:t> </w:t>
        </w:r>
        <w:r>
          <w:rPr/>
          <w:t>1.</w:t>
        </w:r>
        <w:r>
          <w:rPr>
            <w:spacing w:val="-9"/>
          </w:rPr>
          <w:t> </w:t>
        </w:r>
        <w:r>
          <w:rPr/>
          <w:t>Glenelg</w:t>
        </w:r>
        <w:r>
          <w:rPr>
            <w:spacing w:val="-7"/>
          </w:rPr>
          <w:t> </w:t>
        </w:r>
        <w:r>
          <w:rPr/>
          <w:t>Ark</w:t>
        </w:r>
        <w:r>
          <w:rPr>
            <w:spacing w:val="-8"/>
          </w:rPr>
          <w:t> </w:t>
        </w:r>
        <w:r>
          <w:rPr/>
          <w:t>operational</w:t>
        </w:r>
        <w:r>
          <w:rPr>
            <w:spacing w:val="-10"/>
          </w:rPr>
          <w:t> </w:t>
        </w:r>
        <w:r>
          <w:rPr>
            <w:spacing w:val="-4"/>
          </w:rPr>
          <w:t>areas</w:t>
        </w:r>
        <w:r>
          <w:rPr/>
          <w:tab/>
        </w:r>
        <w:r>
          <w:rPr>
            <w:spacing w:val="-10"/>
          </w:rPr>
          <w:t>5</w:t>
        </w:r>
      </w:hyperlink>
    </w:p>
    <w:p>
      <w:pPr>
        <w:pStyle w:val="BodyText"/>
        <w:tabs>
          <w:tab w:pos="10653" w:val="left" w:leader="dot"/>
        </w:tabs>
        <w:spacing w:before="120"/>
        <w:ind w:left="1853" w:right="1140" w:hanging="721"/>
      </w:pPr>
      <w:hyperlink w:history="true" w:anchor="_bookmark1">
        <w:r>
          <w:rPr/>
          <w:t>Figure 2. Monitoring sites in the ‘fox-control monitoring locations’ (FCMLs; dark-tan areas) and</w:t>
        </w:r>
        <w:r>
          <w:rPr>
            <w:spacing w:val="74"/>
          </w:rPr>
          <w:t> </w:t>
        </w:r>
        <w:r>
          <w:rPr/>
          <w:t>‘no-fox-</w:t>
        </w:r>
      </w:hyperlink>
      <w:hyperlink w:history="true" w:anchor="_bookmark1">
        <w:r>
          <w:rPr/>
          <w:t>control</w:t>
        </w:r>
        <w:r>
          <w:rPr>
            <w:spacing w:val="-9"/>
          </w:rPr>
          <w:t> </w:t>
        </w:r>
        <w:r>
          <w:rPr/>
          <w:t>monitoring</w:t>
        </w:r>
        <w:r>
          <w:rPr>
            <w:spacing w:val="-7"/>
          </w:rPr>
          <w:t> </w:t>
        </w:r>
        <w:r>
          <w:rPr/>
          <w:t>locations’</w:t>
        </w:r>
        <w:r>
          <w:rPr>
            <w:spacing w:val="-10"/>
          </w:rPr>
          <w:t> </w:t>
        </w:r>
        <w:r>
          <w:rPr/>
          <w:t>(NFCMLs;</w:t>
        </w:r>
        <w:r>
          <w:rPr>
            <w:spacing w:val="-7"/>
          </w:rPr>
          <w:t> </w:t>
        </w:r>
        <w:r>
          <w:rPr/>
          <w:t>pale-tan</w:t>
        </w:r>
        <w:r>
          <w:rPr>
            <w:spacing w:val="-9"/>
          </w:rPr>
          <w:t> </w:t>
        </w:r>
        <w:r>
          <w:rPr/>
          <w:t>areas)</w:t>
        </w:r>
        <w:r>
          <w:rPr>
            <w:spacing w:val="-8"/>
          </w:rPr>
          <w:t> </w:t>
        </w:r>
        <w:r>
          <w:rPr/>
          <w:t>are</w:t>
        </w:r>
        <w:r>
          <w:rPr>
            <w:spacing w:val="-9"/>
          </w:rPr>
          <w:t> </w:t>
        </w:r>
        <w:r>
          <w:rPr/>
          <w:t>indicated</w:t>
        </w:r>
        <w:r>
          <w:rPr>
            <w:spacing w:val="-7"/>
          </w:rPr>
          <w:t> </w:t>
        </w:r>
        <w:r>
          <w:rPr/>
          <w:t>by</w:t>
        </w:r>
        <w:r>
          <w:rPr>
            <w:spacing w:val="-8"/>
          </w:rPr>
          <w:t> </w:t>
        </w:r>
        <w:r>
          <w:rPr/>
          <w:t>purple</w:t>
        </w:r>
        <w:r>
          <w:rPr>
            <w:spacing w:val="-8"/>
          </w:rPr>
          <w:t> </w:t>
        </w:r>
        <w:r>
          <w:rPr>
            <w:spacing w:val="-4"/>
          </w:rPr>
          <w:t>dots</w:t>
        </w:r>
        <w:r>
          <w:rPr/>
          <w:tab/>
        </w:r>
        <w:r>
          <w:rPr>
            <w:spacing w:val="-10"/>
          </w:rPr>
          <w:t>6</w:t>
        </w:r>
      </w:hyperlink>
    </w:p>
    <w:p>
      <w:pPr>
        <w:pStyle w:val="BodyText"/>
        <w:tabs>
          <w:tab w:pos="10653" w:val="left" w:leader="dot"/>
        </w:tabs>
        <w:spacing w:before="121"/>
        <w:ind w:left="1132"/>
      </w:pPr>
      <w:hyperlink w:history="true" w:anchor="_bookmark3">
        <w:r>
          <w:rPr/>
          <w:t>Figure</w:t>
        </w:r>
        <w:r>
          <w:rPr>
            <w:spacing w:val="-5"/>
          </w:rPr>
          <w:t> </w:t>
        </w:r>
        <w:r>
          <w:rPr/>
          <w:t>3.</w:t>
        </w:r>
        <w:r>
          <w:rPr>
            <w:spacing w:val="-7"/>
          </w:rPr>
          <w:t> </w:t>
        </w:r>
        <w:r>
          <w:rPr/>
          <w:t>Occupancy</w:t>
        </w:r>
        <w:r>
          <w:rPr>
            <w:spacing w:val="-6"/>
          </w:rPr>
          <w:t> </w:t>
        </w:r>
        <w:r>
          <w:rPr/>
          <w:t>rates</w:t>
        </w:r>
        <w:r>
          <w:rPr>
            <w:spacing w:val="-4"/>
          </w:rPr>
          <w:t> </w:t>
        </w:r>
        <w:r>
          <w:rPr/>
          <w:t>for</w:t>
        </w:r>
        <w:r>
          <w:rPr>
            <w:spacing w:val="-7"/>
          </w:rPr>
          <w:t> </w:t>
        </w:r>
        <w:r>
          <w:rPr/>
          <w:t>the</w:t>
        </w:r>
        <w:r>
          <w:rPr>
            <w:spacing w:val="-6"/>
          </w:rPr>
          <w:t> </w:t>
        </w:r>
        <w:r>
          <w:rPr/>
          <w:t>Common</w:t>
        </w:r>
        <w:r>
          <w:rPr>
            <w:spacing w:val="-5"/>
          </w:rPr>
          <w:t> </w:t>
        </w:r>
        <w:r>
          <w:rPr/>
          <w:t>Brushtail</w:t>
        </w:r>
        <w:r>
          <w:rPr>
            <w:spacing w:val="-6"/>
          </w:rPr>
          <w:t> </w:t>
        </w:r>
        <w:r>
          <w:rPr/>
          <w:t>Possum</w:t>
        </w:r>
        <w:r>
          <w:rPr>
            <w:spacing w:val="-5"/>
          </w:rPr>
          <w:t> </w:t>
        </w:r>
        <w:r>
          <w:rPr/>
          <w:t>over</w:t>
        </w:r>
        <w:r>
          <w:rPr>
            <w:spacing w:val="-7"/>
          </w:rPr>
          <w:t> </w:t>
        </w:r>
        <w:r>
          <w:rPr/>
          <w:t>time</w:t>
        </w:r>
        <w:r>
          <w:rPr>
            <w:spacing w:val="-6"/>
          </w:rPr>
          <w:t> </w:t>
        </w:r>
        <w:r>
          <w:rPr/>
          <w:t>by</w:t>
        </w:r>
        <w:r>
          <w:rPr>
            <w:spacing w:val="-6"/>
          </w:rPr>
          <w:t> </w:t>
        </w:r>
        <w:r>
          <w:rPr/>
          <w:t>fox</w:t>
        </w:r>
        <w:r>
          <w:rPr>
            <w:spacing w:val="-6"/>
          </w:rPr>
          <w:t> </w:t>
        </w:r>
        <w:r>
          <w:rPr/>
          <w:t>control</w:t>
        </w:r>
        <w:r>
          <w:rPr>
            <w:spacing w:val="-6"/>
          </w:rPr>
          <w:t> </w:t>
        </w:r>
        <w:r>
          <w:rPr>
            <w:spacing w:val="-2"/>
          </w:rPr>
          <w:t>status</w:t>
        </w:r>
        <w:r>
          <w:rPr/>
          <w:tab/>
        </w:r>
        <w:r>
          <w:rPr>
            <w:spacing w:val="-10"/>
          </w:rPr>
          <w:t>9</w:t>
        </w:r>
      </w:hyperlink>
    </w:p>
    <w:p>
      <w:pPr>
        <w:pStyle w:val="BodyText"/>
        <w:tabs>
          <w:tab w:pos="10540" w:val="left" w:leader="dot"/>
        </w:tabs>
        <w:spacing w:before="119"/>
        <w:ind w:left="1853" w:right="1143" w:hanging="721"/>
      </w:pPr>
      <w:hyperlink w:history="true" w:anchor="_bookmark4">
        <w:r>
          <w:rPr/>
          <w:t>Figure 4. Estimated</w:t>
        </w:r>
        <w:r>
          <w:rPr>
            <w:spacing w:val="-1"/>
          </w:rPr>
          <w:t> </w:t>
        </w:r>
        <w:r>
          <w:rPr/>
          <w:t>site survival</w:t>
        </w:r>
        <w:r>
          <w:rPr>
            <w:spacing w:val="-2"/>
          </w:rPr>
          <w:t> </w:t>
        </w:r>
        <w:r>
          <w:rPr/>
          <w:t>rates for</w:t>
        </w:r>
        <w:r>
          <w:rPr>
            <w:spacing w:val="-1"/>
          </w:rPr>
          <w:t> </w:t>
        </w:r>
        <w:r>
          <w:rPr/>
          <w:t>the</w:t>
        </w:r>
        <w:r>
          <w:rPr>
            <w:spacing w:val="-1"/>
          </w:rPr>
          <w:t> </w:t>
        </w:r>
        <w:r>
          <w:rPr/>
          <w:t>Common Brushtail Possum in relation</w:t>
        </w:r>
        <w:r>
          <w:rPr>
            <w:spacing w:val="-1"/>
          </w:rPr>
          <w:t> </w:t>
        </w:r>
        <w:r>
          <w:rPr/>
          <w:t>to distance</w:t>
        </w:r>
        <w:r>
          <w:rPr>
            <w:spacing w:val="-1"/>
          </w:rPr>
          <w:t> </w:t>
        </w:r>
        <w:r>
          <w:rPr/>
          <w:t>to non-native</w:t>
        </w:r>
      </w:hyperlink>
      <w:r>
        <w:rPr/>
        <w:t> </w:t>
      </w:r>
      <w:hyperlink w:history="true" w:anchor="_bookmark4">
        <w:r>
          <w:rPr/>
          <w:t>vegetation, terrain ruggedness, ecological vegetation division, and elevation given all other</w:t>
        </w:r>
      </w:hyperlink>
      <w:r>
        <w:rPr/>
        <w:t> </w:t>
      </w:r>
      <w:hyperlink w:history="true" w:anchor="_bookmark4">
        <w:r>
          <w:rPr/>
          <w:t>covariates were held at their mean values</w:t>
        </w:r>
        <w:r>
          <w:rPr/>
          <w:tab/>
        </w:r>
        <w:r>
          <w:rPr>
            <w:spacing w:val="-6"/>
          </w:rPr>
          <w:t>10</w:t>
        </w:r>
      </w:hyperlink>
    </w:p>
    <w:p>
      <w:pPr>
        <w:pStyle w:val="BodyText"/>
        <w:tabs>
          <w:tab w:pos="10540" w:val="left" w:leader="dot"/>
        </w:tabs>
        <w:spacing w:before="121"/>
        <w:ind w:left="1853" w:right="1143" w:hanging="721"/>
      </w:pPr>
      <w:hyperlink w:history="true" w:anchor="_bookmark5">
        <w:r>
          <w:rPr/>
          <w:t>Figure 5. Estimated site colonisation rates for the Common Brushtail Possum in relation to ecological</w:t>
        </w:r>
      </w:hyperlink>
      <w:r>
        <w:rPr/>
        <w:t> </w:t>
      </w:r>
      <w:hyperlink w:history="true" w:anchor="_bookmark5">
        <w:r>
          <w:rPr/>
          <w:t>vegetation division, given all other covariates were held at their mean values</w:t>
        </w:r>
        <w:r>
          <w:rPr/>
          <w:tab/>
        </w:r>
        <w:r>
          <w:rPr>
            <w:spacing w:val="-6"/>
          </w:rPr>
          <w:t>11</w:t>
        </w:r>
      </w:hyperlink>
    </w:p>
    <w:p>
      <w:pPr>
        <w:pStyle w:val="BodyText"/>
        <w:tabs>
          <w:tab w:pos="10540" w:val="left" w:leader="dot"/>
        </w:tabs>
        <w:spacing w:before="118"/>
        <w:ind w:left="1853" w:right="1143" w:hanging="721"/>
      </w:pPr>
      <w:hyperlink w:history="true" w:anchor="_bookmark6">
        <w:r>
          <w:rPr/>
          <w:t>Figure 6. Occupancy rates for the Long-nosed Potoroo over time by fox control status and the difference in</w:t>
        </w:r>
      </w:hyperlink>
      <w:r>
        <w:rPr/>
        <w:t> </w:t>
      </w:r>
      <w:hyperlink w:history="true" w:anchor="_bookmark6">
        <w:r>
          <w:rPr/>
          <w:t>that</w:t>
        </w:r>
        <w:r>
          <w:rPr>
            <w:spacing w:val="-6"/>
          </w:rPr>
          <w:t> </w:t>
        </w:r>
        <w:r>
          <w:rPr>
            <w:spacing w:val="-2"/>
          </w:rPr>
          <w:t>occupancy</w:t>
        </w:r>
        <w:r>
          <w:rPr/>
          <w:tab/>
        </w:r>
        <w:r>
          <w:rPr>
            <w:spacing w:val="-5"/>
          </w:rPr>
          <w:t>12</w:t>
        </w:r>
      </w:hyperlink>
    </w:p>
    <w:p>
      <w:pPr>
        <w:pStyle w:val="BodyText"/>
        <w:tabs>
          <w:tab w:pos="10540" w:val="left" w:leader="dot"/>
        </w:tabs>
        <w:spacing w:before="121"/>
        <w:ind w:left="1853" w:right="1143" w:hanging="721"/>
      </w:pPr>
      <w:hyperlink w:history="true" w:anchor="_bookmark7">
        <w:r>
          <w:rPr/>
          <w:t>Figure 7. Estimated site survival</w:t>
        </w:r>
        <w:r>
          <w:rPr>
            <w:spacing w:val="-1"/>
          </w:rPr>
          <w:t> </w:t>
        </w:r>
        <w:r>
          <w:rPr/>
          <w:t>rates for the Long-nosed</w:t>
        </w:r>
        <w:r>
          <w:rPr>
            <w:spacing w:val="-1"/>
          </w:rPr>
          <w:t> </w:t>
        </w:r>
        <w:r>
          <w:rPr/>
          <w:t>Potoroo in relation to</w:t>
        </w:r>
        <w:r>
          <w:rPr>
            <w:spacing w:val="-1"/>
          </w:rPr>
          <w:t> </w:t>
        </w:r>
        <w:r>
          <w:rPr/>
          <w:t>distance to nearest water, by</w:t>
        </w:r>
      </w:hyperlink>
      <w:r>
        <w:rPr/>
        <w:t> </w:t>
      </w:r>
      <w:hyperlink w:history="true" w:anchor="_bookmark7">
        <w:r>
          <w:rPr/>
          <w:t>fox-control status, and topographical wetness index, given all other covariates were held at their</w:t>
        </w:r>
      </w:hyperlink>
      <w:r>
        <w:rPr/>
        <w:t> </w:t>
      </w:r>
      <w:hyperlink w:history="true" w:anchor="_bookmark7">
        <w:r>
          <w:rPr/>
          <w:t>mean values</w:t>
        </w:r>
        <w:r>
          <w:rPr/>
          <w:tab/>
        </w:r>
        <w:r>
          <w:rPr>
            <w:spacing w:val="-6"/>
          </w:rPr>
          <w:t>13</w:t>
        </w:r>
      </w:hyperlink>
    </w:p>
    <w:p>
      <w:pPr>
        <w:pStyle w:val="BodyText"/>
        <w:tabs>
          <w:tab w:pos="10540" w:val="left" w:leader="dot"/>
        </w:tabs>
        <w:spacing w:before="122"/>
        <w:ind w:left="1853" w:right="1143" w:hanging="721"/>
      </w:pPr>
      <w:hyperlink w:history="true" w:anchor="_bookmark8">
        <w:r>
          <w:rPr/>
          <w:t>Figure 8. Estimated site colonisation rates for the Long-nosed Potoroos in relation to vegetation group and</w:t>
        </w:r>
      </w:hyperlink>
      <w:r>
        <w:rPr/>
        <w:t> </w:t>
      </w:r>
      <w:hyperlink w:history="true" w:anchor="_bookmark8">
        <w:r>
          <w:rPr/>
          <w:t>elevation, by fox-control status, given all other covariates were held at their mean values. The lines</w:t>
        </w:r>
      </w:hyperlink>
      <w:r>
        <w:rPr/>
        <w:t> </w:t>
      </w:r>
      <w:hyperlink w:history="true" w:anchor="_bookmark8">
        <w:r>
          <w:rPr/>
          <w:t>(blue – fox control, red – no fox control) indicate the median fitted values, and the shaded areas</w:t>
        </w:r>
      </w:hyperlink>
      <w:r>
        <w:rPr/>
        <w:t> </w:t>
      </w:r>
      <w:hyperlink w:history="true" w:anchor="_bookmark8">
        <w:r>
          <w:rPr/>
          <w:t>represent</w:t>
        </w:r>
        <w:r>
          <w:rPr>
            <w:spacing w:val="-9"/>
          </w:rPr>
          <w:t> </w:t>
        </w:r>
        <w:r>
          <w:rPr/>
          <w:t>the</w:t>
        </w:r>
        <w:r>
          <w:rPr>
            <w:spacing w:val="-7"/>
          </w:rPr>
          <w:t> </w:t>
        </w:r>
        <w:r>
          <w:rPr/>
          <w:t>95%</w:t>
        </w:r>
        <w:r>
          <w:rPr>
            <w:spacing w:val="-8"/>
          </w:rPr>
          <w:t> </w:t>
        </w:r>
        <w:r>
          <w:rPr/>
          <w:t>credible</w:t>
        </w:r>
        <w:r>
          <w:rPr>
            <w:spacing w:val="-7"/>
          </w:rPr>
          <w:t> </w:t>
        </w:r>
        <w:r>
          <w:rPr>
            <w:spacing w:val="-2"/>
          </w:rPr>
          <w:t>intervals</w:t>
        </w:r>
        <w:r>
          <w:rPr/>
          <w:tab/>
        </w:r>
        <w:r>
          <w:rPr>
            <w:spacing w:val="-5"/>
          </w:rPr>
          <w:t>13</w:t>
        </w:r>
      </w:hyperlink>
    </w:p>
    <w:p>
      <w:pPr>
        <w:pStyle w:val="BodyText"/>
        <w:tabs>
          <w:tab w:pos="10540" w:val="left" w:leader="dot"/>
        </w:tabs>
        <w:spacing w:before="119"/>
        <w:ind w:left="1132"/>
      </w:pPr>
      <w:hyperlink w:history="true" w:anchor="_bookmark9">
        <w:r>
          <w:rPr/>
          <w:t>Figure</w:t>
        </w:r>
        <w:r>
          <w:rPr>
            <w:spacing w:val="-6"/>
          </w:rPr>
          <w:t> </w:t>
        </w:r>
        <w:r>
          <w:rPr/>
          <w:t>9.</w:t>
        </w:r>
        <w:r>
          <w:rPr>
            <w:spacing w:val="-7"/>
          </w:rPr>
          <w:t> </w:t>
        </w:r>
        <w:r>
          <w:rPr/>
          <w:t>Occupancy</w:t>
        </w:r>
        <w:r>
          <w:rPr>
            <w:spacing w:val="-6"/>
          </w:rPr>
          <w:t> </w:t>
        </w:r>
        <w:r>
          <w:rPr/>
          <w:t>rates</w:t>
        </w:r>
        <w:r>
          <w:rPr>
            <w:spacing w:val="-5"/>
          </w:rPr>
          <w:t> </w:t>
        </w:r>
        <w:r>
          <w:rPr/>
          <w:t>for</w:t>
        </w:r>
        <w:r>
          <w:rPr>
            <w:spacing w:val="-7"/>
          </w:rPr>
          <w:t> </w:t>
        </w:r>
        <w:r>
          <w:rPr/>
          <w:t>the</w:t>
        </w:r>
        <w:r>
          <w:rPr>
            <w:spacing w:val="-6"/>
          </w:rPr>
          <w:t> </w:t>
        </w:r>
        <w:r>
          <w:rPr/>
          <w:t>Southern</w:t>
        </w:r>
        <w:r>
          <w:rPr>
            <w:spacing w:val="-7"/>
          </w:rPr>
          <w:t> </w:t>
        </w:r>
        <w:r>
          <w:rPr/>
          <w:t>Brown</w:t>
        </w:r>
        <w:r>
          <w:rPr>
            <w:spacing w:val="-6"/>
          </w:rPr>
          <w:t> </w:t>
        </w:r>
        <w:r>
          <w:rPr/>
          <w:t>Bandicoot</w:t>
        </w:r>
        <w:r>
          <w:rPr>
            <w:spacing w:val="-7"/>
          </w:rPr>
          <w:t> </w:t>
        </w:r>
        <w:r>
          <w:rPr/>
          <w:t>over</w:t>
        </w:r>
        <w:r>
          <w:rPr>
            <w:spacing w:val="-7"/>
          </w:rPr>
          <w:t> </w:t>
        </w:r>
        <w:r>
          <w:rPr/>
          <w:t>time</w:t>
        </w:r>
        <w:r>
          <w:rPr>
            <w:spacing w:val="-7"/>
          </w:rPr>
          <w:t> </w:t>
        </w:r>
        <w:r>
          <w:rPr/>
          <w:t>by</w:t>
        </w:r>
        <w:r>
          <w:rPr>
            <w:spacing w:val="-6"/>
          </w:rPr>
          <w:t> </w:t>
        </w:r>
        <w:r>
          <w:rPr/>
          <w:t>fox</w:t>
        </w:r>
        <w:r>
          <w:rPr>
            <w:spacing w:val="-7"/>
          </w:rPr>
          <w:t> </w:t>
        </w:r>
        <w:r>
          <w:rPr/>
          <w:t>control</w:t>
        </w:r>
        <w:r>
          <w:rPr>
            <w:spacing w:val="-8"/>
          </w:rPr>
          <w:t> </w:t>
        </w:r>
        <w:r>
          <w:rPr>
            <w:spacing w:val="-2"/>
          </w:rPr>
          <w:t>status</w:t>
        </w:r>
        <w:r>
          <w:rPr/>
          <w:tab/>
        </w:r>
        <w:r>
          <w:rPr>
            <w:spacing w:val="-5"/>
          </w:rPr>
          <w:t>14</w:t>
        </w:r>
      </w:hyperlink>
    </w:p>
    <w:p>
      <w:pPr>
        <w:pStyle w:val="BodyText"/>
        <w:tabs>
          <w:tab w:pos="10540" w:val="left" w:leader="dot"/>
        </w:tabs>
        <w:spacing w:before="120"/>
        <w:ind w:left="1853" w:right="1143" w:hanging="721"/>
      </w:pPr>
      <w:hyperlink w:history="true" w:anchor="_bookmark10">
        <w:r>
          <w:rPr/>
          <w:t>Figure 10. Site survival rate for the Southern Brown Bandicoot across different times-since-fire, distances to</w:t>
        </w:r>
      </w:hyperlink>
      <w:r>
        <w:rPr/>
        <w:t> </w:t>
      </w:r>
      <w:hyperlink w:history="true" w:anchor="_bookmark10">
        <w:r>
          <w:rPr/>
          <w:t>nearest water and elevations separated by fox control status, given all other covariates were</w:t>
        </w:r>
      </w:hyperlink>
      <w:r>
        <w:rPr/>
        <w:t> </w:t>
      </w:r>
      <w:hyperlink w:history="true" w:anchor="_bookmark10">
        <w:r>
          <w:rPr>
            <w:spacing w:val="-2"/>
          </w:rPr>
          <w:t>average.</w:t>
        </w:r>
        <w:r>
          <w:rPr/>
          <w:tab/>
        </w:r>
        <w:r>
          <w:rPr>
            <w:spacing w:val="-6"/>
          </w:rPr>
          <w:t>15</w:t>
        </w:r>
      </w:hyperlink>
    </w:p>
    <w:p>
      <w:pPr>
        <w:pStyle w:val="BodyText"/>
        <w:tabs>
          <w:tab w:pos="10540" w:val="left" w:leader="dot"/>
        </w:tabs>
        <w:spacing w:before="119"/>
        <w:ind w:left="1853" w:right="1143" w:hanging="721"/>
      </w:pPr>
      <w:hyperlink w:history="true" w:anchor="_bookmark11">
        <w:r>
          <w:rPr/>
          <w:t>Figure 11. Estimated local colonisation rate for the Southern Brown Bandicoot related to distance to non-</w:t>
        </w:r>
      </w:hyperlink>
      <w:hyperlink w:history="true" w:anchor="_bookmark11">
        <w:r>
          <w:rPr/>
          <w:t>native</w:t>
        </w:r>
        <w:r>
          <w:rPr>
            <w:spacing w:val="-6"/>
          </w:rPr>
          <w:t> </w:t>
        </w:r>
        <w:r>
          <w:rPr/>
          <w:t>vegetation</w:t>
        </w:r>
        <w:r>
          <w:rPr>
            <w:spacing w:val="-7"/>
          </w:rPr>
          <w:t> </w:t>
        </w:r>
        <w:r>
          <w:rPr/>
          <w:t>and</w:t>
        </w:r>
        <w:r>
          <w:rPr>
            <w:spacing w:val="-6"/>
          </w:rPr>
          <w:t> </w:t>
        </w:r>
        <w:r>
          <w:rPr/>
          <w:t>time</w:t>
        </w:r>
        <w:r>
          <w:rPr>
            <w:spacing w:val="-6"/>
          </w:rPr>
          <w:t> </w:t>
        </w:r>
        <w:r>
          <w:rPr/>
          <w:t>since</w:t>
        </w:r>
        <w:r>
          <w:rPr>
            <w:spacing w:val="-8"/>
          </w:rPr>
          <w:t> </w:t>
        </w:r>
        <w:r>
          <w:rPr/>
          <w:t>last</w:t>
        </w:r>
        <w:r>
          <w:rPr>
            <w:spacing w:val="-8"/>
          </w:rPr>
          <w:t> </w:t>
        </w:r>
        <w:r>
          <w:rPr/>
          <w:t>fire,</w:t>
        </w:r>
        <w:r>
          <w:rPr>
            <w:spacing w:val="-6"/>
          </w:rPr>
          <w:t> </w:t>
        </w:r>
        <w:r>
          <w:rPr/>
          <w:t>separated</w:t>
        </w:r>
        <w:r>
          <w:rPr>
            <w:spacing w:val="-7"/>
          </w:rPr>
          <w:t> </w:t>
        </w:r>
        <w:r>
          <w:rPr/>
          <w:t>by</w:t>
        </w:r>
        <w:r>
          <w:rPr>
            <w:spacing w:val="-6"/>
          </w:rPr>
          <w:t> </w:t>
        </w:r>
        <w:r>
          <w:rPr/>
          <w:t>fox</w:t>
        </w:r>
        <w:r>
          <w:rPr>
            <w:spacing w:val="-7"/>
          </w:rPr>
          <w:t> </w:t>
        </w:r>
        <w:r>
          <w:rPr/>
          <w:t>control</w:t>
        </w:r>
        <w:r>
          <w:rPr>
            <w:spacing w:val="-9"/>
          </w:rPr>
          <w:t> </w:t>
        </w:r>
        <w:r>
          <w:rPr>
            <w:spacing w:val="-2"/>
          </w:rPr>
          <w:t>status</w:t>
        </w:r>
        <w:r>
          <w:rPr/>
          <w:tab/>
        </w:r>
        <w:r>
          <w:rPr>
            <w:spacing w:val="-5"/>
          </w:rPr>
          <w:t>16</w:t>
        </w:r>
      </w:hyperlink>
    </w:p>
    <w:p>
      <w:pPr>
        <w:pStyle w:val="BodyText"/>
        <w:tabs>
          <w:tab w:pos="10540" w:val="left" w:leader="dot"/>
        </w:tabs>
        <w:spacing w:before="121"/>
        <w:ind w:left="1132"/>
      </w:pPr>
      <w:hyperlink w:history="true" w:anchor="_bookmark13">
        <w:r>
          <w:rPr/>
          <w:t>Figure</w:t>
        </w:r>
        <w:r>
          <w:rPr>
            <w:spacing w:val="-5"/>
          </w:rPr>
          <w:t> </w:t>
        </w:r>
        <w:r>
          <w:rPr/>
          <w:t>12.</w:t>
        </w:r>
        <w:r>
          <w:rPr>
            <w:spacing w:val="-6"/>
          </w:rPr>
          <w:t> </w:t>
        </w:r>
        <w:r>
          <w:rPr/>
          <w:t>The</w:t>
        </w:r>
        <w:r>
          <w:rPr>
            <w:spacing w:val="-6"/>
          </w:rPr>
          <w:t> </w:t>
        </w:r>
        <w:r>
          <w:rPr/>
          <w:t>modelled</w:t>
        </w:r>
        <w:r>
          <w:rPr>
            <w:spacing w:val="-5"/>
          </w:rPr>
          <w:t> </w:t>
        </w:r>
        <w:r>
          <w:rPr/>
          <w:t>fox</w:t>
        </w:r>
        <w:r>
          <w:rPr>
            <w:spacing w:val="-5"/>
          </w:rPr>
          <w:t> </w:t>
        </w:r>
        <w:r>
          <w:rPr/>
          <w:t>activity</w:t>
        </w:r>
        <w:r>
          <w:rPr>
            <w:spacing w:val="-5"/>
          </w:rPr>
          <w:t> </w:t>
        </w:r>
        <w:r>
          <w:rPr/>
          <w:t>index</w:t>
        </w:r>
        <w:r>
          <w:rPr>
            <w:spacing w:val="-4"/>
          </w:rPr>
          <w:t> </w:t>
        </w:r>
        <w:r>
          <w:rPr/>
          <w:t>in</w:t>
        </w:r>
        <w:r>
          <w:rPr>
            <w:spacing w:val="-7"/>
          </w:rPr>
          <w:t> </w:t>
        </w:r>
        <w:r>
          <w:rPr/>
          <w:t>each</w:t>
        </w:r>
        <w:r>
          <w:rPr>
            <w:spacing w:val="-6"/>
          </w:rPr>
          <w:t> </w:t>
        </w:r>
        <w:r>
          <w:rPr/>
          <w:t>FCML</w:t>
        </w:r>
        <w:r>
          <w:rPr>
            <w:spacing w:val="-6"/>
          </w:rPr>
          <w:t> </w:t>
        </w:r>
        <w:r>
          <w:rPr/>
          <w:t>and</w:t>
        </w:r>
        <w:r>
          <w:rPr>
            <w:spacing w:val="-8"/>
          </w:rPr>
          <w:t> </w:t>
        </w:r>
        <w:r>
          <w:rPr/>
          <w:t>NFCML</w:t>
        </w:r>
        <w:r>
          <w:rPr>
            <w:spacing w:val="-4"/>
          </w:rPr>
          <w:t> </w:t>
        </w:r>
        <w:r>
          <w:rPr/>
          <w:t>over</w:t>
        </w:r>
        <w:r>
          <w:rPr>
            <w:spacing w:val="-7"/>
          </w:rPr>
          <w:t> </w:t>
        </w:r>
        <w:r>
          <w:rPr>
            <w:spacing w:val="-4"/>
          </w:rPr>
          <w:t>time</w:t>
        </w:r>
        <w:r>
          <w:rPr/>
          <w:tab/>
        </w:r>
        <w:r>
          <w:rPr>
            <w:spacing w:val="-5"/>
          </w:rPr>
          <w:t>17</w:t>
        </w:r>
      </w:hyperlink>
    </w:p>
    <w:p>
      <w:pPr>
        <w:pStyle w:val="BodyText"/>
        <w:tabs>
          <w:tab w:pos="10540" w:val="left" w:leader="dot"/>
        </w:tabs>
        <w:spacing w:before="121"/>
        <w:ind w:left="1132"/>
      </w:pPr>
      <w:hyperlink w:history="true" w:anchor="_bookmark15">
        <w:r>
          <w:rPr/>
          <w:t>Figure</w:t>
        </w:r>
        <w:r>
          <w:rPr>
            <w:spacing w:val="-5"/>
          </w:rPr>
          <w:t> </w:t>
        </w:r>
        <w:r>
          <w:rPr/>
          <w:t>13.</w:t>
        </w:r>
        <w:r>
          <w:rPr>
            <w:spacing w:val="-7"/>
          </w:rPr>
          <w:t> </w:t>
        </w:r>
        <w:r>
          <w:rPr/>
          <w:t>The</w:t>
        </w:r>
        <w:r>
          <w:rPr>
            <w:spacing w:val="-5"/>
          </w:rPr>
          <w:t> </w:t>
        </w:r>
        <w:r>
          <w:rPr/>
          <w:t>modelled</w:t>
        </w:r>
        <w:r>
          <w:rPr>
            <w:spacing w:val="-5"/>
          </w:rPr>
          <w:t> </w:t>
        </w:r>
        <w:r>
          <w:rPr/>
          <w:t>feral</w:t>
        </w:r>
        <w:r>
          <w:rPr>
            <w:spacing w:val="-8"/>
          </w:rPr>
          <w:t> </w:t>
        </w:r>
        <w:r>
          <w:rPr/>
          <w:t>cat</w:t>
        </w:r>
        <w:r>
          <w:rPr>
            <w:spacing w:val="-6"/>
          </w:rPr>
          <w:t> </w:t>
        </w:r>
        <w:r>
          <w:rPr/>
          <w:t>activity</w:t>
        </w:r>
        <w:r>
          <w:rPr>
            <w:spacing w:val="-6"/>
          </w:rPr>
          <w:t> </w:t>
        </w:r>
        <w:r>
          <w:rPr/>
          <w:t>index</w:t>
        </w:r>
        <w:r>
          <w:rPr>
            <w:spacing w:val="-6"/>
          </w:rPr>
          <w:t> </w:t>
        </w:r>
        <w:r>
          <w:rPr/>
          <w:t>at</w:t>
        </w:r>
        <w:r>
          <w:rPr>
            <w:spacing w:val="-6"/>
          </w:rPr>
          <w:t> </w:t>
        </w:r>
        <w:r>
          <w:rPr/>
          <w:t>each</w:t>
        </w:r>
        <w:r>
          <w:rPr>
            <w:spacing w:val="-7"/>
          </w:rPr>
          <w:t> </w:t>
        </w:r>
        <w:r>
          <w:rPr/>
          <w:t>location</w:t>
        </w:r>
        <w:r>
          <w:rPr>
            <w:spacing w:val="-6"/>
          </w:rPr>
          <w:t> </w:t>
        </w:r>
        <w:r>
          <w:rPr/>
          <w:t>over</w:t>
        </w:r>
        <w:r>
          <w:rPr>
            <w:spacing w:val="-7"/>
          </w:rPr>
          <w:t> </w:t>
        </w:r>
        <w:r>
          <w:rPr>
            <w:spacing w:val="-2"/>
          </w:rPr>
          <w:t>time.</w:t>
        </w:r>
        <w:r>
          <w:rPr/>
          <w:tab/>
        </w:r>
        <w:r>
          <w:rPr>
            <w:spacing w:val="-5"/>
          </w:rPr>
          <w:t>19</w:t>
        </w:r>
      </w:hyperlink>
    </w:p>
    <w:p>
      <w:pPr>
        <w:pStyle w:val="BodyText"/>
        <w:spacing w:after="0"/>
        <w:sectPr>
          <w:footerReference w:type="default" r:id="rId24"/>
          <w:pgSz w:w="11910" w:h="16850"/>
          <w:pgMar w:header="0" w:footer="688" w:top="1160" w:bottom="880" w:left="0" w:right="0"/>
        </w:sectPr>
      </w:pPr>
    </w:p>
    <w:p>
      <w:pPr>
        <w:pStyle w:val="Heading2"/>
        <w:spacing w:before="65"/>
        <w:ind w:left="1132"/>
      </w:pPr>
      <w:bookmarkStart w:name="_TOC_250019" w:id="2"/>
      <w:bookmarkEnd w:id="2"/>
      <w:r>
        <w:rPr>
          <w:color w:val="001F5F"/>
          <w:spacing w:val="-2"/>
        </w:rPr>
        <w:t>Summary</w:t>
      </w:r>
    </w:p>
    <w:p>
      <w:pPr>
        <w:pStyle w:val="BodyText"/>
        <w:spacing w:before="232"/>
        <w:rPr>
          <w:b/>
          <w:sz w:val="32"/>
        </w:rPr>
      </w:pPr>
    </w:p>
    <w:p>
      <w:pPr>
        <w:pStyle w:val="Heading3"/>
      </w:pPr>
      <w:r>
        <w:rPr>
          <w:spacing w:val="-2"/>
        </w:rPr>
        <w:t>Context:</w:t>
      </w:r>
    </w:p>
    <w:p>
      <w:pPr>
        <w:pStyle w:val="BodyText"/>
        <w:spacing w:before="120"/>
        <w:ind w:left="1132" w:right="1140"/>
      </w:pPr>
      <w:r>
        <w:rPr/>
        <w:t>Launched in 2005, the Glenelg Ark project aims to support the recovery of specific native mammal species threatened by Red Fox (</w:t>
      </w:r>
      <w:r>
        <w:rPr>
          <w:i/>
        </w:rPr>
        <w:t>Vulpes vulpes</w:t>
      </w:r>
      <w:r>
        <w:rPr/>
        <w:t>) predation. That year, continuous landscape-scale fox baiting was implemented across 90,000 ha of state forest and national park in south-western Victoria. Three native mammal</w:t>
      </w:r>
      <w:r>
        <w:rPr>
          <w:spacing w:val="-3"/>
        </w:rPr>
        <w:t> </w:t>
      </w:r>
      <w:r>
        <w:rPr/>
        <w:t>species,</w:t>
      </w:r>
      <w:r>
        <w:rPr>
          <w:spacing w:val="-4"/>
        </w:rPr>
        <w:t> </w:t>
      </w:r>
      <w:r>
        <w:rPr/>
        <w:t>identified</w:t>
      </w:r>
      <w:r>
        <w:rPr>
          <w:spacing w:val="-2"/>
        </w:rPr>
        <w:t> </w:t>
      </w:r>
      <w:r>
        <w:rPr/>
        <w:t>as</w:t>
      </w:r>
      <w:r>
        <w:rPr>
          <w:spacing w:val="-3"/>
        </w:rPr>
        <w:t> </w:t>
      </w:r>
      <w:r>
        <w:rPr/>
        <w:t>vulnerable to</w:t>
      </w:r>
      <w:r>
        <w:rPr>
          <w:spacing w:val="-4"/>
        </w:rPr>
        <w:t> </w:t>
      </w:r>
      <w:r>
        <w:rPr/>
        <w:t>fox</w:t>
      </w:r>
      <w:r>
        <w:rPr>
          <w:spacing w:val="-3"/>
        </w:rPr>
        <w:t> </w:t>
      </w:r>
      <w:r>
        <w:rPr/>
        <w:t>predation</w:t>
      </w:r>
      <w:r>
        <w:rPr>
          <w:spacing w:val="-1"/>
        </w:rPr>
        <w:t> </w:t>
      </w:r>
      <w:r>
        <w:rPr/>
        <w:t>due</w:t>
      </w:r>
      <w:r>
        <w:rPr>
          <w:spacing w:val="-2"/>
        </w:rPr>
        <w:t> </w:t>
      </w:r>
      <w:r>
        <w:rPr/>
        <w:t>to</w:t>
      </w:r>
      <w:r>
        <w:rPr>
          <w:spacing w:val="-5"/>
        </w:rPr>
        <w:t> </w:t>
      </w:r>
      <w:r>
        <w:rPr/>
        <w:t>their</w:t>
      </w:r>
      <w:r>
        <w:rPr>
          <w:spacing w:val="-3"/>
        </w:rPr>
        <w:t> </w:t>
      </w:r>
      <w:r>
        <w:rPr/>
        <w:t>low</w:t>
      </w:r>
      <w:r>
        <w:rPr>
          <w:spacing w:val="-4"/>
        </w:rPr>
        <w:t> </w:t>
      </w:r>
      <w:r>
        <w:rPr/>
        <w:t>numbers,</w:t>
      </w:r>
      <w:r>
        <w:rPr>
          <w:spacing w:val="-4"/>
        </w:rPr>
        <w:t> </w:t>
      </w:r>
      <w:r>
        <w:rPr/>
        <w:t>fragmented</w:t>
      </w:r>
      <w:r>
        <w:rPr>
          <w:spacing w:val="-4"/>
        </w:rPr>
        <w:t> </w:t>
      </w:r>
      <w:r>
        <w:rPr/>
        <w:t>distributions, and</w:t>
      </w:r>
      <w:r>
        <w:rPr>
          <w:spacing w:val="-2"/>
        </w:rPr>
        <w:t> </w:t>
      </w:r>
      <w:r>
        <w:rPr/>
        <w:t>susceptibility</w:t>
      </w:r>
      <w:r>
        <w:rPr>
          <w:spacing w:val="-1"/>
        </w:rPr>
        <w:t> </w:t>
      </w:r>
      <w:r>
        <w:rPr/>
        <w:t>to</w:t>
      </w:r>
      <w:r>
        <w:rPr>
          <w:spacing w:val="-1"/>
        </w:rPr>
        <w:t> </w:t>
      </w:r>
      <w:r>
        <w:rPr/>
        <w:t>fox</w:t>
      </w:r>
      <w:r>
        <w:rPr>
          <w:spacing w:val="-1"/>
        </w:rPr>
        <w:t> </w:t>
      </w:r>
      <w:r>
        <w:rPr/>
        <w:t>predation, were</w:t>
      </w:r>
      <w:r>
        <w:rPr>
          <w:spacing w:val="-2"/>
        </w:rPr>
        <w:t> </w:t>
      </w:r>
      <w:r>
        <w:rPr/>
        <w:t>selected</w:t>
      </w:r>
      <w:r>
        <w:rPr>
          <w:spacing w:val="-2"/>
        </w:rPr>
        <w:t> </w:t>
      </w:r>
      <w:r>
        <w:rPr/>
        <w:t>for monitoring:</w:t>
      </w:r>
      <w:r>
        <w:rPr>
          <w:spacing w:val="-2"/>
        </w:rPr>
        <w:t> </w:t>
      </w:r>
      <w:r>
        <w:rPr/>
        <w:t>the</w:t>
      </w:r>
      <w:r>
        <w:rPr>
          <w:spacing w:val="-2"/>
        </w:rPr>
        <w:t> </w:t>
      </w:r>
      <w:r>
        <w:rPr/>
        <w:t>Common</w:t>
      </w:r>
      <w:r>
        <w:rPr>
          <w:spacing w:val="-1"/>
        </w:rPr>
        <w:t> </w:t>
      </w:r>
      <w:r>
        <w:rPr/>
        <w:t>Brushtail</w:t>
      </w:r>
      <w:r>
        <w:rPr>
          <w:spacing w:val="-3"/>
        </w:rPr>
        <w:t> </w:t>
      </w:r>
      <w:r>
        <w:rPr/>
        <w:t>Possum</w:t>
      </w:r>
      <w:r>
        <w:rPr>
          <w:spacing w:val="-2"/>
        </w:rPr>
        <w:t> </w:t>
      </w:r>
      <w:r>
        <w:rPr/>
        <w:t>(</w:t>
      </w:r>
      <w:r>
        <w:rPr>
          <w:i/>
        </w:rPr>
        <w:t>Trichosurus</w:t>
      </w:r>
      <w:r>
        <w:rPr>
          <w:i/>
        </w:rPr>
        <w:t> vulpecula</w:t>
      </w:r>
      <w:r>
        <w:rPr/>
        <w:t>), Long-nosed Potoroo (</w:t>
      </w:r>
      <w:r>
        <w:rPr>
          <w:i/>
        </w:rPr>
        <w:t>Potorous tridactylus</w:t>
      </w:r>
      <w:r>
        <w:rPr/>
        <w:t>), and Southern Brown Bandicoot (</w:t>
      </w:r>
      <w:r>
        <w:rPr>
          <w:i/>
        </w:rPr>
        <w:t>Isoodon obesulus</w:t>
      </w:r>
      <w:r>
        <w:rPr/>
        <w:t>). This report provides an update on the fox control and monitoring efforts of the Glenelg Ark project for 2023. Covering the monitoring period from 2005 to 2023, this report re-evaluates the factors influencing the drivers of occupancy for the three target species, including factors other than fox control, and updates the outcomes of the monitoring program.</w:t>
      </w:r>
    </w:p>
    <w:p>
      <w:pPr>
        <w:pStyle w:val="BodyText"/>
        <w:spacing w:before="10"/>
      </w:pPr>
    </w:p>
    <w:p>
      <w:pPr>
        <w:pStyle w:val="Heading3"/>
      </w:pPr>
      <w:r>
        <w:rPr>
          <w:spacing w:val="-2"/>
        </w:rPr>
        <w:t>Aims:</w:t>
      </w:r>
    </w:p>
    <w:p>
      <w:pPr>
        <w:pStyle w:val="BodyText"/>
        <w:spacing w:before="120"/>
        <w:ind w:left="1132"/>
      </w:pPr>
      <w:r>
        <w:rPr/>
        <w:t>The</w:t>
      </w:r>
      <w:r>
        <w:rPr>
          <w:spacing w:val="-8"/>
        </w:rPr>
        <w:t> </w:t>
      </w:r>
      <w:r>
        <w:rPr/>
        <w:t>aims</w:t>
      </w:r>
      <w:r>
        <w:rPr>
          <w:spacing w:val="-4"/>
        </w:rPr>
        <w:t> </w:t>
      </w:r>
      <w:r>
        <w:rPr/>
        <w:t>of</w:t>
      </w:r>
      <w:r>
        <w:rPr>
          <w:spacing w:val="-3"/>
        </w:rPr>
        <w:t> </w:t>
      </w:r>
      <w:r>
        <w:rPr/>
        <w:t>this</w:t>
      </w:r>
      <w:r>
        <w:rPr>
          <w:spacing w:val="-4"/>
        </w:rPr>
        <w:t> </w:t>
      </w:r>
      <w:r>
        <w:rPr/>
        <w:t>report</w:t>
      </w:r>
      <w:r>
        <w:rPr>
          <w:spacing w:val="-3"/>
        </w:rPr>
        <w:t> </w:t>
      </w:r>
      <w:r>
        <w:rPr/>
        <w:t>were</w:t>
      </w:r>
      <w:r>
        <w:rPr>
          <w:spacing w:val="-4"/>
        </w:rPr>
        <w:t> </w:t>
      </w:r>
      <w:r>
        <w:rPr>
          <w:spacing w:val="-5"/>
        </w:rPr>
        <w:t>to:</w:t>
      </w:r>
    </w:p>
    <w:p>
      <w:pPr>
        <w:pStyle w:val="ListParagraph"/>
        <w:numPr>
          <w:ilvl w:val="0"/>
          <w:numId w:val="3"/>
        </w:numPr>
        <w:tabs>
          <w:tab w:pos="1853" w:val="left" w:leader="none"/>
        </w:tabs>
        <w:spacing w:line="276" w:lineRule="auto" w:before="138" w:after="0"/>
        <w:ind w:left="1853" w:right="1349" w:hanging="360"/>
        <w:jc w:val="left"/>
        <w:rPr>
          <w:sz w:val="20"/>
        </w:rPr>
      </w:pPr>
      <w:r>
        <w:rPr>
          <w:sz w:val="20"/>
        </w:rPr>
        <w:t>update</w:t>
      </w:r>
      <w:r>
        <w:rPr>
          <w:spacing w:val="-2"/>
          <w:sz w:val="20"/>
        </w:rPr>
        <w:t> </w:t>
      </w:r>
      <w:r>
        <w:rPr>
          <w:sz w:val="20"/>
        </w:rPr>
        <w:t>information</w:t>
      </w:r>
      <w:r>
        <w:rPr>
          <w:spacing w:val="-3"/>
          <w:sz w:val="20"/>
        </w:rPr>
        <w:t> </w:t>
      </w:r>
      <w:r>
        <w:rPr>
          <w:sz w:val="20"/>
        </w:rPr>
        <w:t>on</w:t>
      </w:r>
      <w:r>
        <w:rPr>
          <w:spacing w:val="-5"/>
          <w:sz w:val="20"/>
        </w:rPr>
        <w:t> </w:t>
      </w:r>
      <w:r>
        <w:rPr>
          <w:sz w:val="20"/>
        </w:rPr>
        <w:t>the</w:t>
      </w:r>
      <w:r>
        <w:rPr>
          <w:spacing w:val="-3"/>
          <w:sz w:val="20"/>
        </w:rPr>
        <w:t> </w:t>
      </w:r>
      <w:r>
        <w:rPr>
          <w:sz w:val="20"/>
        </w:rPr>
        <w:t>outcomes</w:t>
      </w:r>
      <w:r>
        <w:rPr>
          <w:spacing w:val="-3"/>
          <w:sz w:val="20"/>
        </w:rPr>
        <w:t> </w:t>
      </w:r>
      <w:r>
        <w:rPr>
          <w:sz w:val="20"/>
        </w:rPr>
        <w:t>of</w:t>
      </w:r>
      <w:r>
        <w:rPr>
          <w:spacing w:val="-4"/>
          <w:sz w:val="20"/>
        </w:rPr>
        <w:t> </w:t>
      </w:r>
      <w:r>
        <w:rPr>
          <w:sz w:val="20"/>
        </w:rPr>
        <w:t>the</w:t>
      </w:r>
      <w:r>
        <w:rPr>
          <w:spacing w:val="-4"/>
          <w:sz w:val="20"/>
        </w:rPr>
        <w:t> </w:t>
      </w:r>
      <w:r>
        <w:rPr>
          <w:sz w:val="20"/>
        </w:rPr>
        <w:t>fox-control</w:t>
      </w:r>
      <w:r>
        <w:rPr>
          <w:spacing w:val="-3"/>
          <w:sz w:val="20"/>
        </w:rPr>
        <w:t> </w:t>
      </w:r>
      <w:r>
        <w:rPr>
          <w:sz w:val="20"/>
        </w:rPr>
        <w:t>operation</w:t>
      </w:r>
      <w:r>
        <w:rPr>
          <w:spacing w:val="-4"/>
          <w:sz w:val="20"/>
        </w:rPr>
        <w:t> </w:t>
      </w:r>
      <w:r>
        <w:rPr>
          <w:sz w:val="20"/>
        </w:rPr>
        <w:t>and</w:t>
      </w:r>
      <w:r>
        <w:rPr>
          <w:spacing w:val="-4"/>
          <w:sz w:val="20"/>
        </w:rPr>
        <w:t> </w:t>
      </w:r>
      <w:r>
        <w:rPr>
          <w:sz w:val="20"/>
        </w:rPr>
        <w:t>the</w:t>
      </w:r>
      <w:r>
        <w:rPr>
          <w:spacing w:val="-4"/>
          <w:sz w:val="20"/>
        </w:rPr>
        <w:t> </w:t>
      </w:r>
      <w:r>
        <w:rPr>
          <w:sz w:val="20"/>
        </w:rPr>
        <w:t>responses</w:t>
      </w:r>
      <w:r>
        <w:rPr>
          <w:spacing w:val="-3"/>
          <w:sz w:val="20"/>
        </w:rPr>
        <w:t> </w:t>
      </w:r>
      <w:r>
        <w:rPr>
          <w:sz w:val="20"/>
        </w:rPr>
        <w:t>of</w:t>
      </w:r>
      <w:r>
        <w:rPr>
          <w:spacing w:val="-4"/>
          <w:sz w:val="20"/>
        </w:rPr>
        <w:t> </w:t>
      </w:r>
      <w:r>
        <w:rPr>
          <w:sz w:val="20"/>
        </w:rPr>
        <w:t>target</w:t>
      </w:r>
      <w:r>
        <w:rPr>
          <w:spacing w:val="-4"/>
          <w:sz w:val="20"/>
        </w:rPr>
        <w:t> </w:t>
      </w:r>
      <w:r>
        <w:rPr>
          <w:sz w:val="20"/>
        </w:rPr>
        <w:t>native species as of 2023</w:t>
      </w:r>
    </w:p>
    <w:p>
      <w:pPr>
        <w:pStyle w:val="ListParagraph"/>
        <w:numPr>
          <w:ilvl w:val="0"/>
          <w:numId w:val="3"/>
        </w:numPr>
        <w:tabs>
          <w:tab w:pos="1853" w:val="left" w:leader="none"/>
        </w:tabs>
        <w:spacing w:line="239" w:lineRule="exact" w:before="0" w:after="0"/>
        <w:ind w:left="1853" w:right="0" w:hanging="360"/>
        <w:jc w:val="left"/>
        <w:rPr>
          <w:sz w:val="20"/>
        </w:rPr>
      </w:pPr>
      <w:r>
        <w:rPr>
          <w:sz w:val="20"/>
        </w:rPr>
        <w:t>aid</w:t>
      </w:r>
      <w:r>
        <w:rPr>
          <w:spacing w:val="-7"/>
          <w:sz w:val="20"/>
        </w:rPr>
        <w:t> </w:t>
      </w:r>
      <w:r>
        <w:rPr>
          <w:sz w:val="20"/>
        </w:rPr>
        <w:t>land</w:t>
      </w:r>
      <w:r>
        <w:rPr>
          <w:spacing w:val="-8"/>
          <w:sz w:val="20"/>
        </w:rPr>
        <w:t> </w:t>
      </w:r>
      <w:r>
        <w:rPr>
          <w:sz w:val="20"/>
        </w:rPr>
        <w:t>managers</w:t>
      </w:r>
      <w:r>
        <w:rPr>
          <w:spacing w:val="-6"/>
          <w:sz w:val="20"/>
        </w:rPr>
        <w:t> </w:t>
      </w:r>
      <w:r>
        <w:rPr>
          <w:sz w:val="20"/>
        </w:rPr>
        <w:t>and</w:t>
      </w:r>
      <w:r>
        <w:rPr>
          <w:spacing w:val="-9"/>
          <w:sz w:val="20"/>
        </w:rPr>
        <w:t> </w:t>
      </w:r>
      <w:r>
        <w:rPr>
          <w:sz w:val="20"/>
        </w:rPr>
        <w:t>policy</w:t>
      </w:r>
      <w:r>
        <w:rPr>
          <w:spacing w:val="-8"/>
          <w:sz w:val="20"/>
        </w:rPr>
        <w:t> </w:t>
      </w:r>
      <w:r>
        <w:rPr>
          <w:sz w:val="20"/>
        </w:rPr>
        <w:t>groups</w:t>
      </w:r>
      <w:r>
        <w:rPr>
          <w:spacing w:val="-7"/>
          <w:sz w:val="20"/>
        </w:rPr>
        <w:t> </w:t>
      </w:r>
      <w:r>
        <w:rPr>
          <w:sz w:val="20"/>
        </w:rPr>
        <w:t>in</w:t>
      </w:r>
      <w:r>
        <w:rPr>
          <w:spacing w:val="-7"/>
          <w:sz w:val="20"/>
        </w:rPr>
        <w:t> </w:t>
      </w:r>
      <w:r>
        <w:rPr>
          <w:sz w:val="20"/>
        </w:rPr>
        <w:t>decision-making</w:t>
      </w:r>
      <w:r>
        <w:rPr>
          <w:spacing w:val="-9"/>
          <w:sz w:val="20"/>
        </w:rPr>
        <w:t> </w:t>
      </w:r>
      <w:r>
        <w:rPr>
          <w:sz w:val="20"/>
        </w:rPr>
        <w:t>regarding</w:t>
      </w:r>
      <w:r>
        <w:rPr>
          <w:spacing w:val="-9"/>
          <w:sz w:val="20"/>
        </w:rPr>
        <w:t> </w:t>
      </w:r>
      <w:r>
        <w:rPr>
          <w:sz w:val="20"/>
        </w:rPr>
        <w:t>the</w:t>
      </w:r>
      <w:r>
        <w:rPr>
          <w:spacing w:val="-9"/>
          <w:sz w:val="20"/>
        </w:rPr>
        <w:t> </w:t>
      </w:r>
      <w:r>
        <w:rPr>
          <w:sz w:val="20"/>
        </w:rPr>
        <w:t>project’s</w:t>
      </w:r>
      <w:r>
        <w:rPr>
          <w:spacing w:val="-8"/>
          <w:sz w:val="20"/>
        </w:rPr>
        <w:t> </w:t>
      </w:r>
      <w:r>
        <w:rPr>
          <w:sz w:val="20"/>
        </w:rPr>
        <w:t>future</w:t>
      </w:r>
      <w:r>
        <w:rPr>
          <w:spacing w:val="-8"/>
          <w:sz w:val="20"/>
        </w:rPr>
        <w:t> </w:t>
      </w:r>
      <w:r>
        <w:rPr>
          <w:spacing w:val="-2"/>
          <w:sz w:val="20"/>
        </w:rPr>
        <w:t>directions.</w:t>
      </w:r>
    </w:p>
    <w:p>
      <w:pPr>
        <w:pStyle w:val="BodyText"/>
        <w:spacing w:before="19"/>
      </w:pPr>
    </w:p>
    <w:p>
      <w:pPr>
        <w:pStyle w:val="Heading3"/>
      </w:pPr>
      <w:r>
        <w:rPr>
          <w:spacing w:val="-2"/>
        </w:rPr>
        <w:t>Methods:</w:t>
      </w:r>
    </w:p>
    <w:p>
      <w:pPr>
        <w:pStyle w:val="BodyText"/>
        <w:spacing w:before="119"/>
        <w:ind w:left="1132" w:right="1140"/>
      </w:pPr>
      <w:r>
        <w:rPr/>
        <w:t>To evaluate differences in fox occurrence and native species response between areas with fox control (Fox Control Monitoring Locations, FCMLs) and without fox control (No Fox Control Monitoring Locations, NFCMLs),</w:t>
      </w:r>
      <w:r>
        <w:rPr>
          <w:spacing w:val="-4"/>
        </w:rPr>
        <w:t> </w:t>
      </w:r>
      <w:r>
        <w:rPr/>
        <w:t>presence/absence</w:t>
      </w:r>
      <w:r>
        <w:rPr>
          <w:spacing w:val="-4"/>
        </w:rPr>
        <w:t> </w:t>
      </w:r>
      <w:r>
        <w:rPr/>
        <w:t>data</w:t>
      </w:r>
      <w:r>
        <w:rPr>
          <w:spacing w:val="-2"/>
        </w:rPr>
        <w:t> </w:t>
      </w:r>
      <w:r>
        <w:rPr/>
        <w:t>from</w:t>
      </w:r>
      <w:r>
        <w:rPr>
          <w:spacing w:val="-2"/>
        </w:rPr>
        <w:t> </w:t>
      </w:r>
      <w:r>
        <w:rPr/>
        <w:t>camera</w:t>
      </w:r>
      <w:r>
        <w:rPr>
          <w:spacing w:val="-2"/>
        </w:rPr>
        <w:t> </w:t>
      </w:r>
      <w:r>
        <w:rPr/>
        <w:t>traps deployed</w:t>
      </w:r>
      <w:r>
        <w:rPr>
          <w:spacing w:val="-3"/>
        </w:rPr>
        <w:t> </w:t>
      </w:r>
      <w:r>
        <w:rPr/>
        <w:t>in</w:t>
      </w:r>
      <w:r>
        <w:rPr>
          <w:spacing w:val="-2"/>
        </w:rPr>
        <w:t> </w:t>
      </w:r>
      <w:r>
        <w:rPr/>
        <w:t>2023</w:t>
      </w:r>
      <w:r>
        <w:rPr>
          <w:spacing w:val="-3"/>
        </w:rPr>
        <w:t> </w:t>
      </w:r>
      <w:r>
        <w:rPr/>
        <w:t>were</w:t>
      </w:r>
      <w:r>
        <w:rPr>
          <w:spacing w:val="-4"/>
        </w:rPr>
        <w:t> </w:t>
      </w:r>
      <w:r>
        <w:rPr/>
        <w:t>added</w:t>
      </w:r>
      <w:r>
        <w:rPr>
          <w:spacing w:val="-5"/>
        </w:rPr>
        <w:t> </w:t>
      </w:r>
      <w:r>
        <w:rPr/>
        <w:t>to</w:t>
      </w:r>
      <w:r>
        <w:rPr>
          <w:spacing w:val="-2"/>
        </w:rPr>
        <w:t> </w:t>
      </w:r>
      <w:r>
        <w:rPr/>
        <w:t>data</w:t>
      </w:r>
      <w:r>
        <w:rPr>
          <w:spacing w:val="-4"/>
        </w:rPr>
        <w:t> </w:t>
      </w:r>
      <w:r>
        <w:rPr/>
        <w:t>from</w:t>
      </w:r>
      <w:r>
        <w:rPr>
          <w:spacing w:val="-4"/>
        </w:rPr>
        <w:t> </w:t>
      </w:r>
      <w:r>
        <w:rPr/>
        <w:t>2005–2022. Data collection and analysis methods matched those in Robley et al. (2023). Seven environmental factors were assessed at both fox-controlled and non-fox-controlled sites to understand their influence on the occupancy of three targeted native species. To represent habitat type we used two variables: the ecological vegetation division (EVD) Tall Mixed Forest (Eastern), and ‘other EVDs’, which was comprised of several other</w:t>
      </w:r>
      <w:r>
        <w:rPr>
          <w:spacing w:val="-1"/>
        </w:rPr>
        <w:t> </w:t>
      </w:r>
      <w:r>
        <w:rPr/>
        <w:t>vegetation</w:t>
      </w:r>
      <w:r>
        <w:rPr>
          <w:spacing w:val="-1"/>
        </w:rPr>
        <w:t> </w:t>
      </w:r>
      <w:r>
        <w:rPr/>
        <w:t>divisions where low detection</w:t>
      </w:r>
      <w:r>
        <w:rPr>
          <w:spacing w:val="-1"/>
        </w:rPr>
        <w:t> </w:t>
      </w:r>
      <w:r>
        <w:rPr/>
        <w:t>rates of</w:t>
      </w:r>
      <w:r>
        <w:rPr>
          <w:spacing w:val="-1"/>
        </w:rPr>
        <w:t> </w:t>
      </w:r>
      <w:r>
        <w:rPr/>
        <w:t>target species prevented</w:t>
      </w:r>
      <w:r>
        <w:rPr>
          <w:spacing w:val="-2"/>
        </w:rPr>
        <w:t> </w:t>
      </w:r>
      <w:r>
        <w:rPr/>
        <w:t>the</w:t>
      </w:r>
      <w:r>
        <w:rPr>
          <w:spacing w:val="-2"/>
        </w:rPr>
        <w:t> </w:t>
      </w:r>
      <w:r>
        <w:rPr/>
        <w:t>use of</w:t>
      </w:r>
      <w:r>
        <w:rPr>
          <w:spacing w:val="-1"/>
        </w:rPr>
        <w:t> </w:t>
      </w:r>
      <w:r>
        <w:rPr/>
        <w:t>separate EVDs in the analysis.</w:t>
      </w:r>
    </w:p>
    <w:p>
      <w:pPr>
        <w:pStyle w:val="BodyText"/>
        <w:spacing w:before="120"/>
        <w:ind w:left="1132"/>
      </w:pPr>
      <w:r>
        <w:rPr/>
        <w:t>We</w:t>
      </w:r>
      <w:r>
        <w:rPr>
          <w:spacing w:val="-6"/>
        </w:rPr>
        <w:t> </w:t>
      </w:r>
      <w:r>
        <w:rPr/>
        <w:t>measured</w:t>
      </w:r>
      <w:r>
        <w:rPr>
          <w:spacing w:val="-8"/>
        </w:rPr>
        <w:t> </w:t>
      </w:r>
      <w:r>
        <w:rPr/>
        <w:t>the</w:t>
      </w:r>
      <w:r>
        <w:rPr>
          <w:spacing w:val="-8"/>
        </w:rPr>
        <w:t> </w:t>
      </w:r>
      <w:r>
        <w:rPr/>
        <w:t>success</w:t>
      </w:r>
      <w:r>
        <w:rPr>
          <w:spacing w:val="-7"/>
        </w:rPr>
        <w:t> </w:t>
      </w:r>
      <w:r>
        <w:rPr/>
        <w:t>of</w:t>
      </w:r>
      <w:r>
        <w:rPr>
          <w:spacing w:val="-7"/>
        </w:rPr>
        <w:t> </w:t>
      </w:r>
      <w:r>
        <w:rPr/>
        <w:t>fox</w:t>
      </w:r>
      <w:r>
        <w:rPr>
          <w:spacing w:val="-7"/>
        </w:rPr>
        <w:t> </w:t>
      </w:r>
      <w:r>
        <w:rPr/>
        <w:t>control</w:t>
      </w:r>
      <w:r>
        <w:rPr>
          <w:spacing w:val="-7"/>
        </w:rPr>
        <w:t> </w:t>
      </w:r>
      <w:r>
        <w:rPr/>
        <w:t>by</w:t>
      </w:r>
      <w:r>
        <w:rPr>
          <w:spacing w:val="-7"/>
        </w:rPr>
        <w:t> </w:t>
      </w:r>
      <w:r>
        <w:rPr/>
        <w:t>examining</w:t>
      </w:r>
      <w:r>
        <w:rPr>
          <w:spacing w:val="-7"/>
        </w:rPr>
        <w:t> </w:t>
      </w:r>
      <w:r>
        <w:rPr/>
        <w:t>four</w:t>
      </w:r>
      <w:r>
        <w:rPr>
          <w:spacing w:val="-6"/>
        </w:rPr>
        <w:t> </w:t>
      </w:r>
      <w:r>
        <w:rPr/>
        <w:t>population</w:t>
      </w:r>
      <w:r>
        <w:rPr>
          <w:spacing w:val="-6"/>
        </w:rPr>
        <w:t> </w:t>
      </w:r>
      <w:r>
        <w:rPr/>
        <w:t>parameters:</w:t>
      </w:r>
      <w:r>
        <w:rPr>
          <w:spacing w:val="-8"/>
        </w:rPr>
        <w:t> </w:t>
      </w:r>
      <w:r>
        <w:rPr/>
        <w:t>(i)</w:t>
      </w:r>
      <w:r>
        <w:rPr>
          <w:spacing w:val="-8"/>
        </w:rPr>
        <w:t> </w:t>
      </w:r>
      <w:r>
        <w:rPr/>
        <w:t>occupancy</w:t>
      </w:r>
      <w:r>
        <w:rPr>
          <w:spacing w:val="-7"/>
        </w:rPr>
        <w:t> </w:t>
      </w:r>
      <w:r>
        <w:rPr>
          <w:spacing w:val="-2"/>
        </w:rPr>
        <w:t>rate,</w:t>
      </w:r>
    </w:p>
    <w:p>
      <w:pPr>
        <w:pStyle w:val="BodyText"/>
        <w:ind w:left="1132" w:right="1204"/>
      </w:pPr>
      <w:r>
        <w:rPr/>
        <w:t>(ii) colonisation rate (the rate at which new sites are occupied each year), (iii) site survival rate (the proportion</w:t>
      </w:r>
      <w:r>
        <w:rPr>
          <w:spacing w:val="-2"/>
        </w:rPr>
        <w:t> </w:t>
      </w:r>
      <w:r>
        <w:rPr/>
        <w:t>of</w:t>
      </w:r>
      <w:r>
        <w:rPr>
          <w:spacing w:val="-3"/>
        </w:rPr>
        <w:t> </w:t>
      </w:r>
      <w:r>
        <w:rPr/>
        <w:t>sites</w:t>
      </w:r>
      <w:r>
        <w:rPr>
          <w:spacing w:val="-2"/>
        </w:rPr>
        <w:t> </w:t>
      </w:r>
      <w:r>
        <w:rPr/>
        <w:t>occupied</w:t>
      </w:r>
      <w:r>
        <w:rPr>
          <w:spacing w:val="-1"/>
        </w:rPr>
        <w:t> </w:t>
      </w:r>
      <w:r>
        <w:rPr/>
        <w:t>in</w:t>
      </w:r>
      <w:r>
        <w:rPr>
          <w:spacing w:val="-1"/>
        </w:rPr>
        <w:t> </w:t>
      </w:r>
      <w:r>
        <w:rPr/>
        <w:t>the</w:t>
      </w:r>
      <w:r>
        <w:rPr>
          <w:spacing w:val="-2"/>
        </w:rPr>
        <w:t> </w:t>
      </w:r>
      <w:r>
        <w:rPr/>
        <w:t>previous</w:t>
      </w:r>
      <w:r>
        <w:rPr>
          <w:spacing w:val="-1"/>
        </w:rPr>
        <w:t> </w:t>
      </w:r>
      <w:r>
        <w:rPr/>
        <w:t>year</w:t>
      </w:r>
      <w:r>
        <w:rPr>
          <w:spacing w:val="-2"/>
        </w:rPr>
        <w:t> </w:t>
      </w:r>
      <w:r>
        <w:rPr/>
        <w:t>that</w:t>
      </w:r>
      <w:r>
        <w:rPr>
          <w:spacing w:val="-3"/>
        </w:rPr>
        <w:t> </w:t>
      </w:r>
      <w:r>
        <w:rPr/>
        <w:t>are</w:t>
      </w:r>
      <w:r>
        <w:rPr>
          <w:spacing w:val="-3"/>
        </w:rPr>
        <w:t> </w:t>
      </w:r>
      <w:r>
        <w:rPr/>
        <w:t>still</w:t>
      </w:r>
      <w:r>
        <w:rPr>
          <w:spacing w:val="-4"/>
        </w:rPr>
        <w:t> </w:t>
      </w:r>
      <w:r>
        <w:rPr/>
        <w:t>occupied</w:t>
      </w:r>
      <w:r>
        <w:rPr>
          <w:spacing w:val="-3"/>
        </w:rPr>
        <w:t> </w:t>
      </w:r>
      <w:r>
        <w:rPr/>
        <w:t>in the</w:t>
      </w:r>
      <w:r>
        <w:rPr>
          <w:spacing w:val="-3"/>
        </w:rPr>
        <w:t> </w:t>
      </w:r>
      <w:r>
        <w:rPr/>
        <w:t>following</w:t>
      </w:r>
      <w:r>
        <w:rPr>
          <w:spacing w:val="-3"/>
        </w:rPr>
        <w:t> </w:t>
      </w:r>
      <w:r>
        <w:rPr/>
        <w:t>year),</w:t>
      </w:r>
      <w:r>
        <w:rPr>
          <w:spacing w:val="-3"/>
        </w:rPr>
        <w:t> </w:t>
      </w:r>
      <w:r>
        <w:rPr/>
        <w:t>and</w:t>
      </w:r>
      <w:r>
        <w:rPr>
          <w:spacing w:val="-3"/>
        </w:rPr>
        <w:t> </w:t>
      </w:r>
      <w:r>
        <w:rPr/>
        <w:t>(iv)</w:t>
      </w:r>
      <w:r>
        <w:rPr>
          <w:spacing w:val="-1"/>
        </w:rPr>
        <w:t> </w:t>
      </w:r>
      <w:r>
        <w:rPr/>
        <w:t>site growth rate (the rate at which the number of occupied sites increases over time). These metrics were compared between locations with and without ongoing fox control.</w:t>
      </w:r>
    </w:p>
    <w:p>
      <w:pPr>
        <w:pStyle w:val="BodyText"/>
        <w:spacing w:before="119"/>
        <w:ind w:left="1132" w:right="1140"/>
      </w:pPr>
      <w:r>
        <w:rPr/>
        <w:t>Data</w:t>
      </w:r>
      <w:r>
        <w:rPr>
          <w:spacing w:val="-4"/>
        </w:rPr>
        <w:t> </w:t>
      </w:r>
      <w:r>
        <w:rPr/>
        <w:t>on</w:t>
      </w:r>
      <w:r>
        <w:rPr>
          <w:spacing w:val="-5"/>
        </w:rPr>
        <w:t> </w:t>
      </w:r>
      <w:r>
        <w:rPr/>
        <w:t>native</w:t>
      </w:r>
      <w:r>
        <w:rPr>
          <w:spacing w:val="-3"/>
        </w:rPr>
        <w:t> </w:t>
      </w:r>
      <w:r>
        <w:rPr/>
        <w:t>species</w:t>
      </w:r>
      <w:r>
        <w:rPr>
          <w:spacing w:val="-2"/>
        </w:rPr>
        <w:t> </w:t>
      </w:r>
      <w:r>
        <w:rPr/>
        <w:t>detection</w:t>
      </w:r>
      <w:r>
        <w:rPr>
          <w:spacing w:val="-3"/>
        </w:rPr>
        <w:t> </w:t>
      </w:r>
      <w:r>
        <w:rPr/>
        <w:t>from</w:t>
      </w:r>
      <w:r>
        <w:rPr>
          <w:spacing w:val="-3"/>
        </w:rPr>
        <w:t> </w:t>
      </w:r>
      <w:r>
        <w:rPr/>
        <w:t>240</w:t>
      </w:r>
      <w:r>
        <w:rPr>
          <w:spacing w:val="-3"/>
        </w:rPr>
        <w:t> </w:t>
      </w:r>
      <w:r>
        <w:rPr/>
        <w:t>monitoring</w:t>
      </w:r>
      <w:r>
        <w:rPr>
          <w:spacing w:val="-3"/>
        </w:rPr>
        <w:t> </w:t>
      </w:r>
      <w:r>
        <w:rPr/>
        <w:t>sites,</w:t>
      </w:r>
      <w:r>
        <w:rPr>
          <w:spacing w:val="-4"/>
        </w:rPr>
        <w:t> </w:t>
      </w:r>
      <w:r>
        <w:rPr/>
        <w:t>split</w:t>
      </w:r>
      <w:r>
        <w:rPr>
          <w:spacing w:val="-4"/>
        </w:rPr>
        <w:t> </w:t>
      </w:r>
      <w:r>
        <w:rPr/>
        <w:t>between</w:t>
      </w:r>
      <w:r>
        <w:rPr>
          <w:spacing w:val="-5"/>
        </w:rPr>
        <w:t> </w:t>
      </w:r>
      <w:r>
        <w:rPr/>
        <w:t>three</w:t>
      </w:r>
      <w:r>
        <w:rPr>
          <w:spacing w:val="-3"/>
        </w:rPr>
        <w:t> </w:t>
      </w:r>
      <w:r>
        <w:rPr/>
        <w:t>locations</w:t>
      </w:r>
      <w:r>
        <w:rPr>
          <w:spacing w:val="-4"/>
        </w:rPr>
        <w:t> </w:t>
      </w:r>
      <w:r>
        <w:rPr/>
        <w:t>with</w:t>
      </w:r>
      <w:r>
        <w:rPr>
          <w:spacing w:val="-3"/>
        </w:rPr>
        <w:t> </w:t>
      </w:r>
      <w:r>
        <w:rPr/>
        <w:t>fox</w:t>
      </w:r>
      <w:r>
        <w:rPr>
          <w:spacing w:val="-4"/>
        </w:rPr>
        <w:t> </w:t>
      </w:r>
      <w:r>
        <w:rPr/>
        <w:t>control</w:t>
      </w:r>
      <w:r>
        <w:rPr>
          <w:spacing w:val="-4"/>
        </w:rPr>
        <w:t> </w:t>
      </w:r>
      <w:r>
        <w:rPr/>
        <w:t>and three without, were used in Bayesian multi-season occupancy models. Changes in site colonisation and survival rates of the three target native mammals were expressed as odds ratios (ORs), indicating the strength of the relationship between variables. Site growth rates for the occupied sites were then calculated. Changes in fox and feral cat activity were assessed from 2013–2023. An activity index was calculated using the number of detections at a camera site scaled to 1500 camera nights and analysed using a negative binomial regression model within a Bayesian framework. The naïve occupancy rates for a range of native species were also calculated.</w:t>
      </w:r>
    </w:p>
    <w:p>
      <w:pPr>
        <w:pStyle w:val="BodyText"/>
        <w:spacing w:before="13"/>
      </w:pPr>
    </w:p>
    <w:p>
      <w:pPr>
        <w:pStyle w:val="Heading3"/>
      </w:pPr>
      <w:r>
        <w:rPr>
          <w:spacing w:val="-2"/>
        </w:rPr>
        <w:t>Results:</w:t>
      </w:r>
    </w:p>
    <w:p>
      <w:pPr>
        <w:pStyle w:val="Heading6"/>
        <w:spacing w:before="119"/>
        <w:rPr>
          <w:i/>
        </w:rPr>
      </w:pPr>
      <w:r>
        <w:rPr>
          <w:i/>
        </w:rPr>
        <w:t>Native</w:t>
      </w:r>
      <w:r>
        <w:rPr>
          <w:i/>
          <w:spacing w:val="-8"/>
        </w:rPr>
        <w:t> </w:t>
      </w:r>
      <w:r>
        <w:rPr>
          <w:i/>
        </w:rPr>
        <w:t>species</w:t>
      </w:r>
      <w:r>
        <w:rPr>
          <w:i/>
          <w:spacing w:val="-7"/>
        </w:rPr>
        <w:t> </w:t>
      </w:r>
      <w:r>
        <w:rPr>
          <w:i/>
          <w:spacing w:val="-2"/>
        </w:rPr>
        <w:t>response</w:t>
      </w:r>
    </w:p>
    <w:p>
      <w:pPr>
        <w:spacing w:before="120"/>
        <w:ind w:left="1132" w:right="0" w:firstLine="0"/>
        <w:jc w:val="left"/>
        <w:rPr>
          <w:i/>
          <w:sz w:val="20"/>
        </w:rPr>
      </w:pPr>
      <w:r>
        <w:rPr>
          <w:i/>
          <w:sz w:val="20"/>
        </w:rPr>
        <w:t>Common</w:t>
      </w:r>
      <w:r>
        <w:rPr>
          <w:i/>
          <w:spacing w:val="-10"/>
          <w:sz w:val="20"/>
        </w:rPr>
        <w:t> </w:t>
      </w:r>
      <w:r>
        <w:rPr>
          <w:i/>
          <w:sz w:val="20"/>
        </w:rPr>
        <w:t>Brushtail</w:t>
      </w:r>
      <w:r>
        <w:rPr>
          <w:i/>
          <w:spacing w:val="-10"/>
          <w:sz w:val="20"/>
        </w:rPr>
        <w:t> </w:t>
      </w:r>
      <w:r>
        <w:rPr>
          <w:i/>
          <w:spacing w:val="-2"/>
          <w:sz w:val="20"/>
        </w:rPr>
        <w:t>Possum</w:t>
      </w:r>
    </w:p>
    <w:p>
      <w:pPr>
        <w:pStyle w:val="BodyText"/>
        <w:spacing w:before="118"/>
        <w:ind w:left="1132" w:right="1204"/>
      </w:pPr>
      <w:r>
        <w:rPr/>
        <w:t>The</w:t>
      </w:r>
      <w:r>
        <w:rPr>
          <w:spacing w:val="-3"/>
        </w:rPr>
        <w:t> </w:t>
      </w:r>
      <w:r>
        <w:rPr/>
        <w:t>rate at</w:t>
      </w:r>
      <w:r>
        <w:rPr>
          <w:spacing w:val="-2"/>
        </w:rPr>
        <w:t> </w:t>
      </w:r>
      <w:r>
        <w:rPr/>
        <w:t>which</w:t>
      </w:r>
      <w:r>
        <w:rPr>
          <w:spacing w:val="-2"/>
        </w:rPr>
        <w:t> </w:t>
      </w:r>
      <w:r>
        <w:rPr/>
        <w:t>sites</w:t>
      </w:r>
      <w:r>
        <w:rPr>
          <w:spacing w:val="-1"/>
        </w:rPr>
        <w:t> </w:t>
      </w:r>
      <w:r>
        <w:rPr/>
        <w:t>survived</w:t>
      </w:r>
      <w:r>
        <w:rPr>
          <w:spacing w:val="-3"/>
        </w:rPr>
        <w:t> </w:t>
      </w:r>
      <w:r>
        <w:rPr/>
        <w:t>from</w:t>
      </w:r>
      <w:r>
        <w:rPr>
          <w:spacing w:val="-2"/>
        </w:rPr>
        <w:t> </w:t>
      </w:r>
      <w:r>
        <w:rPr/>
        <w:t>one</w:t>
      </w:r>
      <w:r>
        <w:rPr>
          <w:spacing w:val="-3"/>
        </w:rPr>
        <w:t> </w:t>
      </w:r>
      <w:r>
        <w:rPr/>
        <w:t>year to</w:t>
      </w:r>
      <w:r>
        <w:rPr>
          <w:spacing w:val="-3"/>
        </w:rPr>
        <w:t> </w:t>
      </w:r>
      <w:r>
        <w:rPr/>
        <w:t>the</w:t>
      </w:r>
      <w:r>
        <w:rPr>
          <w:spacing w:val="-3"/>
        </w:rPr>
        <w:t> </w:t>
      </w:r>
      <w:r>
        <w:rPr/>
        <w:t>next declined</w:t>
      </w:r>
      <w:r>
        <w:rPr>
          <w:spacing w:val="-2"/>
        </w:rPr>
        <w:t> </w:t>
      </w:r>
      <w:r>
        <w:rPr/>
        <w:t>with distance</w:t>
      </w:r>
      <w:r>
        <w:rPr>
          <w:spacing w:val="-2"/>
        </w:rPr>
        <w:t> </w:t>
      </w:r>
      <w:r>
        <w:rPr/>
        <w:t>to</w:t>
      </w:r>
      <w:r>
        <w:rPr>
          <w:spacing w:val="-2"/>
        </w:rPr>
        <w:t> </w:t>
      </w:r>
      <w:r>
        <w:rPr/>
        <w:t>non-native</w:t>
      </w:r>
      <w:r>
        <w:rPr>
          <w:spacing w:val="-2"/>
        </w:rPr>
        <w:t> </w:t>
      </w:r>
      <w:r>
        <w:rPr/>
        <w:t>vegetation in NFCLMs</w:t>
      </w:r>
      <w:r>
        <w:rPr>
          <w:spacing w:val="-3"/>
        </w:rPr>
        <w:t> </w:t>
      </w:r>
      <w:r>
        <w:rPr/>
        <w:t>but</w:t>
      </w:r>
      <w:r>
        <w:rPr>
          <w:spacing w:val="-4"/>
        </w:rPr>
        <w:t> </w:t>
      </w:r>
      <w:r>
        <w:rPr/>
        <w:t>tended</w:t>
      </w:r>
      <w:r>
        <w:rPr>
          <w:spacing w:val="-4"/>
        </w:rPr>
        <w:t> </w:t>
      </w:r>
      <w:r>
        <w:rPr/>
        <w:t>to</w:t>
      </w:r>
      <w:r>
        <w:rPr>
          <w:spacing w:val="-2"/>
        </w:rPr>
        <w:t> </w:t>
      </w:r>
      <w:r>
        <w:rPr/>
        <w:t>increase</w:t>
      </w:r>
      <w:r>
        <w:rPr>
          <w:spacing w:val="-4"/>
        </w:rPr>
        <w:t> </w:t>
      </w:r>
      <w:r>
        <w:rPr/>
        <w:t>with</w:t>
      </w:r>
      <w:r>
        <w:rPr>
          <w:spacing w:val="-2"/>
        </w:rPr>
        <w:t> </w:t>
      </w:r>
      <w:r>
        <w:rPr/>
        <w:t>increasing</w:t>
      </w:r>
      <w:r>
        <w:rPr>
          <w:spacing w:val="-3"/>
        </w:rPr>
        <w:t> </w:t>
      </w:r>
      <w:r>
        <w:rPr/>
        <w:t>distance to</w:t>
      </w:r>
      <w:r>
        <w:rPr>
          <w:spacing w:val="-4"/>
        </w:rPr>
        <w:t> </w:t>
      </w:r>
      <w:r>
        <w:rPr/>
        <w:t>non-native</w:t>
      </w:r>
      <w:r>
        <w:rPr>
          <w:spacing w:val="-4"/>
        </w:rPr>
        <w:t> </w:t>
      </w:r>
      <w:r>
        <w:rPr/>
        <w:t>vegetation</w:t>
      </w:r>
      <w:r>
        <w:rPr>
          <w:spacing w:val="-1"/>
        </w:rPr>
        <w:t> </w:t>
      </w:r>
      <w:r>
        <w:rPr/>
        <w:t>with</w:t>
      </w:r>
      <w:r>
        <w:rPr>
          <w:spacing w:val="-2"/>
        </w:rPr>
        <w:t> </w:t>
      </w:r>
      <w:r>
        <w:rPr/>
        <w:t>fox</w:t>
      </w:r>
      <w:r>
        <w:rPr>
          <w:spacing w:val="-3"/>
        </w:rPr>
        <w:t> </w:t>
      </w:r>
      <w:r>
        <w:rPr/>
        <w:t>control,</w:t>
      </w:r>
      <w:r>
        <w:rPr>
          <w:spacing w:val="-4"/>
        </w:rPr>
        <w:t> </w:t>
      </w:r>
      <w:r>
        <w:rPr/>
        <w:t>while</w:t>
      </w:r>
      <w:r>
        <w:rPr>
          <w:spacing w:val="-4"/>
        </w:rPr>
        <w:t> </w:t>
      </w:r>
      <w:r>
        <w:rPr/>
        <w:t>site survival increased with increasing Terrian Ruggedness Index (TRI) in fox control areas, but not in locations without fox control. Site survival declined with increases in elevation regardless of treatment.</w:t>
      </w:r>
    </w:p>
    <w:p>
      <w:pPr>
        <w:pStyle w:val="BodyText"/>
        <w:spacing w:line="229" w:lineRule="exact" w:before="122"/>
        <w:ind w:left="1132"/>
      </w:pPr>
      <w:r>
        <w:rPr/>
        <w:t>With</w:t>
      </w:r>
      <w:r>
        <w:rPr>
          <w:spacing w:val="-7"/>
        </w:rPr>
        <w:t> </w:t>
      </w:r>
      <w:r>
        <w:rPr/>
        <w:t>fox</w:t>
      </w:r>
      <w:r>
        <w:rPr>
          <w:spacing w:val="-6"/>
        </w:rPr>
        <w:t> </w:t>
      </w:r>
      <w:r>
        <w:rPr/>
        <w:t>control,</w:t>
      </w:r>
      <w:r>
        <w:rPr>
          <w:spacing w:val="-6"/>
        </w:rPr>
        <w:t> </w:t>
      </w:r>
      <w:r>
        <w:rPr/>
        <w:t>the</w:t>
      </w:r>
      <w:r>
        <w:rPr>
          <w:spacing w:val="-5"/>
        </w:rPr>
        <w:t> </w:t>
      </w:r>
      <w:r>
        <w:rPr/>
        <w:t>odds</w:t>
      </w:r>
      <w:r>
        <w:rPr>
          <w:spacing w:val="-6"/>
        </w:rPr>
        <w:t> </w:t>
      </w:r>
      <w:r>
        <w:rPr/>
        <w:t>of</w:t>
      </w:r>
      <w:r>
        <w:rPr>
          <w:spacing w:val="-6"/>
        </w:rPr>
        <w:t> </w:t>
      </w:r>
      <w:r>
        <w:rPr/>
        <w:t>a</w:t>
      </w:r>
      <w:r>
        <w:rPr>
          <w:spacing w:val="-7"/>
        </w:rPr>
        <w:t> </w:t>
      </w:r>
      <w:r>
        <w:rPr/>
        <w:t>site</w:t>
      </w:r>
      <w:r>
        <w:rPr>
          <w:spacing w:val="-7"/>
        </w:rPr>
        <w:t> </w:t>
      </w:r>
      <w:r>
        <w:rPr/>
        <w:t>becoming</w:t>
      </w:r>
      <w:r>
        <w:rPr>
          <w:spacing w:val="-6"/>
        </w:rPr>
        <w:t> </w:t>
      </w:r>
      <w:r>
        <w:rPr/>
        <w:t>occupied</w:t>
      </w:r>
      <w:r>
        <w:rPr>
          <w:spacing w:val="-2"/>
        </w:rPr>
        <w:t> </w:t>
      </w:r>
      <w:r>
        <w:rPr/>
        <w:t>(colonised)</w:t>
      </w:r>
      <w:r>
        <w:rPr>
          <w:spacing w:val="-5"/>
        </w:rPr>
        <w:t> </w:t>
      </w:r>
      <w:r>
        <w:rPr/>
        <w:t>was</w:t>
      </w:r>
      <w:r>
        <w:rPr>
          <w:spacing w:val="-6"/>
        </w:rPr>
        <w:t> </w:t>
      </w:r>
      <w:r>
        <w:rPr/>
        <w:t>3.33</w:t>
      </w:r>
      <w:r>
        <w:rPr>
          <w:spacing w:val="-7"/>
        </w:rPr>
        <w:t> </w:t>
      </w:r>
      <w:r>
        <w:rPr/>
        <w:t>(95%</w:t>
      </w:r>
      <w:r>
        <w:rPr>
          <w:spacing w:val="-4"/>
        </w:rPr>
        <w:t> </w:t>
      </w:r>
      <w:r>
        <w:rPr/>
        <w:t>credible</w:t>
      </w:r>
      <w:r>
        <w:rPr>
          <w:spacing w:val="-6"/>
        </w:rPr>
        <w:t> </w:t>
      </w:r>
      <w:r>
        <w:rPr/>
        <w:t>interval</w:t>
      </w:r>
      <w:r>
        <w:rPr>
          <w:spacing w:val="-5"/>
        </w:rPr>
        <w:t> </w:t>
      </w:r>
      <w:r>
        <w:rPr>
          <w:spacing w:val="-2"/>
        </w:rPr>
        <w:t>(CI):</w:t>
      </w:r>
    </w:p>
    <w:p>
      <w:pPr>
        <w:pStyle w:val="BodyText"/>
        <w:ind w:left="1132" w:right="1326"/>
      </w:pPr>
      <w:r>
        <w:rPr/>
        <w:t>1.76–6.73)</w:t>
      </w:r>
      <w:r>
        <w:rPr>
          <w:spacing w:val="-3"/>
        </w:rPr>
        <w:t> </w:t>
      </w:r>
      <w:r>
        <w:rPr/>
        <w:t>higher</w:t>
      </w:r>
      <w:r>
        <w:rPr>
          <w:spacing w:val="-3"/>
        </w:rPr>
        <w:t> </w:t>
      </w:r>
      <w:r>
        <w:rPr/>
        <w:t>in</w:t>
      </w:r>
      <w:r>
        <w:rPr>
          <w:spacing w:val="-1"/>
        </w:rPr>
        <w:t> </w:t>
      </w:r>
      <w:r>
        <w:rPr/>
        <w:t>Tall</w:t>
      </w:r>
      <w:r>
        <w:rPr>
          <w:spacing w:val="-4"/>
        </w:rPr>
        <w:t> </w:t>
      </w:r>
      <w:r>
        <w:rPr/>
        <w:t>Mixed</w:t>
      </w:r>
      <w:r>
        <w:rPr>
          <w:spacing w:val="-4"/>
        </w:rPr>
        <w:t> </w:t>
      </w:r>
      <w:r>
        <w:rPr/>
        <w:t>Forest</w:t>
      </w:r>
      <w:r>
        <w:rPr>
          <w:spacing w:val="-3"/>
        </w:rPr>
        <w:t> </w:t>
      </w:r>
      <w:r>
        <w:rPr/>
        <w:t>than</w:t>
      </w:r>
      <w:r>
        <w:rPr>
          <w:spacing w:val="-2"/>
        </w:rPr>
        <w:t> </w:t>
      </w:r>
      <w:r>
        <w:rPr/>
        <w:t>in</w:t>
      </w:r>
      <w:r>
        <w:rPr>
          <w:spacing w:val="-1"/>
        </w:rPr>
        <w:t> </w:t>
      </w:r>
      <w:r>
        <w:rPr/>
        <w:t>other</w:t>
      </w:r>
      <w:r>
        <w:rPr>
          <w:spacing w:val="-3"/>
        </w:rPr>
        <w:t> </w:t>
      </w:r>
      <w:r>
        <w:rPr/>
        <w:t>vegetation</w:t>
      </w:r>
      <w:r>
        <w:rPr>
          <w:spacing w:val="-3"/>
        </w:rPr>
        <w:t> </w:t>
      </w:r>
      <w:r>
        <w:rPr/>
        <w:t>types.</w:t>
      </w:r>
      <w:r>
        <w:rPr>
          <w:spacing w:val="-3"/>
        </w:rPr>
        <w:t> </w:t>
      </w:r>
      <w:r>
        <w:rPr/>
        <w:t>In</w:t>
      </w:r>
      <w:r>
        <w:rPr>
          <w:spacing w:val="-3"/>
        </w:rPr>
        <w:t> </w:t>
      </w:r>
      <w:r>
        <w:rPr/>
        <w:t>the</w:t>
      </w:r>
      <w:r>
        <w:rPr>
          <w:spacing w:val="-3"/>
        </w:rPr>
        <w:t> </w:t>
      </w:r>
      <w:r>
        <w:rPr/>
        <w:t>absence</w:t>
      </w:r>
      <w:r>
        <w:rPr>
          <w:spacing w:val="-3"/>
        </w:rPr>
        <w:t> </w:t>
      </w:r>
      <w:r>
        <w:rPr/>
        <w:t>of</w:t>
      </w:r>
      <w:r>
        <w:rPr>
          <w:spacing w:val="-3"/>
        </w:rPr>
        <w:t> </w:t>
      </w:r>
      <w:r>
        <w:rPr/>
        <w:t>fox</w:t>
      </w:r>
      <w:r>
        <w:rPr>
          <w:spacing w:val="-2"/>
        </w:rPr>
        <w:t> </w:t>
      </w:r>
      <w:r>
        <w:rPr/>
        <w:t>control,</w:t>
      </w:r>
      <w:r>
        <w:rPr>
          <w:spacing w:val="-3"/>
        </w:rPr>
        <w:t> </w:t>
      </w:r>
      <w:r>
        <w:rPr/>
        <w:t>there was no detectable difference in colonisation between vegetation groups.</w:t>
      </w:r>
    </w:p>
    <w:p>
      <w:pPr>
        <w:pStyle w:val="BodyText"/>
        <w:spacing w:after="0"/>
        <w:sectPr>
          <w:footerReference w:type="default" r:id="rId25"/>
          <w:pgSz w:w="11910" w:h="16850"/>
          <w:pgMar w:header="0" w:footer="688" w:top="1160" w:bottom="880" w:left="0" w:right="0"/>
        </w:sectPr>
      </w:pPr>
    </w:p>
    <w:p>
      <w:pPr>
        <w:pStyle w:val="BodyText"/>
        <w:spacing w:before="71"/>
        <w:ind w:left="1132" w:right="1204"/>
      </w:pPr>
      <w:r>
        <w:rPr/>
        <w:t>Since</w:t>
      </w:r>
      <w:r>
        <w:rPr>
          <w:spacing w:val="-2"/>
        </w:rPr>
        <w:t> </w:t>
      </w:r>
      <w:r>
        <w:rPr/>
        <w:t>2009,</w:t>
      </w:r>
      <w:r>
        <w:rPr>
          <w:spacing w:val="-4"/>
        </w:rPr>
        <w:t> </w:t>
      </w:r>
      <w:r>
        <w:rPr/>
        <w:t>the</w:t>
      </w:r>
      <w:r>
        <w:rPr>
          <w:spacing w:val="-1"/>
        </w:rPr>
        <w:t> </w:t>
      </w:r>
      <w:r>
        <w:rPr/>
        <w:t>difference</w:t>
      </w:r>
      <w:r>
        <w:rPr>
          <w:spacing w:val="-2"/>
        </w:rPr>
        <w:t> </w:t>
      </w:r>
      <w:r>
        <w:rPr/>
        <w:t>in</w:t>
      </w:r>
      <w:r>
        <w:rPr>
          <w:spacing w:val="-3"/>
        </w:rPr>
        <w:t> </w:t>
      </w:r>
      <w:r>
        <w:rPr/>
        <w:t>the</w:t>
      </w:r>
      <w:r>
        <w:rPr>
          <w:spacing w:val="-2"/>
        </w:rPr>
        <w:t> </w:t>
      </w:r>
      <w:r>
        <w:rPr/>
        <w:t>average</w:t>
      </w:r>
      <w:r>
        <w:rPr>
          <w:spacing w:val="-4"/>
        </w:rPr>
        <w:t> </w:t>
      </w:r>
      <w:r>
        <w:rPr/>
        <w:t>annual</w:t>
      </w:r>
      <w:r>
        <w:rPr>
          <w:spacing w:val="-4"/>
        </w:rPr>
        <w:t> </w:t>
      </w:r>
      <w:r>
        <w:rPr/>
        <w:t>rate</w:t>
      </w:r>
      <w:r>
        <w:rPr>
          <w:spacing w:val="-4"/>
        </w:rPr>
        <w:t> </w:t>
      </w:r>
      <w:r>
        <w:rPr/>
        <w:t>of</w:t>
      </w:r>
      <w:r>
        <w:rPr>
          <w:spacing w:val="-4"/>
        </w:rPr>
        <w:t> </w:t>
      </w:r>
      <w:r>
        <w:rPr/>
        <w:t>sites</w:t>
      </w:r>
      <w:r>
        <w:rPr>
          <w:spacing w:val="-3"/>
        </w:rPr>
        <w:t> </w:t>
      </w:r>
      <w:r>
        <w:rPr/>
        <w:t>increasing</w:t>
      </w:r>
      <w:r>
        <w:rPr>
          <w:spacing w:val="-4"/>
        </w:rPr>
        <w:t> </w:t>
      </w:r>
      <w:r>
        <w:rPr/>
        <w:t>(site</w:t>
      </w:r>
      <w:r>
        <w:rPr>
          <w:spacing w:val="-2"/>
        </w:rPr>
        <w:t> </w:t>
      </w:r>
      <w:r>
        <w:rPr/>
        <w:t>growth</w:t>
      </w:r>
      <w:r>
        <w:rPr>
          <w:spacing w:val="-5"/>
        </w:rPr>
        <w:t> </w:t>
      </w:r>
      <w:r>
        <w:rPr/>
        <w:t>rate)</w:t>
      </w:r>
      <w:r>
        <w:rPr>
          <w:spacing w:val="-1"/>
        </w:rPr>
        <w:t> </w:t>
      </w:r>
      <w:r>
        <w:rPr/>
        <w:t>between</w:t>
      </w:r>
      <w:r>
        <w:rPr>
          <w:spacing w:val="-2"/>
        </w:rPr>
        <w:t> </w:t>
      </w:r>
      <w:r>
        <w:rPr/>
        <w:t>locations with and without fox control has been very close to zero (0%, 95% CI: -1–1%), suggesting that most available suitable habitat has been occupied.</w:t>
      </w:r>
    </w:p>
    <w:p>
      <w:pPr>
        <w:spacing w:before="122"/>
        <w:ind w:left="1132" w:right="0" w:firstLine="0"/>
        <w:jc w:val="left"/>
        <w:rPr>
          <w:i/>
          <w:sz w:val="20"/>
        </w:rPr>
      </w:pPr>
      <w:r>
        <w:rPr>
          <w:i/>
          <w:sz w:val="20"/>
        </w:rPr>
        <w:t>Long-nosed</w:t>
      </w:r>
      <w:r>
        <w:rPr>
          <w:i/>
          <w:spacing w:val="-13"/>
          <w:sz w:val="20"/>
        </w:rPr>
        <w:t> </w:t>
      </w:r>
      <w:r>
        <w:rPr>
          <w:i/>
          <w:spacing w:val="-2"/>
          <w:sz w:val="20"/>
        </w:rPr>
        <w:t>Potoroo</w:t>
      </w:r>
    </w:p>
    <w:p>
      <w:pPr>
        <w:pStyle w:val="BodyText"/>
        <w:spacing w:before="120"/>
        <w:ind w:left="1132" w:right="1204"/>
      </w:pPr>
      <w:r>
        <w:rPr/>
        <w:t>Fox control improved the odds of an occupied site remaining occupied by a factor of 2.9 (95% CI: 1.0–8.6) when keeping distance from water at its average value. Incorporating distance from water decreased site survival</w:t>
      </w:r>
      <w:r>
        <w:rPr>
          <w:spacing w:val="-4"/>
        </w:rPr>
        <w:t> </w:t>
      </w:r>
      <w:r>
        <w:rPr/>
        <w:t>at</w:t>
      </w:r>
      <w:r>
        <w:rPr>
          <w:spacing w:val="-2"/>
        </w:rPr>
        <w:t> </w:t>
      </w:r>
      <w:r>
        <w:rPr/>
        <w:t>locations</w:t>
      </w:r>
      <w:r>
        <w:rPr>
          <w:spacing w:val="-3"/>
        </w:rPr>
        <w:t> </w:t>
      </w:r>
      <w:r>
        <w:rPr/>
        <w:t>without</w:t>
      </w:r>
      <w:r>
        <w:rPr>
          <w:spacing w:val="-2"/>
        </w:rPr>
        <w:t> </w:t>
      </w:r>
      <w:r>
        <w:rPr/>
        <w:t>fox</w:t>
      </w:r>
      <w:r>
        <w:rPr>
          <w:spacing w:val="-3"/>
        </w:rPr>
        <w:t> </w:t>
      </w:r>
      <w:r>
        <w:rPr/>
        <w:t>control</w:t>
      </w:r>
      <w:r>
        <w:rPr>
          <w:spacing w:val="-2"/>
        </w:rPr>
        <w:t> </w:t>
      </w:r>
      <w:r>
        <w:rPr/>
        <w:t>but</w:t>
      </w:r>
      <w:r>
        <w:rPr>
          <w:spacing w:val="-4"/>
        </w:rPr>
        <w:t> </w:t>
      </w:r>
      <w:r>
        <w:rPr/>
        <w:t>site</w:t>
      </w:r>
      <w:r>
        <w:rPr>
          <w:spacing w:val="-2"/>
        </w:rPr>
        <w:t> </w:t>
      </w:r>
      <w:r>
        <w:rPr/>
        <w:t>survival</w:t>
      </w:r>
      <w:r>
        <w:rPr>
          <w:spacing w:val="-2"/>
        </w:rPr>
        <w:t> </w:t>
      </w:r>
      <w:r>
        <w:rPr/>
        <w:t>remained</w:t>
      </w:r>
      <w:r>
        <w:rPr>
          <w:spacing w:val="-3"/>
        </w:rPr>
        <w:t> </w:t>
      </w:r>
      <w:r>
        <w:rPr/>
        <w:t>constant</w:t>
      </w:r>
      <w:r>
        <w:rPr>
          <w:spacing w:val="-4"/>
        </w:rPr>
        <w:t> </w:t>
      </w:r>
      <w:r>
        <w:rPr/>
        <w:t>with</w:t>
      </w:r>
      <w:r>
        <w:rPr>
          <w:spacing w:val="-2"/>
        </w:rPr>
        <w:t> </w:t>
      </w:r>
      <w:r>
        <w:rPr/>
        <w:t>increasing</w:t>
      </w:r>
      <w:r>
        <w:rPr>
          <w:spacing w:val="-3"/>
        </w:rPr>
        <w:t> </w:t>
      </w:r>
      <w:r>
        <w:rPr/>
        <w:t>distance</w:t>
      </w:r>
      <w:r>
        <w:rPr>
          <w:spacing w:val="-4"/>
        </w:rPr>
        <w:t> </w:t>
      </w:r>
      <w:r>
        <w:rPr/>
        <w:t>to</w:t>
      </w:r>
      <w:r>
        <w:rPr>
          <w:spacing w:val="-4"/>
        </w:rPr>
        <w:t> </w:t>
      </w:r>
      <w:r>
        <w:rPr/>
        <w:t>water with fox control. Terrain wetness had a positive effect on site survival regardless of the presence of fox </w:t>
      </w:r>
      <w:r>
        <w:rPr>
          <w:spacing w:val="-2"/>
        </w:rPr>
        <w:t>control.</w:t>
      </w:r>
    </w:p>
    <w:p>
      <w:pPr>
        <w:pStyle w:val="BodyText"/>
        <w:spacing w:before="120"/>
        <w:ind w:left="1132" w:right="1140"/>
      </w:pPr>
      <w:r>
        <w:rPr/>
        <w:t>Fox control had a positive effect on site colonisation, with site colonisation being higher in the ‘other EVDs’ group</w:t>
      </w:r>
      <w:r>
        <w:rPr>
          <w:spacing w:val="-3"/>
        </w:rPr>
        <w:t> </w:t>
      </w:r>
      <w:r>
        <w:rPr/>
        <w:t>than</w:t>
      </w:r>
      <w:r>
        <w:rPr>
          <w:spacing w:val="-3"/>
        </w:rPr>
        <w:t> </w:t>
      </w:r>
      <w:r>
        <w:rPr/>
        <w:t>in</w:t>
      </w:r>
      <w:r>
        <w:rPr>
          <w:spacing w:val="-3"/>
        </w:rPr>
        <w:t> </w:t>
      </w:r>
      <w:r>
        <w:rPr/>
        <w:t>Tall</w:t>
      </w:r>
      <w:r>
        <w:rPr>
          <w:spacing w:val="-2"/>
        </w:rPr>
        <w:t> </w:t>
      </w:r>
      <w:r>
        <w:rPr/>
        <w:t>Mixed</w:t>
      </w:r>
      <w:r>
        <w:rPr>
          <w:spacing w:val="-1"/>
        </w:rPr>
        <w:t> </w:t>
      </w:r>
      <w:r>
        <w:rPr/>
        <w:t>Forest</w:t>
      </w:r>
      <w:r>
        <w:rPr>
          <w:spacing w:val="-3"/>
        </w:rPr>
        <w:t> </w:t>
      </w:r>
      <w:r>
        <w:rPr/>
        <w:t>and</w:t>
      </w:r>
      <w:r>
        <w:rPr>
          <w:spacing w:val="-2"/>
        </w:rPr>
        <w:t> </w:t>
      </w:r>
      <w:r>
        <w:rPr/>
        <w:t>increasing with</w:t>
      </w:r>
      <w:r>
        <w:rPr>
          <w:spacing w:val="-3"/>
        </w:rPr>
        <w:t> </w:t>
      </w:r>
      <w:r>
        <w:rPr/>
        <w:t>elevation.</w:t>
      </w:r>
      <w:r>
        <w:rPr>
          <w:spacing w:val="-3"/>
        </w:rPr>
        <w:t> </w:t>
      </w:r>
      <w:r>
        <w:rPr/>
        <w:t>Without</w:t>
      </w:r>
      <w:r>
        <w:rPr>
          <w:spacing w:val="-1"/>
        </w:rPr>
        <w:t> </w:t>
      </w:r>
      <w:r>
        <w:rPr/>
        <w:t>fox</w:t>
      </w:r>
      <w:r>
        <w:rPr>
          <w:spacing w:val="-2"/>
        </w:rPr>
        <w:t> </w:t>
      </w:r>
      <w:r>
        <w:rPr/>
        <w:t>control</w:t>
      </w:r>
      <w:r>
        <w:rPr>
          <w:spacing w:val="-2"/>
        </w:rPr>
        <w:t> </w:t>
      </w:r>
      <w:r>
        <w:rPr/>
        <w:t>site</w:t>
      </w:r>
      <w:r>
        <w:rPr>
          <w:spacing w:val="-4"/>
        </w:rPr>
        <w:t> </w:t>
      </w:r>
      <w:r>
        <w:rPr/>
        <w:t>colonisation</w:t>
      </w:r>
      <w:r>
        <w:rPr>
          <w:spacing w:val="-4"/>
        </w:rPr>
        <w:t> </w:t>
      </w:r>
      <w:r>
        <w:rPr/>
        <w:t>rates</w:t>
      </w:r>
      <w:r>
        <w:rPr>
          <w:spacing w:val="-2"/>
        </w:rPr>
        <w:t> </w:t>
      </w:r>
      <w:r>
        <w:rPr/>
        <w:t>were consistently low and did not differ between forest types or vary with elevation.</w:t>
      </w:r>
    </w:p>
    <w:p>
      <w:pPr>
        <w:pStyle w:val="BodyText"/>
        <w:spacing w:before="119"/>
        <w:ind w:left="1132"/>
      </w:pPr>
      <w:r>
        <w:rPr/>
        <w:t>Fox</w:t>
      </w:r>
      <w:r>
        <w:rPr>
          <w:spacing w:val="-6"/>
        </w:rPr>
        <w:t> </w:t>
      </w:r>
      <w:r>
        <w:rPr/>
        <w:t>control</w:t>
      </w:r>
      <w:r>
        <w:rPr>
          <w:spacing w:val="-7"/>
        </w:rPr>
        <w:t> </w:t>
      </w:r>
      <w:r>
        <w:rPr/>
        <w:t>resulted</w:t>
      </w:r>
      <w:r>
        <w:rPr>
          <w:spacing w:val="-6"/>
        </w:rPr>
        <w:t> </w:t>
      </w:r>
      <w:r>
        <w:rPr/>
        <w:t>in</w:t>
      </w:r>
      <w:r>
        <w:rPr>
          <w:spacing w:val="-6"/>
        </w:rPr>
        <w:t> </w:t>
      </w:r>
      <w:r>
        <w:rPr/>
        <w:t>an</w:t>
      </w:r>
      <w:r>
        <w:rPr>
          <w:spacing w:val="-7"/>
        </w:rPr>
        <w:t> </w:t>
      </w:r>
      <w:r>
        <w:rPr/>
        <w:t>increase</w:t>
      </w:r>
      <w:r>
        <w:rPr>
          <w:spacing w:val="-6"/>
        </w:rPr>
        <w:t> </w:t>
      </w:r>
      <w:r>
        <w:rPr/>
        <w:t>in</w:t>
      </w:r>
      <w:r>
        <w:rPr>
          <w:spacing w:val="-7"/>
        </w:rPr>
        <w:t> </w:t>
      </w:r>
      <w:r>
        <w:rPr/>
        <w:t>the</w:t>
      </w:r>
      <w:r>
        <w:rPr>
          <w:spacing w:val="-6"/>
        </w:rPr>
        <w:t> </w:t>
      </w:r>
      <w:r>
        <w:rPr/>
        <w:t>average</w:t>
      </w:r>
      <w:r>
        <w:rPr>
          <w:spacing w:val="-7"/>
        </w:rPr>
        <w:t> </w:t>
      </w:r>
      <w:r>
        <w:rPr/>
        <w:t>annual</w:t>
      </w:r>
      <w:r>
        <w:rPr>
          <w:spacing w:val="-2"/>
        </w:rPr>
        <w:t> </w:t>
      </w:r>
      <w:r>
        <w:rPr/>
        <w:t>site</w:t>
      </w:r>
      <w:r>
        <w:rPr>
          <w:spacing w:val="-4"/>
        </w:rPr>
        <w:t> </w:t>
      </w:r>
      <w:r>
        <w:rPr/>
        <w:t>growth</w:t>
      </w:r>
      <w:r>
        <w:rPr>
          <w:spacing w:val="-5"/>
        </w:rPr>
        <w:t> </w:t>
      </w:r>
      <w:r>
        <w:rPr/>
        <w:t>rate</w:t>
      </w:r>
      <w:r>
        <w:rPr>
          <w:spacing w:val="-4"/>
        </w:rPr>
        <w:t> </w:t>
      </w:r>
      <w:r>
        <w:rPr/>
        <w:t>by</w:t>
      </w:r>
      <w:r>
        <w:rPr>
          <w:spacing w:val="-5"/>
        </w:rPr>
        <w:t> </w:t>
      </w:r>
      <w:r>
        <w:rPr/>
        <w:t>+3.1%</w:t>
      </w:r>
      <w:r>
        <w:rPr>
          <w:spacing w:val="-7"/>
        </w:rPr>
        <w:t> </w:t>
      </w:r>
      <w:r>
        <w:rPr/>
        <w:t>(95%</w:t>
      </w:r>
      <w:r>
        <w:rPr>
          <w:spacing w:val="-6"/>
        </w:rPr>
        <w:t> </w:t>
      </w:r>
      <w:r>
        <w:rPr/>
        <w:t>CI:</w:t>
      </w:r>
      <w:r>
        <w:rPr>
          <w:spacing w:val="-4"/>
        </w:rPr>
        <w:t> </w:t>
      </w:r>
      <w:r>
        <w:rPr/>
        <w:t>-0.00–</w:t>
      </w:r>
      <w:r>
        <w:rPr>
          <w:spacing w:val="-2"/>
        </w:rPr>
        <w:t>6.5%).</w:t>
      </w:r>
    </w:p>
    <w:p>
      <w:pPr>
        <w:spacing w:before="120"/>
        <w:ind w:left="1132" w:right="0" w:firstLine="0"/>
        <w:jc w:val="left"/>
        <w:rPr>
          <w:i/>
          <w:sz w:val="20"/>
        </w:rPr>
      </w:pPr>
      <w:r>
        <w:rPr>
          <w:i/>
          <w:sz w:val="20"/>
        </w:rPr>
        <w:t>Southern</w:t>
      </w:r>
      <w:r>
        <w:rPr>
          <w:i/>
          <w:spacing w:val="-9"/>
          <w:sz w:val="20"/>
        </w:rPr>
        <w:t> </w:t>
      </w:r>
      <w:r>
        <w:rPr>
          <w:i/>
          <w:sz w:val="20"/>
        </w:rPr>
        <w:t>Brown</w:t>
      </w:r>
      <w:r>
        <w:rPr>
          <w:i/>
          <w:spacing w:val="-9"/>
          <w:sz w:val="20"/>
        </w:rPr>
        <w:t> </w:t>
      </w:r>
      <w:r>
        <w:rPr>
          <w:i/>
          <w:spacing w:val="-2"/>
          <w:sz w:val="20"/>
        </w:rPr>
        <w:t>Bandicoot</w:t>
      </w:r>
    </w:p>
    <w:p>
      <w:pPr>
        <w:pStyle w:val="BodyText"/>
        <w:spacing w:before="121"/>
        <w:ind w:left="1132"/>
      </w:pPr>
      <w:r>
        <w:rPr/>
        <w:t>When</w:t>
      </w:r>
      <w:r>
        <w:rPr>
          <w:spacing w:val="-7"/>
        </w:rPr>
        <w:t> </w:t>
      </w:r>
      <w:r>
        <w:rPr/>
        <w:t>keeping</w:t>
      </w:r>
      <w:r>
        <w:rPr>
          <w:spacing w:val="-6"/>
        </w:rPr>
        <w:t> </w:t>
      </w:r>
      <w:r>
        <w:rPr/>
        <w:t>all</w:t>
      </w:r>
      <w:r>
        <w:rPr>
          <w:spacing w:val="-7"/>
        </w:rPr>
        <w:t> </w:t>
      </w:r>
      <w:r>
        <w:rPr/>
        <w:t>variables</w:t>
      </w:r>
      <w:r>
        <w:rPr>
          <w:spacing w:val="-3"/>
        </w:rPr>
        <w:t> </w:t>
      </w:r>
      <w:r>
        <w:rPr/>
        <w:t>at</w:t>
      </w:r>
      <w:r>
        <w:rPr>
          <w:spacing w:val="-7"/>
        </w:rPr>
        <w:t> </w:t>
      </w:r>
      <w:r>
        <w:rPr/>
        <w:t>their</w:t>
      </w:r>
      <w:r>
        <w:rPr>
          <w:spacing w:val="-5"/>
        </w:rPr>
        <w:t> </w:t>
      </w:r>
      <w:r>
        <w:rPr/>
        <w:t>mean</w:t>
      </w:r>
      <w:r>
        <w:rPr>
          <w:spacing w:val="-4"/>
        </w:rPr>
        <w:t> </w:t>
      </w:r>
      <w:r>
        <w:rPr/>
        <w:t>values,</w:t>
      </w:r>
      <w:r>
        <w:rPr>
          <w:spacing w:val="-7"/>
        </w:rPr>
        <w:t> </w:t>
      </w:r>
      <w:r>
        <w:rPr/>
        <w:t>fox</w:t>
      </w:r>
      <w:r>
        <w:rPr>
          <w:spacing w:val="-5"/>
        </w:rPr>
        <w:t> </w:t>
      </w:r>
      <w:r>
        <w:rPr/>
        <w:t>control had</w:t>
      </w:r>
      <w:r>
        <w:rPr>
          <w:spacing w:val="-4"/>
        </w:rPr>
        <w:t> </w:t>
      </w:r>
      <w:r>
        <w:rPr/>
        <w:t>a</w:t>
      </w:r>
      <w:r>
        <w:rPr>
          <w:spacing w:val="-6"/>
        </w:rPr>
        <w:t> </w:t>
      </w:r>
      <w:r>
        <w:rPr/>
        <w:t>positive</w:t>
      </w:r>
      <w:r>
        <w:rPr>
          <w:spacing w:val="-7"/>
        </w:rPr>
        <w:t> </w:t>
      </w:r>
      <w:r>
        <w:rPr/>
        <w:t>effect</w:t>
      </w:r>
      <w:r>
        <w:rPr>
          <w:spacing w:val="-6"/>
        </w:rPr>
        <w:t> </w:t>
      </w:r>
      <w:r>
        <w:rPr/>
        <w:t>on</w:t>
      </w:r>
      <w:r>
        <w:rPr>
          <w:spacing w:val="-6"/>
        </w:rPr>
        <w:t> </w:t>
      </w:r>
      <w:r>
        <w:rPr/>
        <w:t>occupancy</w:t>
      </w:r>
      <w:r>
        <w:rPr>
          <w:spacing w:val="-5"/>
        </w:rPr>
        <w:t> </w:t>
      </w:r>
      <w:r>
        <w:rPr/>
        <w:t>by</w:t>
      </w:r>
      <w:r>
        <w:rPr>
          <w:spacing w:val="-4"/>
        </w:rPr>
        <w:t> </w:t>
      </w:r>
      <w:r>
        <w:rPr/>
        <w:t>a</w:t>
      </w:r>
      <w:r>
        <w:rPr>
          <w:spacing w:val="-6"/>
        </w:rPr>
        <w:t> </w:t>
      </w:r>
      <w:r>
        <w:rPr/>
        <w:t>factor</w:t>
      </w:r>
      <w:r>
        <w:rPr>
          <w:spacing w:val="-3"/>
        </w:rPr>
        <w:t> </w:t>
      </w:r>
      <w:r>
        <w:rPr>
          <w:spacing w:val="-5"/>
        </w:rPr>
        <w:t>of</w:t>
      </w:r>
    </w:p>
    <w:p>
      <w:pPr>
        <w:pStyle w:val="BodyText"/>
        <w:spacing w:before="1"/>
        <w:ind w:left="1132"/>
      </w:pPr>
      <w:r>
        <w:rPr/>
        <w:t>3.2</w:t>
      </w:r>
      <w:r>
        <w:rPr>
          <w:spacing w:val="-6"/>
        </w:rPr>
        <w:t> </w:t>
      </w:r>
      <w:r>
        <w:rPr/>
        <w:t>(95%</w:t>
      </w:r>
      <w:r>
        <w:rPr>
          <w:spacing w:val="-4"/>
        </w:rPr>
        <w:t> </w:t>
      </w:r>
      <w:r>
        <w:rPr/>
        <w:t>CI:</w:t>
      </w:r>
      <w:r>
        <w:rPr>
          <w:spacing w:val="-4"/>
        </w:rPr>
        <w:t> </w:t>
      </w:r>
      <w:r>
        <w:rPr/>
        <w:t>2.0–</w:t>
      </w:r>
      <w:r>
        <w:rPr>
          <w:spacing w:val="-2"/>
        </w:rPr>
        <w:t>5.3).</w:t>
      </w:r>
    </w:p>
    <w:p>
      <w:pPr>
        <w:pStyle w:val="BodyText"/>
        <w:spacing w:before="120"/>
        <w:ind w:left="1132" w:right="1866"/>
        <w:jc w:val="both"/>
      </w:pPr>
      <w:r>
        <w:rPr/>
        <w:t>Including</w:t>
      </w:r>
      <w:r>
        <w:rPr>
          <w:spacing w:val="-3"/>
        </w:rPr>
        <w:t> </w:t>
      </w:r>
      <w:r>
        <w:rPr/>
        <w:t>the</w:t>
      </w:r>
      <w:r>
        <w:rPr>
          <w:spacing w:val="-2"/>
        </w:rPr>
        <w:t> </w:t>
      </w:r>
      <w:r>
        <w:rPr/>
        <w:t>environmental</w:t>
      </w:r>
      <w:r>
        <w:rPr>
          <w:spacing w:val="-1"/>
        </w:rPr>
        <w:t> </w:t>
      </w:r>
      <w:r>
        <w:rPr/>
        <w:t>variables</w:t>
      </w:r>
      <w:r>
        <w:rPr>
          <w:spacing w:val="-2"/>
        </w:rPr>
        <w:t> </w:t>
      </w:r>
      <w:r>
        <w:rPr/>
        <w:t>indicated</w:t>
      </w:r>
      <w:r>
        <w:rPr>
          <w:spacing w:val="-1"/>
        </w:rPr>
        <w:t> </w:t>
      </w:r>
      <w:r>
        <w:rPr/>
        <w:t>that</w:t>
      </w:r>
      <w:r>
        <w:rPr>
          <w:spacing w:val="-3"/>
        </w:rPr>
        <w:t> </w:t>
      </w:r>
      <w:r>
        <w:rPr/>
        <w:t>higher</w:t>
      </w:r>
      <w:r>
        <w:rPr>
          <w:spacing w:val="-2"/>
        </w:rPr>
        <w:t> </w:t>
      </w:r>
      <w:r>
        <w:rPr/>
        <w:t>rates</w:t>
      </w:r>
      <w:r>
        <w:rPr>
          <w:spacing w:val="-2"/>
        </w:rPr>
        <w:t> </w:t>
      </w:r>
      <w:r>
        <w:rPr/>
        <w:t>of</w:t>
      </w:r>
      <w:r>
        <w:rPr>
          <w:spacing w:val="-3"/>
        </w:rPr>
        <w:t> </w:t>
      </w:r>
      <w:r>
        <w:rPr/>
        <w:t>site</w:t>
      </w:r>
      <w:r>
        <w:rPr>
          <w:spacing w:val="-1"/>
        </w:rPr>
        <w:t> </w:t>
      </w:r>
      <w:r>
        <w:rPr/>
        <w:t>survival</w:t>
      </w:r>
      <w:r>
        <w:rPr>
          <w:spacing w:val="-4"/>
        </w:rPr>
        <w:t> </w:t>
      </w:r>
      <w:r>
        <w:rPr/>
        <w:t>were</w:t>
      </w:r>
      <w:r>
        <w:rPr>
          <w:spacing w:val="-3"/>
        </w:rPr>
        <w:t> </w:t>
      </w:r>
      <w:r>
        <w:rPr/>
        <w:t>associated</w:t>
      </w:r>
      <w:r>
        <w:rPr>
          <w:spacing w:val="-3"/>
        </w:rPr>
        <w:t> </w:t>
      </w:r>
      <w:r>
        <w:rPr/>
        <w:t>with increasing</w:t>
      </w:r>
      <w:r>
        <w:rPr>
          <w:spacing w:val="-5"/>
        </w:rPr>
        <w:t> </w:t>
      </w:r>
      <w:r>
        <w:rPr/>
        <w:t>distance to</w:t>
      </w:r>
      <w:r>
        <w:rPr>
          <w:spacing w:val="-4"/>
        </w:rPr>
        <w:t> </w:t>
      </w:r>
      <w:r>
        <w:rPr/>
        <w:t>water</w:t>
      </w:r>
      <w:r>
        <w:rPr>
          <w:spacing w:val="-3"/>
        </w:rPr>
        <w:t> </w:t>
      </w:r>
      <w:r>
        <w:rPr/>
        <w:t>(without</w:t>
      </w:r>
      <w:r>
        <w:rPr>
          <w:spacing w:val="-4"/>
        </w:rPr>
        <w:t> </w:t>
      </w:r>
      <w:r>
        <w:rPr/>
        <w:t>fox</w:t>
      </w:r>
      <w:r>
        <w:rPr>
          <w:spacing w:val="-3"/>
        </w:rPr>
        <w:t> </w:t>
      </w:r>
      <w:r>
        <w:rPr/>
        <w:t>control),</w:t>
      </w:r>
      <w:r>
        <w:rPr>
          <w:spacing w:val="-2"/>
        </w:rPr>
        <w:t> </w:t>
      </w:r>
      <w:r>
        <w:rPr/>
        <w:t>and higher</w:t>
      </w:r>
      <w:r>
        <w:rPr>
          <w:spacing w:val="-3"/>
        </w:rPr>
        <w:t> </w:t>
      </w:r>
      <w:r>
        <w:rPr/>
        <w:t>elevation</w:t>
      </w:r>
      <w:r>
        <w:rPr>
          <w:spacing w:val="-2"/>
        </w:rPr>
        <w:t> </w:t>
      </w:r>
      <w:r>
        <w:rPr/>
        <w:t>(with</w:t>
      </w:r>
      <w:r>
        <w:rPr>
          <w:spacing w:val="-4"/>
        </w:rPr>
        <w:t> </w:t>
      </w:r>
      <w:r>
        <w:rPr/>
        <w:t>fox</w:t>
      </w:r>
      <w:r>
        <w:rPr>
          <w:spacing w:val="-3"/>
        </w:rPr>
        <w:t> </w:t>
      </w:r>
      <w:r>
        <w:rPr/>
        <w:t>control).</w:t>
      </w:r>
      <w:r>
        <w:rPr>
          <w:spacing w:val="-2"/>
        </w:rPr>
        <w:t> </w:t>
      </w:r>
      <w:r>
        <w:rPr/>
        <w:t>Site</w:t>
      </w:r>
      <w:r>
        <w:rPr>
          <w:spacing w:val="-5"/>
        </w:rPr>
        <w:t> </w:t>
      </w:r>
      <w:r>
        <w:rPr/>
        <w:t>survival declined with increasing time-since-fire, regardless of treatment.</w:t>
      </w:r>
    </w:p>
    <w:p>
      <w:pPr>
        <w:pStyle w:val="BodyText"/>
        <w:spacing w:before="119"/>
        <w:ind w:left="1132" w:right="1204"/>
      </w:pPr>
      <w:r>
        <w:rPr/>
        <w:t>Colonisation</w:t>
      </w:r>
      <w:r>
        <w:rPr>
          <w:spacing w:val="-5"/>
        </w:rPr>
        <w:t> </w:t>
      </w:r>
      <w:r>
        <w:rPr/>
        <w:t>increased</w:t>
      </w:r>
      <w:r>
        <w:rPr>
          <w:spacing w:val="-4"/>
        </w:rPr>
        <w:t> </w:t>
      </w:r>
      <w:r>
        <w:rPr/>
        <w:t>with</w:t>
      </w:r>
      <w:r>
        <w:rPr>
          <w:spacing w:val="-3"/>
        </w:rPr>
        <w:t> </w:t>
      </w:r>
      <w:r>
        <w:rPr/>
        <w:t>distance</w:t>
      </w:r>
      <w:r>
        <w:rPr>
          <w:spacing w:val="-5"/>
        </w:rPr>
        <w:t> </w:t>
      </w:r>
      <w:r>
        <w:rPr/>
        <w:t>to</w:t>
      </w:r>
      <w:r>
        <w:rPr>
          <w:spacing w:val="-3"/>
        </w:rPr>
        <w:t> </w:t>
      </w:r>
      <w:r>
        <w:rPr/>
        <w:t>non-native</w:t>
      </w:r>
      <w:r>
        <w:rPr>
          <w:spacing w:val="-5"/>
        </w:rPr>
        <w:t> </w:t>
      </w:r>
      <w:r>
        <w:rPr/>
        <w:t>vegetation</w:t>
      </w:r>
      <w:r>
        <w:rPr>
          <w:spacing w:val="-4"/>
        </w:rPr>
        <w:t> </w:t>
      </w:r>
      <w:r>
        <w:rPr/>
        <w:t>and</w:t>
      </w:r>
      <w:r>
        <w:rPr>
          <w:spacing w:val="-3"/>
        </w:rPr>
        <w:t> </w:t>
      </w:r>
      <w:r>
        <w:rPr/>
        <w:t>decreased</w:t>
      </w:r>
      <w:r>
        <w:rPr>
          <w:spacing w:val="-5"/>
        </w:rPr>
        <w:t> </w:t>
      </w:r>
      <w:r>
        <w:rPr/>
        <w:t>with time-since-fire</w:t>
      </w:r>
      <w:r>
        <w:rPr>
          <w:spacing w:val="-3"/>
        </w:rPr>
        <w:t> </w:t>
      </w:r>
      <w:r>
        <w:rPr/>
        <w:t>in</w:t>
      </w:r>
      <w:r>
        <w:rPr>
          <w:spacing w:val="-3"/>
        </w:rPr>
        <w:t> </w:t>
      </w:r>
      <w:r>
        <w:rPr/>
        <w:t>both FCMLs and NFCMLs</w:t>
      </w:r>
    </w:p>
    <w:p>
      <w:pPr>
        <w:pStyle w:val="BodyText"/>
        <w:spacing w:before="121"/>
        <w:ind w:left="1132" w:right="1204"/>
      </w:pPr>
      <w:r>
        <w:rPr/>
        <w:t>The</w:t>
      </w:r>
      <w:r>
        <w:rPr>
          <w:spacing w:val="-5"/>
        </w:rPr>
        <w:t> </w:t>
      </w:r>
      <w:r>
        <w:rPr/>
        <w:t>annual</w:t>
      </w:r>
      <w:r>
        <w:rPr>
          <w:spacing w:val="-3"/>
        </w:rPr>
        <w:t> </w:t>
      </w:r>
      <w:r>
        <w:rPr/>
        <w:t>average</w:t>
      </w:r>
      <w:r>
        <w:rPr>
          <w:spacing w:val="-2"/>
        </w:rPr>
        <w:t> </w:t>
      </w:r>
      <w:r>
        <w:rPr/>
        <w:t>difference</w:t>
      </w:r>
      <w:r>
        <w:rPr>
          <w:spacing w:val="-1"/>
        </w:rPr>
        <w:t> </w:t>
      </w:r>
      <w:r>
        <w:rPr/>
        <w:t>between</w:t>
      </w:r>
      <w:r>
        <w:rPr>
          <w:spacing w:val="-4"/>
        </w:rPr>
        <w:t> </w:t>
      </w:r>
      <w:r>
        <w:rPr/>
        <w:t>FCMLs</w:t>
      </w:r>
      <w:r>
        <w:rPr>
          <w:spacing w:val="-3"/>
        </w:rPr>
        <w:t> </w:t>
      </w:r>
      <w:r>
        <w:rPr/>
        <w:t>and</w:t>
      </w:r>
      <w:r>
        <w:rPr>
          <w:spacing w:val="-4"/>
        </w:rPr>
        <w:t> </w:t>
      </w:r>
      <w:r>
        <w:rPr/>
        <w:t>NFCMLs</w:t>
      </w:r>
      <w:r>
        <w:rPr>
          <w:spacing w:val="-1"/>
        </w:rPr>
        <w:t> </w:t>
      </w:r>
      <w:r>
        <w:rPr/>
        <w:t>in</w:t>
      </w:r>
      <w:r>
        <w:rPr>
          <w:spacing w:val="-4"/>
        </w:rPr>
        <w:t> </w:t>
      </w:r>
      <w:r>
        <w:rPr/>
        <w:t>bandicoot</w:t>
      </w:r>
      <w:r>
        <w:rPr>
          <w:spacing w:val="-2"/>
        </w:rPr>
        <w:t> </w:t>
      </w:r>
      <w:r>
        <w:rPr/>
        <w:t>occupancy</w:t>
      </w:r>
      <w:r>
        <w:rPr>
          <w:spacing w:val="-3"/>
        </w:rPr>
        <w:t> </w:t>
      </w:r>
      <w:r>
        <w:rPr/>
        <w:t>growth</w:t>
      </w:r>
      <w:r>
        <w:rPr>
          <w:spacing w:val="-4"/>
        </w:rPr>
        <w:t> </w:t>
      </w:r>
      <w:r>
        <w:rPr/>
        <w:t>rate</w:t>
      </w:r>
      <w:r>
        <w:rPr>
          <w:spacing w:val="-5"/>
        </w:rPr>
        <w:t> </w:t>
      </w:r>
      <w:r>
        <w:rPr/>
        <w:t>was 0.08% (95% CI: -4.0–2.0%). This effectively indicates that there was no growth in site occupancy by Southern Brown Bandicoots from 2005 to 2023.</w:t>
      </w:r>
    </w:p>
    <w:p>
      <w:pPr>
        <w:spacing w:before="119"/>
        <w:ind w:left="1132" w:right="0" w:firstLine="0"/>
        <w:jc w:val="left"/>
        <w:rPr>
          <w:i/>
          <w:sz w:val="20"/>
        </w:rPr>
      </w:pPr>
      <w:r>
        <w:rPr>
          <w:i/>
          <w:sz w:val="20"/>
        </w:rPr>
        <w:t>Other</w:t>
      </w:r>
      <w:r>
        <w:rPr>
          <w:i/>
          <w:spacing w:val="-8"/>
          <w:sz w:val="20"/>
        </w:rPr>
        <w:t> </w:t>
      </w:r>
      <w:r>
        <w:rPr>
          <w:i/>
          <w:sz w:val="20"/>
        </w:rPr>
        <w:t>native</w:t>
      </w:r>
      <w:r>
        <w:rPr>
          <w:i/>
          <w:spacing w:val="-8"/>
          <w:sz w:val="20"/>
        </w:rPr>
        <w:t> </w:t>
      </w:r>
      <w:r>
        <w:rPr>
          <w:i/>
          <w:spacing w:val="-2"/>
          <w:sz w:val="20"/>
        </w:rPr>
        <w:t>species</w:t>
      </w:r>
    </w:p>
    <w:p>
      <w:pPr>
        <w:pStyle w:val="BodyText"/>
        <w:spacing w:before="120"/>
        <w:ind w:left="1132" w:right="1204"/>
      </w:pPr>
      <w:r>
        <w:rPr/>
        <w:t>Twenty-six native species were detected on cameras between 2013 and 2023. Of these, the Short-beaked Echidna</w:t>
      </w:r>
      <w:r>
        <w:rPr>
          <w:spacing w:val="-3"/>
        </w:rPr>
        <w:t> </w:t>
      </w:r>
      <w:r>
        <w:rPr/>
        <w:t>(</w:t>
      </w:r>
      <w:r>
        <w:rPr>
          <w:i/>
        </w:rPr>
        <w:t>Tachyglossus</w:t>
      </w:r>
      <w:r>
        <w:rPr>
          <w:i/>
          <w:spacing w:val="-2"/>
        </w:rPr>
        <w:t> </w:t>
      </w:r>
      <w:r>
        <w:rPr>
          <w:i/>
        </w:rPr>
        <w:t>aculeatus</w:t>
      </w:r>
      <w:r>
        <w:rPr/>
        <w:t>)</w:t>
      </w:r>
      <w:r>
        <w:rPr>
          <w:spacing w:val="-2"/>
        </w:rPr>
        <w:t> </w:t>
      </w:r>
      <w:r>
        <w:rPr/>
        <w:t>tended</w:t>
      </w:r>
      <w:r>
        <w:rPr>
          <w:spacing w:val="-2"/>
        </w:rPr>
        <w:t> </w:t>
      </w:r>
      <w:r>
        <w:rPr/>
        <w:t>to</w:t>
      </w:r>
      <w:r>
        <w:rPr>
          <w:spacing w:val="-4"/>
        </w:rPr>
        <w:t> </w:t>
      </w:r>
      <w:r>
        <w:rPr/>
        <w:t>be</w:t>
      </w:r>
      <w:r>
        <w:rPr>
          <w:spacing w:val="-3"/>
        </w:rPr>
        <w:t> </w:t>
      </w:r>
      <w:r>
        <w:rPr/>
        <w:t>detected</w:t>
      </w:r>
      <w:r>
        <w:rPr>
          <w:spacing w:val="-4"/>
        </w:rPr>
        <w:t> </w:t>
      </w:r>
      <w:r>
        <w:rPr/>
        <w:t>more</w:t>
      </w:r>
      <w:r>
        <w:rPr>
          <w:spacing w:val="-3"/>
        </w:rPr>
        <w:t> </w:t>
      </w:r>
      <w:r>
        <w:rPr/>
        <w:t>frequently</w:t>
      </w:r>
      <w:r>
        <w:rPr>
          <w:spacing w:val="-2"/>
        </w:rPr>
        <w:t> </w:t>
      </w:r>
      <w:r>
        <w:rPr/>
        <w:t>across</w:t>
      </w:r>
      <w:r>
        <w:rPr>
          <w:spacing w:val="-2"/>
        </w:rPr>
        <w:t> </w:t>
      </w:r>
      <w:r>
        <w:rPr/>
        <w:t>the</w:t>
      </w:r>
      <w:r>
        <w:rPr>
          <w:spacing w:val="-4"/>
        </w:rPr>
        <w:t> </w:t>
      </w:r>
      <w:r>
        <w:rPr/>
        <w:t>ten</w:t>
      </w:r>
      <w:r>
        <w:rPr>
          <w:spacing w:val="-3"/>
        </w:rPr>
        <w:t> </w:t>
      </w:r>
      <w:r>
        <w:rPr/>
        <w:t>years</w:t>
      </w:r>
      <w:r>
        <w:rPr>
          <w:spacing w:val="-2"/>
        </w:rPr>
        <w:t> </w:t>
      </w:r>
      <w:r>
        <w:rPr/>
        <w:t>at</w:t>
      </w:r>
      <w:r>
        <w:rPr>
          <w:spacing w:val="-1"/>
        </w:rPr>
        <w:t> </w:t>
      </w:r>
      <w:r>
        <w:rPr/>
        <w:t>fox-control sites (n=760) compared with no-fox-control sites (n=540). This observation is worth further investigation in the next round of analysis, as echidnas are known to form part of the fox diet.</w:t>
      </w:r>
    </w:p>
    <w:p>
      <w:pPr>
        <w:pStyle w:val="Heading6"/>
        <w:spacing w:before="120"/>
        <w:ind w:right="1204"/>
      </w:pPr>
      <w:r>
        <w:rPr>
          <w:i/>
        </w:rPr>
        <w:t>The</w:t>
      </w:r>
      <w:r>
        <w:rPr>
          <w:i/>
          <w:spacing w:val="-4"/>
        </w:rPr>
        <w:t> </w:t>
      </w:r>
      <w:r>
        <w:rPr>
          <w:i/>
        </w:rPr>
        <w:t>differences</w:t>
      </w:r>
      <w:r>
        <w:rPr>
          <w:i/>
          <w:spacing w:val="-5"/>
        </w:rPr>
        <w:t> </w:t>
      </w:r>
      <w:r>
        <w:rPr>
          <w:i/>
        </w:rPr>
        <w:t>in</w:t>
      </w:r>
      <w:r>
        <w:rPr>
          <w:i/>
          <w:spacing w:val="-4"/>
        </w:rPr>
        <w:t> </w:t>
      </w:r>
      <w:r>
        <w:rPr>
          <w:i/>
        </w:rPr>
        <w:t>fox</w:t>
      </w:r>
      <w:r>
        <w:rPr>
          <w:i/>
          <w:spacing w:val="-2"/>
        </w:rPr>
        <w:t> </w:t>
      </w:r>
      <w:r>
        <w:rPr>
          <w:i/>
        </w:rPr>
        <w:t>and</w:t>
      </w:r>
      <w:r>
        <w:rPr>
          <w:i/>
          <w:spacing w:val="-3"/>
        </w:rPr>
        <w:t> </w:t>
      </w:r>
      <w:r>
        <w:rPr>
          <w:i/>
        </w:rPr>
        <w:t>feral</w:t>
      </w:r>
      <w:r>
        <w:rPr>
          <w:i/>
          <w:spacing w:val="-2"/>
        </w:rPr>
        <w:t> </w:t>
      </w:r>
      <w:r>
        <w:rPr>
          <w:i/>
        </w:rPr>
        <w:t>cat activity</w:t>
      </w:r>
      <w:r>
        <w:rPr>
          <w:i/>
          <w:spacing w:val="-4"/>
        </w:rPr>
        <w:t> </w:t>
      </w:r>
      <w:r>
        <w:rPr>
          <w:i/>
        </w:rPr>
        <w:t>between</w:t>
      </w:r>
      <w:r>
        <w:rPr>
          <w:i/>
          <w:spacing w:val="-2"/>
        </w:rPr>
        <w:t> </w:t>
      </w:r>
      <w:r>
        <w:rPr>
          <w:i/>
        </w:rPr>
        <w:t>locations</w:t>
      </w:r>
      <w:r>
        <w:rPr>
          <w:i/>
          <w:spacing w:val="-3"/>
        </w:rPr>
        <w:t> </w:t>
      </w:r>
      <w:r>
        <w:rPr>
          <w:i/>
        </w:rPr>
        <w:t>with</w:t>
      </w:r>
      <w:r>
        <w:rPr>
          <w:i/>
          <w:spacing w:val="-3"/>
        </w:rPr>
        <w:t> </w:t>
      </w:r>
      <w:r>
        <w:rPr>
          <w:i/>
        </w:rPr>
        <w:t>and</w:t>
      </w:r>
      <w:r>
        <w:rPr>
          <w:i/>
          <w:spacing w:val="-3"/>
        </w:rPr>
        <w:t> </w:t>
      </w:r>
      <w:r>
        <w:rPr>
          <w:i/>
        </w:rPr>
        <w:t>without</w:t>
      </w:r>
      <w:r>
        <w:rPr>
          <w:i/>
          <w:spacing w:val="-3"/>
        </w:rPr>
        <w:t> </w:t>
      </w:r>
      <w:r>
        <w:rPr>
          <w:i/>
        </w:rPr>
        <w:t>fox</w:t>
      </w:r>
      <w:r>
        <w:rPr>
          <w:i/>
          <w:spacing w:val="-4"/>
        </w:rPr>
        <w:t> </w:t>
      </w:r>
      <w:r>
        <w:rPr>
          <w:i/>
        </w:rPr>
        <w:t>control</w:t>
      </w:r>
      <w:r>
        <w:rPr>
          <w:i/>
          <w:spacing w:val="-4"/>
        </w:rPr>
        <w:t> </w:t>
      </w:r>
      <w:r>
        <w:rPr>
          <w:i/>
        </w:rPr>
        <w:t>and</w:t>
      </w:r>
      <w:r>
        <w:rPr>
          <w:i/>
          <w:spacing w:val="-3"/>
        </w:rPr>
        <w:t> </w:t>
      </w:r>
      <w:r>
        <w:rPr>
          <w:i/>
        </w:rPr>
        <w:t>over</w:t>
      </w:r>
      <w:r>
        <w:rPr/>
        <w:t> </w:t>
      </w:r>
      <w:r>
        <w:rPr>
          <w:spacing w:val="-4"/>
        </w:rPr>
        <w:t>time</w:t>
      </w:r>
    </w:p>
    <w:p>
      <w:pPr>
        <w:pStyle w:val="BodyText"/>
        <w:spacing w:before="121"/>
        <w:ind w:left="1132" w:right="1204"/>
      </w:pPr>
      <w:r>
        <w:rPr/>
        <w:t>Overall,</w:t>
      </w:r>
      <w:r>
        <w:rPr>
          <w:spacing w:val="-3"/>
        </w:rPr>
        <w:t> </w:t>
      </w:r>
      <w:r>
        <w:rPr/>
        <w:t>the</w:t>
      </w:r>
      <w:r>
        <w:rPr>
          <w:spacing w:val="-4"/>
        </w:rPr>
        <w:t> </w:t>
      </w:r>
      <w:r>
        <w:rPr/>
        <w:t>fox</w:t>
      </w:r>
      <w:r>
        <w:rPr>
          <w:spacing w:val="-3"/>
        </w:rPr>
        <w:t> </w:t>
      </w:r>
      <w:r>
        <w:rPr/>
        <w:t>activity</w:t>
      </w:r>
      <w:r>
        <w:rPr>
          <w:spacing w:val="-2"/>
        </w:rPr>
        <w:t> </w:t>
      </w:r>
      <w:r>
        <w:rPr/>
        <w:t>index</w:t>
      </w:r>
      <w:r>
        <w:rPr>
          <w:spacing w:val="-3"/>
        </w:rPr>
        <w:t> </w:t>
      </w:r>
      <w:r>
        <w:rPr/>
        <w:t>at</w:t>
      </w:r>
      <w:r>
        <w:rPr>
          <w:spacing w:val="-4"/>
        </w:rPr>
        <w:t> </w:t>
      </w:r>
      <w:r>
        <w:rPr/>
        <w:t>locations</w:t>
      </w:r>
      <w:r>
        <w:rPr>
          <w:spacing w:val="-3"/>
        </w:rPr>
        <w:t> </w:t>
      </w:r>
      <w:r>
        <w:rPr/>
        <w:t>without</w:t>
      </w:r>
      <w:r>
        <w:rPr>
          <w:spacing w:val="-4"/>
        </w:rPr>
        <w:t> </w:t>
      </w:r>
      <w:r>
        <w:rPr/>
        <w:t>fox</w:t>
      </w:r>
      <w:r>
        <w:rPr>
          <w:spacing w:val="-3"/>
        </w:rPr>
        <w:t> </w:t>
      </w:r>
      <w:r>
        <w:rPr/>
        <w:t>control</w:t>
      </w:r>
      <w:r>
        <w:rPr>
          <w:spacing w:val="-1"/>
        </w:rPr>
        <w:t> </w:t>
      </w:r>
      <w:r>
        <w:rPr/>
        <w:t>was</w:t>
      </w:r>
      <w:r>
        <w:rPr>
          <w:spacing w:val="-2"/>
        </w:rPr>
        <w:t> </w:t>
      </w:r>
      <w:r>
        <w:rPr/>
        <w:t>3</w:t>
      </w:r>
      <w:r>
        <w:rPr>
          <w:spacing w:val="-4"/>
        </w:rPr>
        <w:t> </w:t>
      </w:r>
      <w:r>
        <w:rPr/>
        <w:t>times</w:t>
      </w:r>
      <w:r>
        <w:rPr>
          <w:spacing w:val="-3"/>
        </w:rPr>
        <w:t> </w:t>
      </w:r>
      <w:r>
        <w:rPr/>
        <w:t>higher</w:t>
      </w:r>
      <w:r>
        <w:rPr>
          <w:spacing w:val="-2"/>
        </w:rPr>
        <w:t> </w:t>
      </w:r>
      <w:r>
        <w:rPr/>
        <w:t>(95%</w:t>
      </w:r>
      <w:r>
        <w:rPr>
          <w:spacing w:val="-4"/>
        </w:rPr>
        <w:t> </w:t>
      </w:r>
      <w:r>
        <w:rPr/>
        <w:t>CI:</w:t>
      </w:r>
      <w:r>
        <w:rPr>
          <w:spacing w:val="-2"/>
        </w:rPr>
        <w:t> </w:t>
      </w:r>
      <w:r>
        <w:rPr/>
        <w:t>1.7–5.0)</w:t>
      </w:r>
      <w:r>
        <w:rPr>
          <w:spacing w:val="-3"/>
        </w:rPr>
        <w:t> </w:t>
      </w:r>
      <w:r>
        <w:rPr/>
        <w:t>than</w:t>
      </w:r>
      <w:r>
        <w:rPr>
          <w:spacing w:val="-2"/>
        </w:rPr>
        <w:t> </w:t>
      </w:r>
      <w:r>
        <w:rPr/>
        <w:t>the fox activity index at locations with fox control in 2023.</w:t>
      </w:r>
    </w:p>
    <w:p>
      <w:pPr>
        <w:pStyle w:val="BodyText"/>
        <w:spacing w:before="121"/>
        <w:ind w:left="1132" w:right="1140"/>
      </w:pPr>
      <w:r>
        <w:rPr/>
        <w:t>The feral cat activity index varied between locations and over time. Our models provide some support for a reduced</w:t>
      </w:r>
      <w:r>
        <w:rPr>
          <w:spacing w:val="-4"/>
        </w:rPr>
        <w:t> </w:t>
      </w:r>
      <w:r>
        <w:rPr/>
        <w:t>feral</w:t>
      </w:r>
      <w:r>
        <w:rPr>
          <w:spacing w:val="-1"/>
        </w:rPr>
        <w:t> </w:t>
      </w:r>
      <w:r>
        <w:rPr/>
        <w:t>cat</w:t>
      </w:r>
      <w:r>
        <w:rPr>
          <w:spacing w:val="-3"/>
        </w:rPr>
        <w:t> </w:t>
      </w:r>
      <w:r>
        <w:rPr/>
        <w:t>activity</w:t>
      </w:r>
      <w:r>
        <w:rPr>
          <w:spacing w:val="-2"/>
        </w:rPr>
        <w:t> </w:t>
      </w:r>
      <w:r>
        <w:rPr/>
        <w:t>index</w:t>
      </w:r>
      <w:r>
        <w:rPr>
          <w:spacing w:val="-2"/>
        </w:rPr>
        <w:t> </w:t>
      </w:r>
      <w:r>
        <w:rPr/>
        <w:t>in</w:t>
      </w:r>
      <w:r>
        <w:rPr>
          <w:spacing w:val="-1"/>
        </w:rPr>
        <w:t> </w:t>
      </w:r>
      <w:r>
        <w:rPr/>
        <w:t>locations</w:t>
      </w:r>
      <w:r>
        <w:rPr>
          <w:spacing w:val="-2"/>
        </w:rPr>
        <w:t> </w:t>
      </w:r>
      <w:r>
        <w:rPr/>
        <w:t>with</w:t>
      </w:r>
      <w:r>
        <w:rPr>
          <w:spacing w:val="-3"/>
        </w:rPr>
        <w:t> </w:t>
      </w:r>
      <w:r>
        <w:rPr/>
        <w:t>fox</w:t>
      </w:r>
      <w:r>
        <w:rPr>
          <w:spacing w:val="-2"/>
        </w:rPr>
        <w:t> </w:t>
      </w:r>
      <w:r>
        <w:rPr/>
        <w:t>control</w:t>
      </w:r>
      <w:r>
        <w:rPr>
          <w:spacing w:val="-2"/>
        </w:rPr>
        <w:t> </w:t>
      </w:r>
      <w:r>
        <w:rPr/>
        <w:t>and</w:t>
      </w:r>
      <w:r>
        <w:rPr>
          <w:spacing w:val="-1"/>
        </w:rPr>
        <w:t> </w:t>
      </w:r>
      <w:r>
        <w:rPr/>
        <w:t>indicate</w:t>
      </w:r>
      <w:r>
        <w:rPr>
          <w:spacing w:val="-3"/>
        </w:rPr>
        <w:t> </w:t>
      </w:r>
      <w:r>
        <w:rPr/>
        <w:t>a</w:t>
      </w:r>
      <w:r>
        <w:rPr>
          <w:spacing w:val="-4"/>
        </w:rPr>
        <w:t> </w:t>
      </w:r>
      <w:r>
        <w:rPr/>
        <w:t>slight</w:t>
      </w:r>
      <w:r>
        <w:rPr>
          <w:spacing w:val="-3"/>
        </w:rPr>
        <w:t> </w:t>
      </w:r>
      <w:r>
        <w:rPr/>
        <w:t>decline</w:t>
      </w:r>
      <w:r>
        <w:rPr>
          <w:spacing w:val="-3"/>
        </w:rPr>
        <w:t> </w:t>
      </w:r>
      <w:r>
        <w:rPr/>
        <w:t>in</w:t>
      </w:r>
      <w:r>
        <w:rPr>
          <w:spacing w:val="-3"/>
        </w:rPr>
        <w:t> </w:t>
      </w:r>
      <w:r>
        <w:rPr/>
        <w:t>the</w:t>
      </w:r>
      <w:r>
        <w:rPr>
          <w:spacing w:val="-3"/>
        </w:rPr>
        <w:t> </w:t>
      </w:r>
      <w:r>
        <w:rPr/>
        <w:t>feral</w:t>
      </w:r>
      <w:r>
        <w:rPr>
          <w:spacing w:val="-4"/>
        </w:rPr>
        <w:t> </w:t>
      </w:r>
      <w:r>
        <w:rPr/>
        <w:t>cat</w:t>
      </w:r>
      <w:r>
        <w:rPr>
          <w:spacing w:val="-1"/>
        </w:rPr>
        <w:t> </w:t>
      </w:r>
      <w:r>
        <w:rPr/>
        <w:t>activity index across locations over time, except for 2022–2023 when cat activity increased at all locations.</w:t>
      </w:r>
    </w:p>
    <w:p>
      <w:pPr>
        <w:pStyle w:val="Heading3"/>
        <w:spacing w:before="119"/>
        <w:jc w:val="both"/>
      </w:pPr>
      <w:r>
        <w:rPr/>
        <w:t>Conclusions</w:t>
      </w:r>
      <w:r>
        <w:rPr>
          <w:spacing w:val="-5"/>
        </w:rPr>
        <w:t> </w:t>
      </w:r>
      <w:r>
        <w:rPr/>
        <w:t>and</w:t>
      </w:r>
      <w:r>
        <w:rPr>
          <w:spacing w:val="-8"/>
        </w:rPr>
        <w:t> </w:t>
      </w:r>
      <w:r>
        <w:rPr>
          <w:spacing w:val="-2"/>
        </w:rPr>
        <w:t>implications:</w:t>
      </w:r>
    </w:p>
    <w:p>
      <w:pPr>
        <w:pStyle w:val="BodyText"/>
        <w:spacing w:before="119"/>
        <w:ind w:left="1132" w:right="1326"/>
      </w:pPr>
      <w:r>
        <w:rPr/>
        <w:t>The</w:t>
      </w:r>
      <w:r>
        <w:rPr>
          <w:spacing w:val="-5"/>
        </w:rPr>
        <w:t> </w:t>
      </w:r>
      <w:r>
        <w:rPr/>
        <w:t>Glenelg</w:t>
      </w:r>
      <w:r>
        <w:rPr>
          <w:spacing w:val="-2"/>
        </w:rPr>
        <w:t> </w:t>
      </w:r>
      <w:r>
        <w:rPr/>
        <w:t>Ark</w:t>
      </w:r>
      <w:r>
        <w:rPr>
          <w:spacing w:val="-3"/>
        </w:rPr>
        <w:t> </w:t>
      </w:r>
      <w:r>
        <w:rPr/>
        <w:t>program</w:t>
      </w:r>
      <w:r>
        <w:rPr>
          <w:spacing w:val="-4"/>
        </w:rPr>
        <w:t> </w:t>
      </w:r>
      <w:r>
        <w:rPr/>
        <w:t>highlights</w:t>
      </w:r>
      <w:r>
        <w:rPr>
          <w:spacing w:val="-3"/>
        </w:rPr>
        <w:t> </w:t>
      </w:r>
      <w:r>
        <w:rPr/>
        <w:t>the</w:t>
      </w:r>
      <w:r>
        <w:rPr>
          <w:spacing w:val="-4"/>
        </w:rPr>
        <w:t> </w:t>
      </w:r>
      <w:r>
        <w:rPr/>
        <w:t>positive</w:t>
      </w:r>
      <w:r>
        <w:rPr>
          <w:spacing w:val="-4"/>
        </w:rPr>
        <w:t> </w:t>
      </w:r>
      <w:r>
        <w:rPr/>
        <w:t>effects</w:t>
      </w:r>
      <w:r>
        <w:rPr>
          <w:spacing w:val="-3"/>
        </w:rPr>
        <w:t> </w:t>
      </w:r>
      <w:r>
        <w:rPr/>
        <w:t>of</w:t>
      </w:r>
      <w:r>
        <w:rPr>
          <w:spacing w:val="-4"/>
        </w:rPr>
        <w:t> </w:t>
      </w:r>
      <w:r>
        <w:rPr/>
        <w:t>reducing</w:t>
      </w:r>
      <w:r>
        <w:rPr>
          <w:spacing w:val="-2"/>
        </w:rPr>
        <w:t> </w:t>
      </w:r>
      <w:r>
        <w:rPr/>
        <w:t>fox</w:t>
      </w:r>
      <w:r>
        <w:rPr>
          <w:spacing w:val="-3"/>
        </w:rPr>
        <w:t> </w:t>
      </w:r>
      <w:r>
        <w:rPr/>
        <w:t>populations</w:t>
      </w:r>
      <w:r>
        <w:rPr>
          <w:spacing w:val="-3"/>
        </w:rPr>
        <w:t> </w:t>
      </w:r>
      <w:r>
        <w:rPr/>
        <w:t>on</w:t>
      </w:r>
      <w:r>
        <w:rPr>
          <w:spacing w:val="-5"/>
        </w:rPr>
        <w:t> </w:t>
      </w:r>
      <w:r>
        <w:rPr/>
        <w:t>native</w:t>
      </w:r>
      <w:r>
        <w:rPr>
          <w:spacing w:val="-2"/>
        </w:rPr>
        <w:t> </w:t>
      </w:r>
      <w:r>
        <w:rPr/>
        <w:t>species</w:t>
      </w:r>
      <w:r>
        <w:rPr>
          <w:spacing w:val="-3"/>
        </w:rPr>
        <w:t> </w:t>
      </w:r>
      <w:r>
        <w:rPr/>
        <w:t>such as the Common Brush-tailed Possum, Southern Brown Bandicoot and Long-nosed Potoroo.</w:t>
      </w:r>
    </w:p>
    <w:p>
      <w:pPr>
        <w:pStyle w:val="BodyText"/>
        <w:spacing w:before="121"/>
        <w:ind w:left="1132" w:right="1204"/>
      </w:pPr>
      <w:r>
        <w:rPr/>
        <w:t>The program's adaptive management framework allows for ongoing research and strategic planning to address knowledge gaps and unintended consequences. Further studies, particularly on feral cat management</w:t>
      </w:r>
      <w:r>
        <w:rPr>
          <w:spacing w:val="-1"/>
        </w:rPr>
        <w:t> </w:t>
      </w:r>
      <w:r>
        <w:rPr/>
        <w:t>and</w:t>
      </w:r>
      <w:r>
        <w:rPr>
          <w:spacing w:val="-3"/>
        </w:rPr>
        <w:t> </w:t>
      </w:r>
      <w:r>
        <w:rPr/>
        <w:t>the</w:t>
      </w:r>
      <w:r>
        <w:rPr>
          <w:spacing w:val="-3"/>
        </w:rPr>
        <w:t> </w:t>
      </w:r>
      <w:r>
        <w:rPr/>
        <w:t>response</w:t>
      </w:r>
      <w:r>
        <w:rPr>
          <w:spacing w:val="-3"/>
        </w:rPr>
        <w:t> </w:t>
      </w:r>
      <w:r>
        <w:rPr/>
        <w:t>of</w:t>
      </w:r>
      <w:r>
        <w:rPr>
          <w:spacing w:val="-3"/>
        </w:rPr>
        <w:t> </w:t>
      </w:r>
      <w:r>
        <w:rPr/>
        <w:t>species</w:t>
      </w:r>
      <w:r>
        <w:rPr>
          <w:spacing w:val="-2"/>
        </w:rPr>
        <w:t> </w:t>
      </w:r>
      <w:r>
        <w:rPr/>
        <w:t>like</w:t>
      </w:r>
      <w:r>
        <w:rPr>
          <w:spacing w:val="-3"/>
        </w:rPr>
        <w:t> </w:t>
      </w:r>
      <w:r>
        <w:rPr/>
        <w:t>the</w:t>
      </w:r>
      <w:r>
        <w:rPr>
          <w:spacing w:val="-4"/>
        </w:rPr>
        <w:t> </w:t>
      </w:r>
      <w:r>
        <w:rPr/>
        <w:t>endangered</w:t>
      </w:r>
      <w:r>
        <w:rPr>
          <w:spacing w:val="-4"/>
        </w:rPr>
        <w:t> </w:t>
      </w:r>
      <w:r>
        <w:rPr/>
        <w:t>Heath</w:t>
      </w:r>
      <w:r>
        <w:rPr>
          <w:spacing w:val="-1"/>
        </w:rPr>
        <w:t> </w:t>
      </w:r>
      <w:r>
        <w:rPr/>
        <w:t>Mouse</w:t>
      </w:r>
      <w:r>
        <w:rPr>
          <w:spacing w:val="-3"/>
        </w:rPr>
        <w:t> </w:t>
      </w:r>
      <w:r>
        <w:rPr/>
        <w:t>(</w:t>
      </w:r>
      <w:r>
        <w:rPr>
          <w:i/>
        </w:rPr>
        <w:t>Pseudomys</w:t>
      </w:r>
      <w:r>
        <w:rPr>
          <w:i/>
          <w:spacing w:val="-2"/>
        </w:rPr>
        <w:t> </w:t>
      </w:r>
      <w:r>
        <w:rPr>
          <w:i/>
        </w:rPr>
        <w:t>shortridgei</w:t>
      </w:r>
      <w:r>
        <w:rPr/>
        <w:t>),</w:t>
      </w:r>
      <w:r>
        <w:rPr>
          <w:spacing w:val="-3"/>
        </w:rPr>
        <w:t> </w:t>
      </w:r>
      <w:r>
        <w:rPr/>
        <w:t>are crucial for guiding future management strategies and funding priorities.</w:t>
      </w:r>
    </w:p>
    <w:p>
      <w:pPr>
        <w:pStyle w:val="BodyText"/>
        <w:spacing w:before="130"/>
        <w:ind w:left="1132"/>
      </w:pPr>
      <w:r>
        <w:rPr/>
        <w:t>Here</w:t>
      </w:r>
      <w:r>
        <w:rPr>
          <w:spacing w:val="-8"/>
        </w:rPr>
        <w:t> </w:t>
      </w:r>
      <w:r>
        <w:rPr/>
        <w:t>we</w:t>
      </w:r>
      <w:r>
        <w:rPr>
          <w:spacing w:val="-6"/>
        </w:rPr>
        <w:t> </w:t>
      </w:r>
      <w:r>
        <w:rPr/>
        <w:t>provide</w:t>
      </w:r>
      <w:r>
        <w:rPr>
          <w:spacing w:val="-7"/>
        </w:rPr>
        <w:t> </w:t>
      </w:r>
      <w:r>
        <w:rPr/>
        <w:t>some</w:t>
      </w:r>
      <w:r>
        <w:rPr>
          <w:spacing w:val="-7"/>
        </w:rPr>
        <w:t> </w:t>
      </w:r>
      <w:r>
        <w:rPr/>
        <w:t>recommendations</w:t>
      </w:r>
      <w:r>
        <w:rPr>
          <w:spacing w:val="-7"/>
        </w:rPr>
        <w:t> </w:t>
      </w:r>
      <w:r>
        <w:rPr/>
        <w:t>on</w:t>
      </w:r>
      <w:r>
        <w:rPr>
          <w:spacing w:val="-6"/>
        </w:rPr>
        <w:t> </w:t>
      </w:r>
      <w:r>
        <w:rPr/>
        <w:t>possible</w:t>
      </w:r>
      <w:r>
        <w:rPr>
          <w:spacing w:val="-5"/>
        </w:rPr>
        <w:t> </w:t>
      </w:r>
      <w:r>
        <w:rPr/>
        <w:t>next</w:t>
      </w:r>
      <w:r>
        <w:rPr>
          <w:spacing w:val="-7"/>
        </w:rPr>
        <w:t> </w:t>
      </w:r>
      <w:r>
        <w:rPr/>
        <w:t>steps</w:t>
      </w:r>
      <w:r>
        <w:rPr>
          <w:spacing w:val="-7"/>
        </w:rPr>
        <w:t> </w:t>
      </w:r>
      <w:r>
        <w:rPr/>
        <w:t>in</w:t>
      </w:r>
      <w:r>
        <w:rPr>
          <w:spacing w:val="-7"/>
        </w:rPr>
        <w:t> </w:t>
      </w:r>
      <w:r>
        <w:rPr/>
        <w:t>the</w:t>
      </w:r>
      <w:r>
        <w:rPr>
          <w:spacing w:val="-7"/>
        </w:rPr>
        <w:t> </w:t>
      </w:r>
      <w:r>
        <w:rPr/>
        <w:t>monitoring</w:t>
      </w:r>
      <w:r>
        <w:rPr>
          <w:spacing w:val="-6"/>
        </w:rPr>
        <w:t> </w:t>
      </w:r>
      <w:r>
        <w:rPr>
          <w:spacing w:val="-2"/>
        </w:rPr>
        <w:t>program.</w:t>
      </w:r>
    </w:p>
    <w:p>
      <w:pPr>
        <w:pStyle w:val="ListParagraph"/>
        <w:numPr>
          <w:ilvl w:val="0"/>
          <w:numId w:val="4"/>
        </w:numPr>
        <w:tabs>
          <w:tab w:pos="1491" w:val="left" w:leader="none"/>
          <w:tab w:pos="1493" w:val="left" w:leader="none"/>
        </w:tabs>
        <w:spacing w:line="232" w:lineRule="auto" w:before="119" w:after="0"/>
        <w:ind w:left="1493" w:right="1671" w:hanging="361"/>
        <w:jc w:val="left"/>
        <w:rPr>
          <w:sz w:val="20"/>
        </w:rPr>
      </w:pPr>
      <w:r>
        <w:rPr>
          <w:sz w:val="20"/>
        </w:rPr>
        <w:t>Continue</w:t>
      </w:r>
      <w:r>
        <w:rPr>
          <w:spacing w:val="-4"/>
          <w:sz w:val="20"/>
        </w:rPr>
        <w:t> </w:t>
      </w:r>
      <w:r>
        <w:rPr>
          <w:sz w:val="20"/>
        </w:rPr>
        <w:t>the</w:t>
      </w:r>
      <w:r>
        <w:rPr>
          <w:spacing w:val="-4"/>
          <w:sz w:val="20"/>
        </w:rPr>
        <w:t> </w:t>
      </w:r>
      <w:r>
        <w:rPr>
          <w:sz w:val="20"/>
        </w:rPr>
        <w:t>current</w:t>
      </w:r>
      <w:r>
        <w:rPr>
          <w:spacing w:val="-2"/>
          <w:sz w:val="20"/>
        </w:rPr>
        <w:t> </w:t>
      </w:r>
      <w:r>
        <w:rPr>
          <w:sz w:val="20"/>
        </w:rPr>
        <w:t>monitoring</w:t>
      </w:r>
      <w:r>
        <w:rPr>
          <w:spacing w:val="-2"/>
          <w:sz w:val="20"/>
        </w:rPr>
        <w:t> </w:t>
      </w:r>
      <w:r>
        <w:rPr>
          <w:sz w:val="20"/>
        </w:rPr>
        <w:t>to</w:t>
      </w:r>
      <w:r>
        <w:rPr>
          <w:spacing w:val="-2"/>
          <w:sz w:val="20"/>
        </w:rPr>
        <w:t> </w:t>
      </w:r>
      <w:r>
        <w:rPr>
          <w:sz w:val="20"/>
        </w:rPr>
        <w:t>improve</w:t>
      </w:r>
      <w:r>
        <w:rPr>
          <w:spacing w:val="-4"/>
          <w:sz w:val="20"/>
        </w:rPr>
        <w:t> </w:t>
      </w:r>
      <w:r>
        <w:rPr>
          <w:sz w:val="20"/>
        </w:rPr>
        <w:t>the</w:t>
      </w:r>
      <w:r>
        <w:rPr>
          <w:spacing w:val="-4"/>
          <w:sz w:val="20"/>
        </w:rPr>
        <w:t> </w:t>
      </w:r>
      <w:r>
        <w:rPr>
          <w:sz w:val="20"/>
        </w:rPr>
        <w:t>estimates</w:t>
      </w:r>
      <w:r>
        <w:rPr>
          <w:spacing w:val="-3"/>
          <w:sz w:val="20"/>
        </w:rPr>
        <w:t> </w:t>
      </w:r>
      <w:r>
        <w:rPr>
          <w:sz w:val="20"/>
        </w:rPr>
        <w:t>and</w:t>
      </w:r>
      <w:r>
        <w:rPr>
          <w:spacing w:val="-2"/>
          <w:sz w:val="20"/>
        </w:rPr>
        <w:t> </w:t>
      </w:r>
      <w:r>
        <w:rPr>
          <w:sz w:val="20"/>
        </w:rPr>
        <w:t>model</w:t>
      </w:r>
      <w:r>
        <w:rPr>
          <w:spacing w:val="-5"/>
          <w:sz w:val="20"/>
        </w:rPr>
        <w:t> </w:t>
      </w:r>
      <w:r>
        <w:rPr>
          <w:sz w:val="20"/>
        </w:rPr>
        <w:t>predictions for</w:t>
      </w:r>
      <w:r>
        <w:rPr>
          <w:spacing w:val="-3"/>
          <w:sz w:val="20"/>
        </w:rPr>
        <w:t> </w:t>
      </w:r>
      <w:r>
        <w:rPr>
          <w:sz w:val="20"/>
        </w:rPr>
        <w:t>better</w:t>
      </w:r>
      <w:r>
        <w:rPr>
          <w:spacing w:val="-2"/>
          <w:sz w:val="20"/>
        </w:rPr>
        <w:t> </w:t>
      </w:r>
      <w:r>
        <w:rPr>
          <w:sz w:val="20"/>
        </w:rPr>
        <w:t>informed </w:t>
      </w:r>
      <w:r>
        <w:rPr>
          <w:spacing w:val="-2"/>
          <w:sz w:val="20"/>
        </w:rPr>
        <w:t>management.</w:t>
      </w:r>
    </w:p>
    <w:p>
      <w:pPr>
        <w:pStyle w:val="ListParagraph"/>
        <w:numPr>
          <w:ilvl w:val="0"/>
          <w:numId w:val="4"/>
        </w:numPr>
        <w:tabs>
          <w:tab w:pos="1491" w:val="left" w:leader="none"/>
          <w:tab w:pos="1493" w:val="left" w:leader="none"/>
        </w:tabs>
        <w:spacing w:line="242" w:lineRule="auto" w:before="115" w:after="0"/>
        <w:ind w:left="1493" w:right="1944" w:hanging="361"/>
        <w:jc w:val="left"/>
        <w:rPr>
          <w:sz w:val="20"/>
        </w:rPr>
      </w:pPr>
      <w:r>
        <w:rPr>
          <w:sz w:val="20"/>
        </w:rPr>
        <w:t>Review the variables used in the modelling and update with both site-specific data and more representative</w:t>
      </w:r>
      <w:r>
        <w:rPr>
          <w:spacing w:val="-5"/>
          <w:sz w:val="20"/>
        </w:rPr>
        <w:t> </w:t>
      </w:r>
      <w:r>
        <w:rPr>
          <w:sz w:val="20"/>
        </w:rPr>
        <w:t>remotely</w:t>
      </w:r>
      <w:r>
        <w:rPr>
          <w:spacing w:val="-4"/>
          <w:sz w:val="20"/>
        </w:rPr>
        <w:t> </w:t>
      </w:r>
      <w:r>
        <w:rPr>
          <w:sz w:val="20"/>
        </w:rPr>
        <w:t>sensed</w:t>
      </w:r>
      <w:r>
        <w:rPr>
          <w:spacing w:val="-6"/>
          <w:sz w:val="20"/>
        </w:rPr>
        <w:t> </w:t>
      </w:r>
      <w:r>
        <w:rPr>
          <w:sz w:val="20"/>
        </w:rPr>
        <w:t>variables,</w:t>
      </w:r>
      <w:r>
        <w:rPr>
          <w:spacing w:val="-1"/>
          <w:sz w:val="20"/>
        </w:rPr>
        <w:t> </w:t>
      </w:r>
      <w:r>
        <w:rPr>
          <w:sz w:val="20"/>
        </w:rPr>
        <w:t>e.g.</w:t>
      </w:r>
      <w:r>
        <w:rPr>
          <w:spacing w:val="-5"/>
          <w:sz w:val="20"/>
        </w:rPr>
        <w:t> </w:t>
      </w:r>
      <w:r>
        <w:rPr>
          <w:sz w:val="20"/>
        </w:rPr>
        <w:t>the</w:t>
      </w:r>
      <w:r>
        <w:rPr>
          <w:spacing w:val="-5"/>
          <w:sz w:val="20"/>
        </w:rPr>
        <w:t> </w:t>
      </w:r>
      <w:r>
        <w:rPr>
          <w:sz w:val="20"/>
        </w:rPr>
        <w:t>fraction</w:t>
      </w:r>
      <w:r>
        <w:rPr>
          <w:spacing w:val="-4"/>
          <w:sz w:val="20"/>
        </w:rPr>
        <w:t> </w:t>
      </w:r>
      <w:r>
        <w:rPr>
          <w:sz w:val="20"/>
        </w:rPr>
        <w:t>of</w:t>
      </w:r>
      <w:r>
        <w:rPr>
          <w:spacing w:val="-5"/>
          <w:sz w:val="20"/>
        </w:rPr>
        <w:t> </w:t>
      </w:r>
      <w:r>
        <w:rPr>
          <w:sz w:val="20"/>
        </w:rPr>
        <w:t>absorbed</w:t>
      </w:r>
      <w:r>
        <w:rPr>
          <w:spacing w:val="-3"/>
          <w:sz w:val="20"/>
        </w:rPr>
        <w:t> </w:t>
      </w:r>
      <w:r>
        <w:rPr>
          <w:sz w:val="20"/>
        </w:rPr>
        <w:t>photosynthetically</w:t>
      </w:r>
      <w:r>
        <w:rPr>
          <w:spacing w:val="-4"/>
          <w:sz w:val="20"/>
        </w:rPr>
        <w:t> </w:t>
      </w:r>
      <w:r>
        <w:rPr>
          <w:sz w:val="20"/>
        </w:rPr>
        <w:t>active radiation (FAPAR) as a more informative measure of changes in productivity.</w:t>
      </w:r>
    </w:p>
    <w:p>
      <w:pPr>
        <w:pStyle w:val="ListParagraph"/>
        <w:spacing w:after="0" w:line="242" w:lineRule="auto"/>
        <w:jc w:val="left"/>
        <w:rPr>
          <w:sz w:val="20"/>
        </w:rPr>
        <w:sectPr>
          <w:footerReference w:type="default" r:id="rId26"/>
          <w:pgSz w:w="11910" w:h="16850"/>
          <w:pgMar w:header="0" w:footer="688" w:top="1060" w:bottom="880" w:left="0" w:right="0"/>
        </w:sectPr>
      </w:pPr>
    </w:p>
    <w:p>
      <w:pPr>
        <w:pStyle w:val="ListParagraph"/>
        <w:numPr>
          <w:ilvl w:val="0"/>
          <w:numId w:val="4"/>
        </w:numPr>
        <w:tabs>
          <w:tab w:pos="1491" w:val="left" w:leader="none"/>
          <w:tab w:pos="1493" w:val="left" w:leader="none"/>
        </w:tabs>
        <w:spacing w:line="242" w:lineRule="auto" w:before="51" w:after="0"/>
        <w:ind w:left="1493" w:right="1342" w:hanging="361"/>
        <w:jc w:val="left"/>
        <w:rPr>
          <w:sz w:val="20"/>
        </w:rPr>
      </w:pPr>
      <w:r>
        <w:rPr>
          <w:sz w:val="20"/>
        </w:rPr>
        <w:t>Improve our assessment of fox and feral cat densities across all sites, through (i) data derived from genetic</w:t>
      </w:r>
      <w:r>
        <w:rPr>
          <w:spacing w:val="-3"/>
          <w:sz w:val="20"/>
        </w:rPr>
        <w:t> </w:t>
      </w:r>
      <w:r>
        <w:rPr>
          <w:sz w:val="20"/>
        </w:rPr>
        <w:t>material</w:t>
      </w:r>
      <w:r>
        <w:rPr>
          <w:spacing w:val="-4"/>
          <w:sz w:val="20"/>
        </w:rPr>
        <w:t> </w:t>
      </w:r>
      <w:r>
        <w:rPr>
          <w:sz w:val="20"/>
        </w:rPr>
        <w:t>collected</w:t>
      </w:r>
      <w:r>
        <w:rPr>
          <w:spacing w:val="-2"/>
          <w:sz w:val="20"/>
        </w:rPr>
        <w:t> </w:t>
      </w:r>
      <w:r>
        <w:rPr>
          <w:sz w:val="20"/>
        </w:rPr>
        <w:t>from</w:t>
      </w:r>
      <w:r>
        <w:rPr>
          <w:spacing w:val="-3"/>
          <w:sz w:val="20"/>
        </w:rPr>
        <w:t> </w:t>
      </w:r>
      <w:r>
        <w:rPr>
          <w:sz w:val="20"/>
        </w:rPr>
        <w:t>scats,</w:t>
      </w:r>
      <w:r>
        <w:rPr>
          <w:spacing w:val="-3"/>
          <w:sz w:val="20"/>
        </w:rPr>
        <w:t> </w:t>
      </w:r>
      <w:r>
        <w:rPr>
          <w:sz w:val="20"/>
        </w:rPr>
        <w:t>and/or</w:t>
      </w:r>
      <w:r>
        <w:rPr>
          <w:spacing w:val="-3"/>
          <w:sz w:val="20"/>
        </w:rPr>
        <w:t> </w:t>
      </w:r>
      <w:r>
        <w:rPr>
          <w:sz w:val="20"/>
        </w:rPr>
        <w:t>(ii)</w:t>
      </w:r>
      <w:r>
        <w:rPr>
          <w:spacing w:val="-3"/>
          <w:sz w:val="20"/>
        </w:rPr>
        <w:t> </w:t>
      </w:r>
      <w:r>
        <w:rPr>
          <w:sz w:val="20"/>
        </w:rPr>
        <w:t>the</w:t>
      </w:r>
      <w:r>
        <w:rPr>
          <w:spacing w:val="-3"/>
          <w:sz w:val="20"/>
        </w:rPr>
        <w:t> </w:t>
      </w:r>
      <w:r>
        <w:rPr>
          <w:sz w:val="20"/>
        </w:rPr>
        <w:t>use</w:t>
      </w:r>
      <w:r>
        <w:rPr>
          <w:spacing w:val="-3"/>
          <w:sz w:val="20"/>
        </w:rPr>
        <w:t> </w:t>
      </w:r>
      <w:r>
        <w:rPr>
          <w:sz w:val="20"/>
        </w:rPr>
        <w:t>of</w:t>
      </w:r>
      <w:r>
        <w:rPr>
          <w:spacing w:val="-2"/>
          <w:sz w:val="20"/>
        </w:rPr>
        <w:t> </w:t>
      </w:r>
      <w:r>
        <w:rPr>
          <w:sz w:val="20"/>
        </w:rPr>
        <w:t>distance-sampling</w:t>
      </w:r>
      <w:r>
        <w:rPr>
          <w:spacing w:val="-3"/>
          <w:sz w:val="20"/>
        </w:rPr>
        <w:t> </w:t>
      </w:r>
      <w:r>
        <w:rPr>
          <w:sz w:val="20"/>
        </w:rPr>
        <w:t>using</w:t>
      </w:r>
      <w:r>
        <w:rPr>
          <w:spacing w:val="-3"/>
          <w:sz w:val="20"/>
        </w:rPr>
        <w:t> </w:t>
      </w:r>
      <w:r>
        <w:rPr>
          <w:sz w:val="20"/>
        </w:rPr>
        <w:t>data</w:t>
      </w:r>
      <w:r>
        <w:rPr>
          <w:spacing w:val="-3"/>
          <w:sz w:val="20"/>
        </w:rPr>
        <w:t> </w:t>
      </w:r>
      <w:r>
        <w:rPr>
          <w:sz w:val="20"/>
        </w:rPr>
        <w:t>collected</w:t>
      </w:r>
      <w:r>
        <w:rPr>
          <w:spacing w:val="-3"/>
          <w:sz w:val="20"/>
        </w:rPr>
        <w:t> </w:t>
      </w:r>
      <w:r>
        <w:rPr>
          <w:sz w:val="20"/>
        </w:rPr>
        <w:t>from camera traps.</w:t>
      </w:r>
    </w:p>
    <w:p>
      <w:pPr>
        <w:pStyle w:val="ListParagraph"/>
        <w:numPr>
          <w:ilvl w:val="0"/>
          <w:numId w:val="4"/>
        </w:numPr>
        <w:tabs>
          <w:tab w:pos="1491" w:val="left" w:leader="none"/>
          <w:tab w:pos="1493" w:val="left" w:leader="none"/>
        </w:tabs>
        <w:spacing w:line="242" w:lineRule="auto" w:before="109" w:after="0"/>
        <w:ind w:left="1493" w:right="1261" w:hanging="361"/>
        <w:jc w:val="left"/>
        <w:rPr>
          <w:sz w:val="20"/>
        </w:rPr>
      </w:pPr>
      <w:r>
        <w:rPr>
          <w:sz w:val="20"/>
        </w:rPr>
        <w:t>Commence planning for the integration of feral cat control. A possible design for the rollout of feral cat control</w:t>
      </w:r>
      <w:r>
        <w:rPr>
          <w:spacing w:val="-2"/>
          <w:sz w:val="20"/>
        </w:rPr>
        <w:t> </w:t>
      </w:r>
      <w:r>
        <w:rPr>
          <w:sz w:val="20"/>
        </w:rPr>
        <w:t>is</w:t>
      </w:r>
      <w:r>
        <w:rPr>
          <w:spacing w:val="-2"/>
          <w:sz w:val="20"/>
        </w:rPr>
        <w:t> </w:t>
      </w:r>
      <w:r>
        <w:rPr>
          <w:sz w:val="20"/>
        </w:rPr>
        <w:t>provided</w:t>
      </w:r>
      <w:r>
        <w:rPr>
          <w:spacing w:val="-1"/>
          <w:sz w:val="20"/>
        </w:rPr>
        <w:t> </w:t>
      </w:r>
      <w:r>
        <w:rPr>
          <w:sz w:val="20"/>
        </w:rPr>
        <w:t>in</w:t>
      </w:r>
      <w:r>
        <w:rPr>
          <w:spacing w:val="-1"/>
          <w:sz w:val="20"/>
        </w:rPr>
        <w:t> </w:t>
      </w:r>
      <w:r>
        <w:rPr>
          <w:sz w:val="20"/>
        </w:rPr>
        <w:t>Robley</w:t>
      </w:r>
      <w:r>
        <w:rPr>
          <w:spacing w:val="-2"/>
          <w:sz w:val="20"/>
        </w:rPr>
        <w:t> </w:t>
      </w:r>
      <w:r>
        <w:rPr>
          <w:sz w:val="20"/>
        </w:rPr>
        <w:t>et</w:t>
      </w:r>
      <w:r>
        <w:rPr>
          <w:spacing w:val="-3"/>
          <w:sz w:val="20"/>
        </w:rPr>
        <w:t> </w:t>
      </w:r>
      <w:r>
        <w:rPr>
          <w:sz w:val="20"/>
        </w:rPr>
        <w:t>al.</w:t>
      </w:r>
      <w:r>
        <w:rPr>
          <w:spacing w:val="-3"/>
          <w:sz w:val="20"/>
        </w:rPr>
        <w:t> </w:t>
      </w:r>
      <w:r>
        <w:rPr>
          <w:sz w:val="20"/>
        </w:rPr>
        <w:t>(2019).</w:t>
      </w:r>
      <w:r>
        <w:rPr>
          <w:spacing w:val="-3"/>
          <w:sz w:val="20"/>
        </w:rPr>
        <w:t> </w:t>
      </w:r>
      <w:r>
        <w:rPr>
          <w:sz w:val="20"/>
        </w:rPr>
        <w:t>This</w:t>
      </w:r>
      <w:r>
        <w:rPr>
          <w:spacing w:val="-2"/>
          <w:sz w:val="20"/>
        </w:rPr>
        <w:t> </w:t>
      </w:r>
      <w:r>
        <w:rPr>
          <w:sz w:val="20"/>
        </w:rPr>
        <w:t>approach</w:t>
      </w:r>
      <w:r>
        <w:rPr>
          <w:spacing w:val="-3"/>
          <w:sz w:val="20"/>
        </w:rPr>
        <w:t> </w:t>
      </w:r>
      <w:r>
        <w:rPr>
          <w:sz w:val="20"/>
        </w:rPr>
        <w:t>would</w:t>
      </w:r>
      <w:r>
        <w:rPr>
          <w:spacing w:val="-3"/>
          <w:sz w:val="20"/>
        </w:rPr>
        <w:t> </w:t>
      </w:r>
      <w:r>
        <w:rPr>
          <w:sz w:val="20"/>
        </w:rPr>
        <w:t>continue</w:t>
      </w:r>
      <w:r>
        <w:rPr>
          <w:spacing w:val="-4"/>
          <w:sz w:val="20"/>
        </w:rPr>
        <w:t> </w:t>
      </w:r>
      <w:r>
        <w:rPr>
          <w:sz w:val="20"/>
        </w:rPr>
        <w:t>to</w:t>
      </w:r>
      <w:r>
        <w:rPr>
          <w:spacing w:val="-3"/>
          <w:sz w:val="20"/>
        </w:rPr>
        <w:t> </w:t>
      </w:r>
      <w:r>
        <w:rPr>
          <w:sz w:val="20"/>
        </w:rPr>
        <w:t>add</w:t>
      </w:r>
      <w:r>
        <w:rPr>
          <w:spacing w:val="-4"/>
          <w:sz w:val="20"/>
        </w:rPr>
        <w:t> </w:t>
      </w:r>
      <w:r>
        <w:rPr>
          <w:sz w:val="20"/>
        </w:rPr>
        <w:t>to</w:t>
      </w:r>
      <w:r>
        <w:rPr>
          <w:spacing w:val="-1"/>
          <w:sz w:val="20"/>
        </w:rPr>
        <w:t> </w:t>
      </w:r>
      <w:r>
        <w:rPr>
          <w:sz w:val="20"/>
        </w:rPr>
        <w:t>the</w:t>
      </w:r>
      <w:r>
        <w:rPr>
          <w:spacing w:val="-3"/>
          <w:sz w:val="20"/>
        </w:rPr>
        <w:t> </w:t>
      </w:r>
      <w:r>
        <w:rPr>
          <w:sz w:val="20"/>
        </w:rPr>
        <w:t>current</w:t>
      </w:r>
      <w:r>
        <w:rPr>
          <w:spacing w:val="-3"/>
          <w:sz w:val="20"/>
        </w:rPr>
        <w:t> </w:t>
      </w:r>
      <w:r>
        <w:rPr>
          <w:sz w:val="20"/>
        </w:rPr>
        <w:t>long-term monitoring dataset, but would allow for the integration of feral cat control.</w:t>
      </w:r>
    </w:p>
    <w:p>
      <w:pPr>
        <w:pStyle w:val="ListParagraph"/>
        <w:numPr>
          <w:ilvl w:val="0"/>
          <w:numId w:val="4"/>
        </w:numPr>
        <w:tabs>
          <w:tab w:pos="1491" w:val="left" w:leader="none"/>
          <w:tab w:pos="1493" w:val="left" w:leader="none"/>
        </w:tabs>
        <w:spacing w:line="232" w:lineRule="auto" w:before="116" w:after="0"/>
        <w:ind w:left="1493" w:right="1445" w:hanging="361"/>
        <w:jc w:val="left"/>
        <w:rPr>
          <w:sz w:val="20"/>
        </w:rPr>
      </w:pPr>
      <w:r>
        <w:rPr>
          <w:sz w:val="20"/>
        </w:rPr>
        <w:t>Look</w:t>
      </w:r>
      <w:r>
        <w:rPr>
          <w:spacing w:val="-3"/>
          <w:sz w:val="20"/>
        </w:rPr>
        <w:t> </w:t>
      </w:r>
      <w:r>
        <w:rPr>
          <w:sz w:val="20"/>
        </w:rPr>
        <w:t>for</w:t>
      </w:r>
      <w:r>
        <w:rPr>
          <w:spacing w:val="-1"/>
          <w:sz w:val="20"/>
        </w:rPr>
        <w:t> </w:t>
      </w:r>
      <w:r>
        <w:rPr>
          <w:sz w:val="20"/>
        </w:rPr>
        <w:t>opportunities</w:t>
      </w:r>
      <w:r>
        <w:rPr>
          <w:spacing w:val="-3"/>
          <w:sz w:val="20"/>
        </w:rPr>
        <w:t> </w:t>
      </w:r>
      <w:r>
        <w:rPr>
          <w:sz w:val="20"/>
        </w:rPr>
        <w:t>to</w:t>
      </w:r>
      <w:r>
        <w:rPr>
          <w:spacing w:val="-3"/>
          <w:sz w:val="20"/>
        </w:rPr>
        <w:t> </w:t>
      </w:r>
      <w:r>
        <w:rPr>
          <w:sz w:val="20"/>
        </w:rPr>
        <w:t>assess</w:t>
      </w:r>
      <w:r>
        <w:rPr>
          <w:spacing w:val="-3"/>
          <w:sz w:val="20"/>
        </w:rPr>
        <w:t> </w:t>
      </w:r>
      <w:r>
        <w:rPr>
          <w:sz w:val="20"/>
        </w:rPr>
        <w:t>the</w:t>
      </w:r>
      <w:r>
        <w:rPr>
          <w:spacing w:val="-4"/>
          <w:sz w:val="20"/>
        </w:rPr>
        <w:t> </w:t>
      </w:r>
      <w:r>
        <w:rPr>
          <w:sz w:val="20"/>
        </w:rPr>
        <w:t>response of</w:t>
      </w:r>
      <w:r>
        <w:rPr>
          <w:spacing w:val="-4"/>
          <w:sz w:val="20"/>
        </w:rPr>
        <w:t> </w:t>
      </w:r>
      <w:r>
        <w:rPr>
          <w:sz w:val="20"/>
        </w:rPr>
        <w:t>small</w:t>
      </w:r>
      <w:r>
        <w:rPr>
          <w:spacing w:val="-3"/>
          <w:sz w:val="20"/>
        </w:rPr>
        <w:t> </w:t>
      </w:r>
      <w:r>
        <w:rPr>
          <w:sz w:val="20"/>
        </w:rPr>
        <w:t>mammals</w:t>
      </w:r>
      <w:r>
        <w:rPr>
          <w:spacing w:val="-3"/>
          <w:sz w:val="20"/>
        </w:rPr>
        <w:t> </w:t>
      </w:r>
      <w:r>
        <w:rPr>
          <w:sz w:val="20"/>
        </w:rPr>
        <w:t>to</w:t>
      </w:r>
      <w:r>
        <w:rPr>
          <w:spacing w:val="-4"/>
          <w:sz w:val="20"/>
        </w:rPr>
        <w:t> </w:t>
      </w:r>
      <w:r>
        <w:rPr>
          <w:sz w:val="20"/>
        </w:rPr>
        <w:t>fox</w:t>
      </w:r>
      <w:r>
        <w:rPr>
          <w:spacing w:val="-3"/>
          <w:sz w:val="20"/>
        </w:rPr>
        <w:t> </w:t>
      </w:r>
      <w:r>
        <w:rPr>
          <w:sz w:val="20"/>
        </w:rPr>
        <w:t>control,</w:t>
      </w:r>
      <w:r>
        <w:rPr>
          <w:spacing w:val="-4"/>
          <w:sz w:val="20"/>
        </w:rPr>
        <w:t> </w:t>
      </w:r>
      <w:r>
        <w:rPr>
          <w:sz w:val="20"/>
        </w:rPr>
        <w:t>in</w:t>
      </w:r>
      <w:r>
        <w:rPr>
          <w:spacing w:val="-2"/>
          <w:sz w:val="20"/>
        </w:rPr>
        <w:t> </w:t>
      </w:r>
      <w:r>
        <w:rPr>
          <w:sz w:val="20"/>
        </w:rPr>
        <w:t>particular</w:t>
      </w:r>
      <w:r>
        <w:rPr>
          <w:spacing w:val="-4"/>
          <w:sz w:val="20"/>
        </w:rPr>
        <w:t> </w:t>
      </w:r>
      <w:r>
        <w:rPr>
          <w:sz w:val="20"/>
        </w:rPr>
        <w:t>the</w:t>
      </w:r>
      <w:r>
        <w:rPr>
          <w:spacing w:val="-4"/>
          <w:sz w:val="20"/>
        </w:rPr>
        <w:t> </w:t>
      </w:r>
      <w:r>
        <w:rPr>
          <w:sz w:val="20"/>
        </w:rPr>
        <w:t>Heath </w:t>
      </w:r>
      <w:r>
        <w:rPr>
          <w:spacing w:val="-2"/>
          <w:sz w:val="20"/>
        </w:rPr>
        <w:t>Mouse.</w:t>
      </w:r>
    </w:p>
    <w:p>
      <w:pPr>
        <w:pStyle w:val="ListParagraph"/>
        <w:numPr>
          <w:ilvl w:val="0"/>
          <w:numId w:val="4"/>
        </w:numPr>
        <w:tabs>
          <w:tab w:pos="1491" w:val="left" w:leader="none"/>
        </w:tabs>
        <w:spacing w:line="240" w:lineRule="auto" w:before="117" w:after="0"/>
        <w:ind w:left="1491" w:right="0" w:hanging="359"/>
        <w:jc w:val="left"/>
        <w:rPr>
          <w:sz w:val="20"/>
        </w:rPr>
      </w:pPr>
      <w:r>
        <w:rPr>
          <w:sz w:val="20"/>
        </w:rPr>
        <w:t>Include</w:t>
      </w:r>
      <w:r>
        <w:rPr>
          <w:spacing w:val="-8"/>
          <w:sz w:val="20"/>
        </w:rPr>
        <w:t> </w:t>
      </w:r>
      <w:r>
        <w:rPr>
          <w:sz w:val="20"/>
        </w:rPr>
        <w:t>Short-beaked</w:t>
      </w:r>
      <w:r>
        <w:rPr>
          <w:spacing w:val="-7"/>
          <w:sz w:val="20"/>
        </w:rPr>
        <w:t> </w:t>
      </w:r>
      <w:r>
        <w:rPr>
          <w:sz w:val="20"/>
        </w:rPr>
        <w:t>Echidna</w:t>
      </w:r>
      <w:r>
        <w:rPr>
          <w:spacing w:val="-8"/>
          <w:sz w:val="20"/>
        </w:rPr>
        <w:t> </w:t>
      </w:r>
      <w:r>
        <w:rPr>
          <w:sz w:val="20"/>
        </w:rPr>
        <w:t>response</w:t>
      </w:r>
      <w:r>
        <w:rPr>
          <w:spacing w:val="-5"/>
          <w:sz w:val="20"/>
        </w:rPr>
        <w:t> </w:t>
      </w:r>
      <w:r>
        <w:rPr>
          <w:sz w:val="20"/>
        </w:rPr>
        <w:t>in</w:t>
      </w:r>
      <w:r>
        <w:rPr>
          <w:spacing w:val="-8"/>
          <w:sz w:val="20"/>
        </w:rPr>
        <w:t> </w:t>
      </w:r>
      <w:r>
        <w:rPr>
          <w:sz w:val="20"/>
        </w:rPr>
        <w:t>the</w:t>
      </w:r>
      <w:r>
        <w:rPr>
          <w:spacing w:val="-7"/>
          <w:sz w:val="20"/>
        </w:rPr>
        <w:t> </w:t>
      </w:r>
      <w:r>
        <w:rPr>
          <w:sz w:val="20"/>
        </w:rPr>
        <w:t>2024</w:t>
      </w:r>
      <w:r>
        <w:rPr>
          <w:spacing w:val="-8"/>
          <w:sz w:val="20"/>
        </w:rPr>
        <w:t> </w:t>
      </w:r>
      <w:r>
        <w:rPr>
          <w:sz w:val="20"/>
        </w:rPr>
        <w:t>data</w:t>
      </w:r>
      <w:r>
        <w:rPr>
          <w:spacing w:val="-8"/>
          <w:sz w:val="20"/>
        </w:rPr>
        <w:t> </w:t>
      </w:r>
      <w:r>
        <w:rPr>
          <w:spacing w:val="-2"/>
          <w:sz w:val="20"/>
        </w:rPr>
        <w:t>analysis.</w:t>
      </w:r>
    </w:p>
    <w:p>
      <w:pPr>
        <w:pStyle w:val="ListParagraph"/>
        <w:spacing w:after="0" w:line="240" w:lineRule="auto"/>
        <w:jc w:val="left"/>
        <w:rPr>
          <w:sz w:val="20"/>
        </w:rPr>
        <w:sectPr>
          <w:footerReference w:type="default" r:id="rId27"/>
          <w:pgSz w:w="11910" w:h="16850"/>
          <w:pgMar w:header="0" w:footer="688" w:top="1080" w:bottom="880" w:left="0" w:right="0"/>
        </w:sectPr>
      </w:pPr>
    </w:p>
    <w:p>
      <w:pPr>
        <w:pStyle w:val="Heading2"/>
        <w:numPr>
          <w:ilvl w:val="0"/>
          <w:numId w:val="5"/>
        </w:numPr>
        <w:tabs>
          <w:tab w:pos="1565" w:val="left" w:leader="none"/>
        </w:tabs>
        <w:spacing w:line="240" w:lineRule="auto" w:before="61" w:after="0"/>
        <w:ind w:left="1565" w:right="0" w:hanging="433"/>
        <w:jc w:val="left"/>
      </w:pPr>
      <w:bookmarkStart w:name="_TOC_250018" w:id="3"/>
      <w:bookmarkEnd w:id="3"/>
      <w:r>
        <w:rPr>
          <w:color w:val="001F5F"/>
          <w:spacing w:val="-2"/>
        </w:rPr>
        <w:t>Introduction</w:t>
      </w:r>
    </w:p>
    <w:p>
      <w:pPr>
        <w:pStyle w:val="BodyText"/>
        <w:spacing w:before="255"/>
        <w:rPr>
          <w:b/>
          <w:sz w:val="32"/>
        </w:rPr>
      </w:pPr>
    </w:p>
    <w:p>
      <w:pPr>
        <w:pStyle w:val="BodyText"/>
        <w:spacing w:before="1"/>
        <w:ind w:left="1132" w:right="1347"/>
        <w:jc w:val="both"/>
      </w:pPr>
      <w:r>
        <w:rPr/>
        <w:t>The</w:t>
      </w:r>
      <w:r>
        <w:rPr>
          <w:spacing w:val="-3"/>
        </w:rPr>
        <w:t> </w:t>
      </w:r>
      <w:r>
        <w:rPr/>
        <w:t>Red</w:t>
      </w:r>
      <w:r>
        <w:rPr>
          <w:spacing w:val="-3"/>
        </w:rPr>
        <w:t> </w:t>
      </w:r>
      <w:r>
        <w:rPr/>
        <w:t>Fox</w:t>
      </w:r>
      <w:r>
        <w:rPr>
          <w:spacing w:val="-2"/>
        </w:rPr>
        <w:t> </w:t>
      </w:r>
      <w:r>
        <w:rPr/>
        <w:t>(</w:t>
      </w:r>
      <w:r>
        <w:rPr>
          <w:i/>
        </w:rPr>
        <w:t>Vulpes</w:t>
      </w:r>
      <w:r>
        <w:rPr>
          <w:i/>
          <w:spacing w:val="-2"/>
        </w:rPr>
        <w:t> </w:t>
      </w:r>
      <w:r>
        <w:rPr>
          <w:i/>
        </w:rPr>
        <w:t>vulpes</w:t>
      </w:r>
      <w:r>
        <w:rPr/>
        <w:t>,</w:t>
      </w:r>
      <w:r>
        <w:rPr>
          <w:spacing w:val="-3"/>
        </w:rPr>
        <w:t> </w:t>
      </w:r>
      <w:r>
        <w:rPr/>
        <w:t>hereafter</w:t>
      </w:r>
      <w:r>
        <w:rPr>
          <w:spacing w:val="-2"/>
        </w:rPr>
        <w:t> </w:t>
      </w:r>
      <w:r>
        <w:rPr/>
        <w:t>the</w:t>
      </w:r>
      <w:r>
        <w:rPr>
          <w:spacing w:val="-3"/>
        </w:rPr>
        <w:t> </w:t>
      </w:r>
      <w:r>
        <w:rPr/>
        <w:t>fox)</w:t>
      </w:r>
      <w:r>
        <w:rPr>
          <w:spacing w:val="-2"/>
        </w:rPr>
        <w:t> </w:t>
      </w:r>
      <w:r>
        <w:rPr/>
        <w:t>has played</w:t>
      </w:r>
      <w:r>
        <w:rPr>
          <w:spacing w:val="-4"/>
        </w:rPr>
        <w:t> </w:t>
      </w:r>
      <w:r>
        <w:rPr/>
        <w:t>a</w:t>
      </w:r>
      <w:r>
        <w:rPr>
          <w:spacing w:val="-4"/>
        </w:rPr>
        <w:t> </w:t>
      </w:r>
      <w:r>
        <w:rPr/>
        <w:t>role</w:t>
      </w:r>
      <w:r>
        <w:rPr>
          <w:spacing w:val="-1"/>
        </w:rPr>
        <w:t> </w:t>
      </w:r>
      <w:r>
        <w:rPr/>
        <w:t>in</w:t>
      </w:r>
      <w:r>
        <w:rPr>
          <w:spacing w:val="-3"/>
        </w:rPr>
        <w:t> </w:t>
      </w:r>
      <w:r>
        <w:rPr/>
        <w:t>the</w:t>
      </w:r>
      <w:r>
        <w:rPr>
          <w:spacing w:val="-2"/>
        </w:rPr>
        <w:t> </w:t>
      </w:r>
      <w:r>
        <w:rPr/>
        <w:t>decline</w:t>
      </w:r>
      <w:r>
        <w:rPr>
          <w:spacing w:val="-2"/>
        </w:rPr>
        <w:t> </w:t>
      </w:r>
      <w:r>
        <w:rPr/>
        <w:t>and</w:t>
      </w:r>
      <w:r>
        <w:rPr>
          <w:spacing w:val="-3"/>
        </w:rPr>
        <w:t> </w:t>
      </w:r>
      <w:r>
        <w:rPr/>
        <w:t>extinction</w:t>
      </w:r>
      <w:r>
        <w:rPr>
          <w:spacing w:val="-3"/>
        </w:rPr>
        <w:t> </w:t>
      </w:r>
      <w:r>
        <w:rPr/>
        <w:t>of</w:t>
      </w:r>
      <w:r>
        <w:rPr>
          <w:spacing w:val="-1"/>
        </w:rPr>
        <w:t> </w:t>
      </w:r>
      <w:r>
        <w:rPr/>
        <w:t>Australian mammals (Short and Smith 1994;</w:t>
      </w:r>
      <w:r>
        <w:rPr>
          <w:spacing w:val="-2"/>
        </w:rPr>
        <w:t> </w:t>
      </w:r>
      <w:r>
        <w:rPr/>
        <w:t>Salo</w:t>
      </w:r>
      <w:r>
        <w:rPr>
          <w:spacing w:val="-2"/>
        </w:rPr>
        <w:t> </w:t>
      </w:r>
      <w:r>
        <w:rPr/>
        <w:t>et al. 2007),</w:t>
      </w:r>
      <w:r>
        <w:rPr>
          <w:spacing w:val="-2"/>
        </w:rPr>
        <w:t> </w:t>
      </w:r>
      <w:r>
        <w:rPr/>
        <w:t>and</w:t>
      </w:r>
      <w:r>
        <w:rPr>
          <w:spacing w:val="-2"/>
        </w:rPr>
        <w:t> </w:t>
      </w:r>
      <w:r>
        <w:rPr/>
        <w:t>there are examples</w:t>
      </w:r>
      <w:r>
        <w:rPr>
          <w:spacing w:val="-1"/>
        </w:rPr>
        <w:t> </w:t>
      </w:r>
      <w:r>
        <w:rPr/>
        <w:t>of</w:t>
      </w:r>
      <w:r>
        <w:rPr>
          <w:spacing w:val="-2"/>
        </w:rPr>
        <w:t> </w:t>
      </w:r>
      <w:r>
        <w:rPr/>
        <w:t>mammal</w:t>
      </w:r>
      <w:r>
        <w:rPr>
          <w:spacing w:val="-3"/>
        </w:rPr>
        <w:t> </w:t>
      </w:r>
      <w:r>
        <w:rPr/>
        <w:t>recovery following sustained reduction in fox abundance (McLeod et al. 2008).</w:t>
      </w:r>
    </w:p>
    <w:p>
      <w:pPr>
        <w:pStyle w:val="BodyText"/>
        <w:spacing w:before="118"/>
        <w:ind w:left="1132" w:right="1159"/>
      </w:pPr>
      <w:r>
        <w:rPr/>
        <w:t>Since</w:t>
      </w:r>
      <w:r>
        <w:rPr>
          <w:spacing w:val="-2"/>
        </w:rPr>
        <w:t> </w:t>
      </w:r>
      <w:r>
        <w:rPr/>
        <w:t>its</w:t>
      </w:r>
      <w:r>
        <w:rPr>
          <w:spacing w:val="-1"/>
        </w:rPr>
        <w:t> </w:t>
      </w:r>
      <w:r>
        <w:rPr/>
        <w:t>inception</w:t>
      </w:r>
      <w:r>
        <w:rPr>
          <w:spacing w:val="-4"/>
        </w:rPr>
        <w:t> </w:t>
      </w:r>
      <w:r>
        <w:rPr/>
        <w:t>in</w:t>
      </w:r>
      <w:r>
        <w:rPr>
          <w:spacing w:val="-4"/>
        </w:rPr>
        <w:t> </w:t>
      </w:r>
      <w:r>
        <w:rPr/>
        <w:t>2005, the</w:t>
      </w:r>
      <w:r>
        <w:rPr>
          <w:spacing w:val="-4"/>
        </w:rPr>
        <w:t> </w:t>
      </w:r>
      <w:r>
        <w:rPr/>
        <w:t>Glenelg</w:t>
      </w:r>
      <w:r>
        <w:rPr>
          <w:spacing w:val="-2"/>
        </w:rPr>
        <w:t> </w:t>
      </w:r>
      <w:r>
        <w:rPr/>
        <w:t>Ark</w:t>
      </w:r>
      <w:r>
        <w:rPr>
          <w:spacing w:val="-3"/>
        </w:rPr>
        <w:t> </w:t>
      </w:r>
      <w:r>
        <w:rPr/>
        <w:t>project</w:t>
      </w:r>
      <w:r>
        <w:rPr>
          <w:spacing w:val="-4"/>
        </w:rPr>
        <w:t> </w:t>
      </w:r>
      <w:r>
        <w:rPr/>
        <w:t>has</w:t>
      </w:r>
      <w:r>
        <w:rPr>
          <w:spacing w:val="-3"/>
        </w:rPr>
        <w:t> </w:t>
      </w:r>
      <w:r>
        <w:rPr/>
        <w:t>implemented</w:t>
      </w:r>
      <w:r>
        <w:rPr>
          <w:spacing w:val="-4"/>
        </w:rPr>
        <w:t> </w:t>
      </w:r>
      <w:r>
        <w:rPr/>
        <w:t>continuous,</w:t>
      </w:r>
      <w:r>
        <w:rPr>
          <w:spacing w:val="-4"/>
        </w:rPr>
        <w:t> </w:t>
      </w:r>
      <w:r>
        <w:rPr/>
        <w:t>large-scale</w:t>
      </w:r>
      <w:r>
        <w:rPr>
          <w:spacing w:val="-4"/>
        </w:rPr>
        <w:t> </w:t>
      </w:r>
      <w:r>
        <w:rPr/>
        <w:t>Red</w:t>
      </w:r>
      <w:r>
        <w:rPr>
          <w:spacing w:val="-4"/>
        </w:rPr>
        <w:t> </w:t>
      </w:r>
      <w:r>
        <w:rPr/>
        <w:t>Fox</w:t>
      </w:r>
      <w:r>
        <w:rPr>
          <w:spacing w:val="-3"/>
        </w:rPr>
        <w:t> </w:t>
      </w:r>
      <w:r>
        <w:rPr/>
        <w:t>baiting over 90,000 ha of state forest and national park in south-western Victoria. The project's monitoring and evaluation efforts have focused on assessing the impact of fox control on fox activity and the occupancy</w:t>
      </w:r>
      <w:r>
        <w:rPr/>
        <w:t> rates</w:t>
      </w:r>
      <w:r>
        <w:rPr>
          <w:spacing w:val="-2"/>
        </w:rPr>
        <w:t> </w:t>
      </w:r>
      <w:r>
        <w:rPr/>
        <w:t>of</w:t>
      </w:r>
      <w:r>
        <w:rPr>
          <w:spacing w:val="-3"/>
        </w:rPr>
        <w:t> </w:t>
      </w:r>
      <w:r>
        <w:rPr/>
        <w:t>three</w:t>
      </w:r>
      <w:r>
        <w:rPr>
          <w:spacing w:val="-1"/>
        </w:rPr>
        <w:t> </w:t>
      </w:r>
      <w:r>
        <w:rPr/>
        <w:t>native</w:t>
      </w:r>
      <w:r>
        <w:rPr>
          <w:spacing w:val="-3"/>
        </w:rPr>
        <w:t> </w:t>
      </w:r>
      <w:r>
        <w:rPr/>
        <w:t>mammal</w:t>
      </w:r>
      <w:r>
        <w:rPr>
          <w:spacing w:val="-4"/>
        </w:rPr>
        <w:t> </w:t>
      </w:r>
      <w:r>
        <w:rPr/>
        <w:t>species</w:t>
      </w:r>
      <w:r>
        <w:rPr>
          <w:spacing w:val="-2"/>
        </w:rPr>
        <w:t> </w:t>
      </w:r>
      <w:r>
        <w:rPr/>
        <w:t>at</w:t>
      </w:r>
      <w:r>
        <w:rPr>
          <w:spacing w:val="-3"/>
        </w:rPr>
        <w:t> </w:t>
      </w:r>
      <w:r>
        <w:rPr/>
        <w:t>risk</w:t>
      </w:r>
      <w:r>
        <w:rPr>
          <w:spacing w:val="-2"/>
        </w:rPr>
        <w:t> </w:t>
      </w:r>
      <w:r>
        <w:rPr/>
        <w:t>from</w:t>
      </w:r>
      <w:r>
        <w:rPr>
          <w:spacing w:val="-3"/>
        </w:rPr>
        <w:t> </w:t>
      </w:r>
      <w:r>
        <w:rPr/>
        <w:t>fox</w:t>
      </w:r>
      <w:r>
        <w:rPr>
          <w:spacing w:val="-2"/>
        </w:rPr>
        <w:t> </w:t>
      </w:r>
      <w:r>
        <w:rPr/>
        <w:t>predation:</w:t>
      </w:r>
      <w:r>
        <w:rPr>
          <w:spacing w:val="-1"/>
        </w:rPr>
        <w:t> </w:t>
      </w:r>
      <w:r>
        <w:rPr/>
        <w:t>the</w:t>
      </w:r>
      <w:r>
        <w:rPr>
          <w:spacing w:val="-2"/>
        </w:rPr>
        <w:t> </w:t>
      </w:r>
      <w:r>
        <w:rPr/>
        <w:t>Common</w:t>
      </w:r>
      <w:r>
        <w:rPr>
          <w:spacing w:val="-3"/>
        </w:rPr>
        <w:t> </w:t>
      </w:r>
      <w:r>
        <w:rPr/>
        <w:t>Brushtail</w:t>
      </w:r>
      <w:r>
        <w:rPr>
          <w:spacing w:val="-2"/>
        </w:rPr>
        <w:t> </w:t>
      </w:r>
      <w:r>
        <w:rPr/>
        <w:t>Possum</w:t>
      </w:r>
      <w:r>
        <w:rPr>
          <w:spacing w:val="-3"/>
        </w:rPr>
        <w:t> </w:t>
      </w:r>
      <w:r>
        <w:rPr/>
        <w:t>(</w:t>
      </w:r>
      <w:r>
        <w:rPr>
          <w:i/>
        </w:rPr>
        <w:t>Trichosurus</w:t>
      </w:r>
      <w:r>
        <w:rPr>
          <w:i/>
        </w:rPr>
        <w:t> vulpecula</w:t>
      </w:r>
      <w:r>
        <w:rPr/>
        <w:t>), Long-nosed Potoroo (</w:t>
      </w:r>
      <w:r>
        <w:rPr>
          <w:i/>
        </w:rPr>
        <w:t>Potorous tridactylus</w:t>
      </w:r>
      <w:r>
        <w:rPr/>
        <w:t>), and Southern Brown Bandicoot (</w:t>
      </w:r>
      <w:r>
        <w:rPr>
          <w:i/>
        </w:rPr>
        <w:t>Isoodon obesulus</w:t>
      </w:r>
      <w:r>
        <w:rPr/>
        <w:t>). These</w:t>
      </w:r>
      <w:r>
        <w:rPr>
          <w:spacing w:val="-3"/>
        </w:rPr>
        <w:t> </w:t>
      </w:r>
      <w:r>
        <w:rPr/>
        <w:t>species</w:t>
      </w:r>
      <w:r>
        <w:rPr>
          <w:spacing w:val="-2"/>
        </w:rPr>
        <w:t> </w:t>
      </w:r>
      <w:r>
        <w:rPr/>
        <w:t>were</w:t>
      </w:r>
      <w:r>
        <w:rPr>
          <w:spacing w:val="-3"/>
        </w:rPr>
        <w:t> </w:t>
      </w:r>
      <w:r>
        <w:rPr/>
        <w:t>selected</w:t>
      </w:r>
      <w:r>
        <w:rPr>
          <w:spacing w:val="-4"/>
        </w:rPr>
        <w:t> </w:t>
      </w:r>
      <w:r>
        <w:rPr/>
        <w:t>for monitoring</w:t>
      </w:r>
      <w:r>
        <w:rPr>
          <w:spacing w:val="-1"/>
        </w:rPr>
        <w:t> </w:t>
      </w:r>
      <w:r>
        <w:rPr/>
        <w:t>due</w:t>
      </w:r>
      <w:r>
        <w:rPr>
          <w:spacing w:val="-3"/>
        </w:rPr>
        <w:t> </w:t>
      </w:r>
      <w:r>
        <w:rPr/>
        <w:t>to</w:t>
      </w:r>
      <w:r>
        <w:rPr>
          <w:spacing w:val="-1"/>
        </w:rPr>
        <w:t> </w:t>
      </w:r>
      <w:r>
        <w:rPr/>
        <w:t>their</w:t>
      </w:r>
      <w:r>
        <w:rPr>
          <w:spacing w:val="-2"/>
        </w:rPr>
        <w:t> </w:t>
      </w:r>
      <w:r>
        <w:rPr/>
        <w:t>low</w:t>
      </w:r>
      <w:r>
        <w:rPr>
          <w:spacing w:val="-1"/>
        </w:rPr>
        <w:t> </w:t>
      </w:r>
      <w:r>
        <w:rPr/>
        <w:t>numbers in</w:t>
      </w:r>
      <w:r>
        <w:rPr>
          <w:spacing w:val="-3"/>
        </w:rPr>
        <w:t> </w:t>
      </w:r>
      <w:r>
        <w:rPr/>
        <w:t>the</w:t>
      </w:r>
      <w:r>
        <w:rPr>
          <w:spacing w:val="-4"/>
        </w:rPr>
        <w:t> </w:t>
      </w:r>
      <w:r>
        <w:rPr/>
        <w:t>area</w:t>
      </w:r>
      <w:r>
        <w:rPr>
          <w:spacing w:val="-3"/>
        </w:rPr>
        <w:t> </w:t>
      </w:r>
      <w:r>
        <w:rPr/>
        <w:t>(Robley</w:t>
      </w:r>
      <w:r>
        <w:rPr>
          <w:spacing w:val="-1"/>
        </w:rPr>
        <w:t> </w:t>
      </w:r>
      <w:r>
        <w:rPr/>
        <w:t>et</w:t>
      </w:r>
      <w:r>
        <w:rPr>
          <w:spacing w:val="-1"/>
        </w:rPr>
        <w:t> </w:t>
      </w:r>
      <w:r>
        <w:rPr/>
        <w:t>al. 2011),</w:t>
      </w:r>
      <w:r>
        <w:rPr>
          <w:spacing w:val="-3"/>
        </w:rPr>
        <w:t> </w:t>
      </w:r>
      <w:r>
        <w:rPr/>
        <w:t>patchy distributions (Menkhorst 1995), and susceptibility to</w:t>
      </w:r>
      <w:r>
        <w:rPr>
          <w:spacing w:val="-1"/>
        </w:rPr>
        <w:t> </w:t>
      </w:r>
      <w:r>
        <w:rPr/>
        <w:t>fox predation</w:t>
      </w:r>
      <w:r>
        <w:rPr>
          <w:spacing w:val="-1"/>
        </w:rPr>
        <w:t> </w:t>
      </w:r>
      <w:r>
        <w:rPr/>
        <w:t>(Seebeck, 1978). Studies have shown that these species respond positively to reduced fox presence (Kinnear et al. 2002; Arthur et al. 2012).</w:t>
      </w:r>
    </w:p>
    <w:p>
      <w:pPr>
        <w:pStyle w:val="BodyText"/>
        <w:spacing w:before="121"/>
        <w:ind w:left="1132" w:right="1174"/>
      </w:pPr>
      <w:r>
        <w:rPr/>
        <w:t>The presence of predators, such as foxes, likely forces these species to persist in refuges that may not</w:t>
      </w:r>
      <w:r>
        <w:rPr/>
        <w:t> reflect their typical habitat needs. According to Hutchinson's (1978) niche concept and further supported by Kinnear et al. (1988), fox predation alters a species’ realised niche by increasing its need for protective shelter</w:t>
      </w:r>
      <w:r>
        <w:rPr>
          <w:spacing w:val="-2"/>
        </w:rPr>
        <w:t> </w:t>
      </w:r>
      <w:r>
        <w:rPr/>
        <w:t>and</w:t>
      </w:r>
      <w:r>
        <w:rPr>
          <w:spacing w:val="-3"/>
        </w:rPr>
        <w:t> </w:t>
      </w:r>
      <w:r>
        <w:rPr/>
        <w:t>nearby</w:t>
      </w:r>
      <w:r>
        <w:rPr>
          <w:spacing w:val="-3"/>
        </w:rPr>
        <w:t> </w:t>
      </w:r>
      <w:r>
        <w:rPr/>
        <w:t>food.</w:t>
      </w:r>
      <w:r>
        <w:rPr>
          <w:spacing w:val="-3"/>
        </w:rPr>
        <w:t> </w:t>
      </w:r>
      <w:r>
        <w:rPr/>
        <w:t>When</w:t>
      </w:r>
      <w:r>
        <w:rPr>
          <w:spacing w:val="-3"/>
        </w:rPr>
        <w:t> </w:t>
      </w:r>
      <w:r>
        <w:rPr/>
        <w:t>predation</w:t>
      </w:r>
      <w:r>
        <w:rPr>
          <w:spacing w:val="-4"/>
        </w:rPr>
        <w:t> </w:t>
      </w:r>
      <w:r>
        <w:rPr/>
        <w:t>pressure</w:t>
      </w:r>
      <w:r>
        <w:rPr>
          <w:spacing w:val="-3"/>
        </w:rPr>
        <w:t> </w:t>
      </w:r>
      <w:r>
        <w:rPr/>
        <w:t>is</w:t>
      </w:r>
      <w:r>
        <w:rPr>
          <w:spacing w:val="-3"/>
        </w:rPr>
        <w:t> </w:t>
      </w:r>
      <w:r>
        <w:rPr/>
        <w:t>removed,</w:t>
      </w:r>
      <w:r>
        <w:rPr>
          <w:spacing w:val="-4"/>
        </w:rPr>
        <w:t> </w:t>
      </w:r>
      <w:r>
        <w:rPr/>
        <w:t>these</w:t>
      </w:r>
      <w:r>
        <w:rPr>
          <w:spacing w:val="-4"/>
        </w:rPr>
        <w:t> </w:t>
      </w:r>
      <w:r>
        <w:rPr/>
        <w:t>requirements</w:t>
      </w:r>
      <w:r>
        <w:rPr>
          <w:spacing w:val="-3"/>
        </w:rPr>
        <w:t> </w:t>
      </w:r>
      <w:r>
        <w:rPr/>
        <w:t>lessen,</w:t>
      </w:r>
      <w:r>
        <w:rPr>
          <w:spacing w:val="-4"/>
        </w:rPr>
        <w:t> </w:t>
      </w:r>
      <w:r>
        <w:rPr/>
        <w:t>allowing</w:t>
      </w:r>
      <w:r>
        <w:rPr>
          <w:spacing w:val="-5"/>
        </w:rPr>
        <w:t> </w:t>
      </w:r>
      <w:r>
        <w:rPr/>
        <w:t>for</w:t>
      </w:r>
      <w:r>
        <w:rPr>
          <w:spacing w:val="-4"/>
        </w:rPr>
        <w:t> </w:t>
      </w:r>
      <w:r>
        <w:rPr/>
        <w:t>niche expansion, as observed in the Black-flanked Rock-wallaby (</w:t>
      </w:r>
      <w:r>
        <w:rPr>
          <w:i/>
        </w:rPr>
        <w:t>Petrogale lateralis</w:t>
      </w:r>
      <w:r>
        <w:rPr/>
        <w:t>) when foxes were controlled (Kinnear et al. 2002). This relaxation may be reflected in various occupancy metrics over time.</w:t>
      </w:r>
    </w:p>
    <w:p>
      <w:pPr>
        <w:pStyle w:val="BodyText"/>
        <w:spacing w:before="121"/>
        <w:ind w:left="1132" w:right="1204"/>
      </w:pPr>
      <w:r>
        <w:rPr/>
        <w:t>Environmental</w:t>
      </w:r>
      <w:r>
        <w:rPr>
          <w:spacing w:val="-4"/>
        </w:rPr>
        <w:t> </w:t>
      </w:r>
      <w:r>
        <w:rPr/>
        <w:t>factors</w:t>
      </w:r>
      <w:r>
        <w:rPr>
          <w:spacing w:val="-2"/>
        </w:rPr>
        <w:t> </w:t>
      </w:r>
      <w:r>
        <w:rPr/>
        <w:t>also</w:t>
      </w:r>
      <w:r>
        <w:rPr>
          <w:spacing w:val="-2"/>
        </w:rPr>
        <w:t> </w:t>
      </w:r>
      <w:r>
        <w:rPr/>
        <w:t>play</w:t>
      </w:r>
      <w:r>
        <w:rPr>
          <w:spacing w:val="-3"/>
        </w:rPr>
        <w:t> </w:t>
      </w:r>
      <w:r>
        <w:rPr/>
        <w:t>a</w:t>
      </w:r>
      <w:r>
        <w:rPr>
          <w:spacing w:val="-2"/>
        </w:rPr>
        <w:t> </w:t>
      </w:r>
      <w:r>
        <w:rPr/>
        <w:t>role</w:t>
      </w:r>
      <w:r>
        <w:rPr>
          <w:spacing w:val="-4"/>
        </w:rPr>
        <w:t> </w:t>
      </w:r>
      <w:r>
        <w:rPr/>
        <w:t>in</w:t>
      </w:r>
      <w:r>
        <w:rPr>
          <w:spacing w:val="-4"/>
        </w:rPr>
        <w:t> </w:t>
      </w:r>
      <w:r>
        <w:rPr/>
        <w:t>species</w:t>
      </w:r>
      <w:r>
        <w:rPr>
          <w:spacing w:val="-3"/>
        </w:rPr>
        <w:t> </w:t>
      </w:r>
      <w:r>
        <w:rPr/>
        <w:t>distribution</w:t>
      </w:r>
      <w:r>
        <w:rPr>
          <w:spacing w:val="-4"/>
        </w:rPr>
        <w:t> </w:t>
      </w:r>
      <w:r>
        <w:rPr/>
        <w:t>(MacKenzie</w:t>
      </w:r>
      <w:r>
        <w:rPr>
          <w:spacing w:val="-1"/>
        </w:rPr>
        <w:t> </w:t>
      </w:r>
      <w:r>
        <w:rPr/>
        <w:t>et</w:t>
      </w:r>
      <w:r>
        <w:rPr>
          <w:spacing w:val="-4"/>
        </w:rPr>
        <w:t> </w:t>
      </w:r>
      <w:r>
        <w:rPr/>
        <w:t>al.</w:t>
      </w:r>
      <w:r>
        <w:rPr>
          <w:spacing w:val="-1"/>
        </w:rPr>
        <w:t> </w:t>
      </w:r>
      <w:r>
        <w:rPr/>
        <w:t>2017).</w:t>
      </w:r>
      <w:r>
        <w:rPr>
          <w:spacing w:val="-4"/>
        </w:rPr>
        <w:t> </w:t>
      </w:r>
      <w:r>
        <w:rPr/>
        <w:t>To</w:t>
      </w:r>
      <w:r>
        <w:rPr>
          <w:spacing w:val="-2"/>
        </w:rPr>
        <w:t> </w:t>
      </w:r>
      <w:r>
        <w:rPr/>
        <w:t>account</w:t>
      </w:r>
      <w:r>
        <w:rPr>
          <w:spacing w:val="-4"/>
        </w:rPr>
        <w:t> </w:t>
      </w:r>
      <w:r>
        <w:rPr/>
        <w:t>for</w:t>
      </w:r>
      <w:r>
        <w:rPr>
          <w:spacing w:val="-4"/>
        </w:rPr>
        <w:t> </w:t>
      </w:r>
      <w:r>
        <w:rPr/>
        <w:t>these influences, several explanatory variables were included in the Glenelg Ark’s dynamic spatial occupancy models (Royle and Kéry 2007) to evaluate the native species' response to fox control.</w:t>
      </w:r>
    </w:p>
    <w:p>
      <w:pPr>
        <w:pStyle w:val="BodyText"/>
        <w:spacing w:before="119"/>
        <w:ind w:left="1132"/>
      </w:pPr>
      <w:r>
        <w:rPr/>
        <w:t>We</w:t>
      </w:r>
      <w:r>
        <w:rPr>
          <w:spacing w:val="-6"/>
        </w:rPr>
        <w:t> </w:t>
      </w:r>
      <w:r>
        <w:rPr/>
        <w:t>measured</w:t>
      </w:r>
      <w:r>
        <w:rPr>
          <w:spacing w:val="-8"/>
        </w:rPr>
        <w:t> </w:t>
      </w:r>
      <w:r>
        <w:rPr/>
        <w:t>the</w:t>
      </w:r>
      <w:r>
        <w:rPr>
          <w:spacing w:val="-8"/>
        </w:rPr>
        <w:t> </w:t>
      </w:r>
      <w:r>
        <w:rPr/>
        <w:t>success</w:t>
      </w:r>
      <w:r>
        <w:rPr>
          <w:spacing w:val="-7"/>
        </w:rPr>
        <w:t> </w:t>
      </w:r>
      <w:r>
        <w:rPr/>
        <w:t>of</w:t>
      </w:r>
      <w:r>
        <w:rPr>
          <w:spacing w:val="-7"/>
        </w:rPr>
        <w:t> </w:t>
      </w:r>
      <w:r>
        <w:rPr/>
        <w:t>fox</w:t>
      </w:r>
      <w:r>
        <w:rPr>
          <w:spacing w:val="-7"/>
        </w:rPr>
        <w:t> </w:t>
      </w:r>
      <w:r>
        <w:rPr/>
        <w:t>control</w:t>
      </w:r>
      <w:r>
        <w:rPr>
          <w:spacing w:val="-7"/>
        </w:rPr>
        <w:t> </w:t>
      </w:r>
      <w:r>
        <w:rPr/>
        <w:t>by</w:t>
      </w:r>
      <w:r>
        <w:rPr>
          <w:spacing w:val="-7"/>
        </w:rPr>
        <w:t> </w:t>
      </w:r>
      <w:r>
        <w:rPr/>
        <w:t>examining</w:t>
      </w:r>
      <w:r>
        <w:rPr>
          <w:spacing w:val="-7"/>
        </w:rPr>
        <w:t> </w:t>
      </w:r>
      <w:r>
        <w:rPr/>
        <w:t>four</w:t>
      </w:r>
      <w:r>
        <w:rPr>
          <w:spacing w:val="-6"/>
        </w:rPr>
        <w:t> </w:t>
      </w:r>
      <w:r>
        <w:rPr/>
        <w:t>population</w:t>
      </w:r>
      <w:r>
        <w:rPr>
          <w:spacing w:val="-6"/>
        </w:rPr>
        <w:t> </w:t>
      </w:r>
      <w:r>
        <w:rPr/>
        <w:t>parameters:</w:t>
      </w:r>
      <w:r>
        <w:rPr>
          <w:spacing w:val="-8"/>
        </w:rPr>
        <w:t> </w:t>
      </w:r>
      <w:r>
        <w:rPr/>
        <w:t>(i)</w:t>
      </w:r>
      <w:r>
        <w:rPr>
          <w:spacing w:val="-8"/>
        </w:rPr>
        <w:t> </w:t>
      </w:r>
      <w:r>
        <w:rPr/>
        <w:t>occupancy</w:t>
      </w:r>
      <w:r>
        <w:rPr>
          <w:spacing w:val="-7"/>
        </w:rPr>
        <w:t> </w:t>
      </w:r>
      <w:r>
        <w:rPr>
          <w:spacing w:val="-2"/>
        </w:rPr>
        <w:t>rate,</w:t>
      </w:r>
    </w:p>
    <w:p>
      <w:pPr>
        <w:pStyle w:val="BodyText"/>
        <w:ind w:left="1132" w:right="1204"/>
      </w:pPr>
      <w:r>
        <w:rPr/>
        <w:t>(ii)</w:t>
      </w:r>
      <w:r>
        <w:rPr>
          <w:spacing w:val="-1"/>
        </w:rPr>
        <w:t> </w:t>
      </w:r>
      <w:r>
        <w:rPr/>
        <w:t>colonisation</w:t>
      </w:r>
      <w:r>
        <w:rPr>
          <w:spacing w:val="-2"/>
        </w:rPr>
        <w:t> </w:t>
      </w:r>
      <w:r>
        <w:rPr/>
        <w:t>rate</w:t>
      </w:r>
      <w:r>
        <w:rPr>
          <w:spacing w:val="-3"/>
        </w:rPr>
        <w:t> </w:t>
      </w:r>
      <w:r>
        <w:rPr/>
        <w:t>(the</w:t>
      </w:r>
      <w:r>
        <w:rPr>
          <w:spacing w:val="-1"/>
        </w:rPr>
        <w:t> </w:t>
      </w:r>
      <w:r>
        <w:rPr/>
        <w:t>rate</w:t>
      </w:r>
      <w:r>
        <w:rPr>
          <w:spacing w:val="-3"/>
        </w:rPr>
        <w:t> </w:t>
      </w:r>
      <w:r>
        <w:rPr/>
        <w:t>at</w:t>
      </w:r>
      <w:r>
        <w:rPr>
          <w:spacing w:val="-3"/>
        </w:rPr>
        <w:t> </w:t>
      </w:r>
      <w:r>
        <w:rPr/>
        <w:t>which</w:t>
      </w:r>
      <w:r>
        <w:rPr>
          <w:spacing w:val="-1"/>
        </w:rPr>
        <w:t> </w:t>
      </w:r>
      <w:r>
        <w:rPr/>
        <w:t>new</w:t>
      </w:r>
      <w:r>
        <w:rPr>
          <w:spacing w:val="-3"/>
        </w:rPr>
        <w:t> </w:t>
      </w:r>
      <w:r>
        <w:rPr/>
        <w:t>sites</w:t>
      </w:r>
      <w:r>
        <w:rPr>
          <w:spacing w:val="-2"/>
        </w:rPr>
        <w:t> </w:t>
      </w:r>
      <w:r>
        <w:rPr/>
        <w:t>are</w:t>
      </w:r>
      <w:r>
        <w:rPr>
          <w:spacing w:val="-1"/>
        </w:rPr>
        <w:t> </w:t>
      </w:r>
      <w:r>
        <w:rPr/>
        <w:t>occupied</w:t>
      </w:r>
      <w:r>
        <w:rPr>
          <w:spacing w:val="-3"/>
        </w:rPr>
        <w:t> </w:t>
      </w:r>
      <w:r>
        <w:rPr/>
        <w:t>each</w:t>
      </w:r>
      <w:r>
        <w:rPr>
          <w:spacing w:val="-1"/>
        </w:rPr>
        <w:t> </w:t>
      </w:r>
      <w:r>
        <w:rPr/>
        <w:t>year),</w:t>
      </w:r>
      <w:r>
        <w:rPr>
          <w:spacing w:val="-3"/>
        </w:rPr>
        <w:t> </w:t>
      </w:r>
      <w:r>
        <w:rPr/>
        <w:t>(iii)</w:t>
      </w:r>
      <w:r>
        <w:rPr>
          <w:spacing w:val="-2"/>
        </w:rPr>
        <w:t> </w:t>
      </w:r>
      <w:r>
        <w:rPr/>
        <w:t>survival</w:t>
      </w:r>
      <w:r>
        <w:rPr>
          <w:spacing w:val="-4"/>
        </w:rPr>
        <w:t> </w:t>
      </w:r>
      <w:r>
        <w:rPr/>
        <w:t>rate</w:t>
      </w:r>
      <w:r>
        <w:rPr>
          <w:spacing w:val="-4"/>
        </w:rPr>
        <w:t> </w:t>
      </w:r>
      <w:r>
        <w:rPr/>
        <w:t>(the</w:t>
      </w:r>
      <w:r>
        <w:rPr>
          <w:spacing w:val="-4"/>
        </w:rPr>
        <w:t> </w:t>
      </w:r>
      <w:r>
        <w:rPr/>
        <w:t>rate</w:t>
      </w:r>
      <w:r>
        <w:rPr>
          <w:spacing w:val="-3"/>
        </w:rPr>
        <w:t> </w:t>
      </w:r>
      <w:r>
        <w:rPr/>
        <w:t>at</w:t>
      </w:r>
      <w:r>
        <w:rPr>
          <w:spacing w:val="-1"/>
        </w:rPr>
        <w:t> </w:t>
      </w:r>
      <w:r>
        <w:rPr/>
        <w:t>which previously occupied sites remain occupied), and (iv) growth rate (the rate at which the number of occupied sites increases over time). These metrics were compared between locations with and without ongoing fox </w:t>
      </w:r>
      <w:r>
        <w:rPr>
          <w:spacing w:val="-2"/>
        </w:rPr>
        <w:t>control.</w:t>
      </w:r>
    </w:p>
    <w:p>
      <w:pPr>
        <w:pStyle w:val="BodyText"/>
        <w:spacing w:before="122"/>
        <w:ind w:left="1132" w:right="1204"/>
      </w:pPr>
      <w:r>
        <w:rPr/>
        <w:t>We</w:t>
      </w:r>
      <w:r>
        <w:rPr>
          <w:spacing w:val="-2"/>
        </w:rPr>
        <w:t> </w:t>
      </w:r>
      <w:r>
        <w:rPr/>
        <w:t>predicted</w:t>
      </w:r>
      <w:r>
        <w:rPr>
          <w:spacing w:val="-5"/>
        </w:rPr>
        <w:t> </w:t>
      </w:r>
      <w:r>
        <w:rPr/>
        <w:t>that</w:t>
      </w:r>
      <w:r>
        <w:rPr>
          <w:spacing w:val="-2"/>
        </w:rPr>
        <w:t> </w:t>
      </w:r>
      <w:r>
        <w:rPr/>
        <w:t>effective</w:t>
      </w:r>
      <w:r>
        <w:rPr>
          <w:spacing w:val="-2"/>
        </w:rPr>
        <w:t> </w:t>
      </w:r>
      <w:r>
        <w:rPr/>
        <w:t>fox</w:t>
      </w:r>
      <w:r>
        <w:rPr>
          <w:spacing w:val="-3"/>
        </w:rPr>
        <w:t> </w:t>
      </w:r>
      <w:r>
        <w:rPr/>
        <w:t>control</w:t>
      </w:r>
      <w:r>
        <w:rPr>
          <w:spacing w:val="-3"/>
        </w:rPr>
        <w:t> </w:t>
      </w:r>
      <w:r>
        <w:rPr/>
        <w:t>at</w:t>
      </w:r>
      <w:r>
        <w:rPr>
          <w:spacing w:val="-4"/>
        </w:rPr>
        <w:t> </w:t>
      </w:r>
      <w:r>
        <w:rPr/>
        <w:t>Glenelg</w:t>
      </w:r>
      <w:r>
        <w:rPr>
          <w:spacing w:val="-4"/>
        </w:rPr>
        <w:t> </w:t>
      </w:r>
      <w:r>
        <w:rPr/>
        <w:t>Ark</w:t>
      </w:r>
      <w:r>
        <w:rPr>
          <w:spacing w:val="-3"/>
        </w:rPr>
        <w:t> </w:t>
      </w:r>
      <w:r>
        <w:rPr/>
        <w:t>would</w:t>
      </w:r>
      <w:r>
        <w:rPr>
          <w:spacing w:val="-4"/>
        </w:rPr>
        <w:t> </w:t>
      </w:r>
      <w:r>
        <w:rPr/>
        <w:t>lead</w:t>
      </w:r>
      <w:r>
        <w:rPr>
          <w:spacing w:val="-2"/>
        </w:rPr>
        <w:t> </w:t>
      </w:r>
      <w:r>
        <w:rPr/>
        <w:t>to</w:t>
      </w:r>
      <w:r>
        <w:rPr>
          <w:spacing w:val="-5"/>
        </w:rPr>
        <w:t> </w:t>
      </w:r>
      <w:r>
        <w:rPr/>
        <w:t>niche</w:t>
      </w:r>
      <w:r>
        <w:rPr>
          <w:spacing w:val="-3"/>
        </w:rPr>
        <w:t> </w:t>
      </w:r>
      <w:r>
        <w:rPr/>
        <w:t>expansion</w:t>
      </w:r>
      <w:r>
        <w:rPr>
          <w:spacing w:val="-4"/>
        </w:rPr>
        <w:t> </w:t>
      </w:r>
      <w:r>
        <w:rPr/>
        <w:t>in</w:t>
      </w:r>
      <w:r>
        <w:rPr>
          <w:spacing w:val="-2"/>
        </w:rPr>
        <w:t> </w:t>
      </w:r>
      <w:r>
        <w:rPr/>
        <w:t>the</w:t>
      </w:r>
      <w:r>
        <w:rPr>
          <w:spacing w:val="-2"/>
        </w:rPr>
        <w:t> </w:t>
      </w:r>
      <w:r>
        <w:rPr/>
        <w:t>target</w:t>
      </w:r>
      <w:r>
        <w:rPr>
          <w:spacing w:val="-4"/>
        </w:rPr>
        <w:t> </w:t>
      </w:r>
      <w:r>
        <w:rPr/>
        <w:t>species, indicated by:</w:t>
      </w:r>
    </w:p>
    <w:p>
      <w:pPr>
        <w:pStyle w:val="ListParagraph"/>
        <w:numPr>
          <w:ilvl w:val="0"/>
          <w:numId w:val="6"/>
        </w:numPr>
        <w:tabs>
          <w:tab w:pos="1851" w:val="left" w:leader="none"/>
          <w:tab w:pos="1853" w:val="left" w:leader="none"/>
        </w:tabs>
        <w:spacing w:line="280" w:lineRule="auto" w:before="150" w:after="0"/>
        <w:ind w:left="1853" w:right="1518" w:hanging="360"/>
        <w:jc w:val="left"/>
        <w:rPr>
          <w:sz w:val="20"/>
        </w:rPr>
      </w:pPr>
      <w:r>
        <w:rPr>
          <w:sz w:val="20"/>
        </w:rPr>
        <w:t>higher</w:t>
      </w:r>
      <w:r>
        <w:rPr>
          <w:spacing w:val="-4"/>
          <w:sz w:val="20"/>
        </w:rPr>
        <w:t> </w:t>
      </w:r>
      <w:r>
        <w:rPr>
          <w:sz w:val="20"/>
        </w:rPr>
        <w:t>colonisation</w:t>
      </w:r>
      <w:r>
        <w:rPr>
          <w:spacing w:val="-4"/>
          <w:sz w:val="20"/>
        </w:rPr>
        <w:t> </w:t>
      </w:r>
      <w:r>
        <w:rPr>
          <w:sz w:val="20"/>
        </w:rPr>
        <w:t>rates</w:t>
      </w:r>
      <w:r>
        <w:rPr>
          <w:spacing w:val="-4"/>
          <w:sz w:val="20"/>
        </w:rPr>
        <w:t> </w:t>
      </w:r>
      <w:r>
        <w:rPr>
          <w:sz w:val="20"/>
        </w:rPr>
        <w:t>associated</w:t>
      </w:r>
      <w:r>
        <w:rPr>
          <w:spacing w:val="-3"/>
          <w:sz w:val="20"/>
        </w:rPr>
        <w:t> </w:t>
      </w:r>
      <w:r>
        <w:rPr>
          <w:sz w:val="20"/>
        </w:rPr>
        <w:t>with</w:t>
      </w:r>
      <w:r>
        <w:rPr>
          <w:spacing w:val="-5"/>
          <w:sz w:val="20"/>
        </w:rPr>
        <w:t> </w:t>
      </w:r>
      <w:r>
        <w:rPr>
          <w:sz w:val="20"/>
        </w:rPr>
        <w:t>fox</w:t>
      </w:r>
      <w:r>
        <w:rPr>
          <w:spacing w:val="-4"/>
          <w:sz w:val="20"/>
        </w:rPr>
        <w:t> </w:t>
      </w:r>
      <w:r>
        <w:rPr>
          <w:sz w:val="20"/>
        </w:rPr>
        <w:t>control,</w:t>
      </w:r>
      <w:r>
        <w:rPr>
          <w:spacing w:val="-5"/>
          <w:sz w:val="20"/>
        </w:rPr>
        <w:t> </w:t>
      </w:r>
      <w:r>
        <w:rPr>
          <w:sz w:val="20"/>
        </w:rPr>
        <w:t>suggesting</w:t>
      </w:r>
      <w:r>
        <w:rPr>
          <w:spacing w:val="-3"/>
          <w:sz w:val="20"/>
        </w:rPr>
        <w:t> </w:t>
      </w:r>
      <w:r>
        <w:rPr>
          <w:sz w:val="20"/>
        </w:rPr>
        <w:t>that</w:t>
      </w:r>
      <w:r>
        <w:rPr>
          <w:spacing w:val="-5"/>
          <w:sz w:val="20"/>
        </w:rPr>
        <w:t> </w:t>
      </w:r>
      <w:r>
        <w:rPr>
          <w:sz w:val="20"/>
        </w:rPr>
        <w:t>reduced</w:t>
      </w:r>
      <w:r>
        <w:rPr>
          <w:spacing w:val="-6"/>
          <w:sz w:val="20"/>
        </w:rPr>
        <w:t> </w:t>
      </w:r>
      <w:r>
        <w:rPr>
          <w:sz w:val="20"/>
        </w:rPr>
        <w:t>predation</w:t>
      </w:r>
      <w:r>
        <w:rPr>
          <w:spacing w:val="-4"/>
          <w:sz w:val="20"/>
        </w:rPr>
        <w:t> </w:t>
      </w:r>
      <w:r>
        <w:rPr>
          <w:sz w:val="20"/>
        </w:rPr>
        <w:t>pressure allows populations to expand into new sites</w:t>
      </w:r>
    </w:p>
    <w:p>
      <w:pPr>
        <w:pStyle w:val="ListParagraph"/>
        <w:numPr>
          <w:ilvl w:val="0"/>
          <w:numId w:val="6"/>
        </w:numPr>
        <w:tabs>
          <w:tab w:pos="1851" w:val="left" w:leader="none"/>
        </w:tabs>
        <w:spacing w:line="240" w:lineRule="auto" w:before="2" w:after="0"/>
        <w:ind w:left="1851" w:right="0" w:hanging="358"/>
        <w:jc w:val="left"/>
        <w:rPr>
          <w:sz w:val="20"/>
        </w:rPr>
      </w:pPr>
      <w:r>
        <w:rPr>
          <w:sz w:val="20"/>
        </w:rPr>
        <w:t>higher</w:t>
      </w:r>
      <w:r>
        <w:rPr>
          <w:spacing w:val="-6"/>
          <w:sz w:val="20"/>
        </w:rPr>
        <w:t> </w:t>
      </w:r>
      <w:r>
        <w:rPr>
          <w:sz w:val="20"/>
        </w:rPr>
        <w:t>site</w:t>
      </w:r>
      <w:r>
        <w:rPr>
          <w:spacing w:val="-7"/>
          <w:sz w:val="20"/>
        </w:rPr>
        <w:t> </w:t>
      </w:r>
      <w:r>
        <w:rPr>
          <w:sz w:val="20"/>
        </w:rPr>
        <w:t>survival</w:t>
      </w:r>
      <w:r>
        <w:rPr>
          <w:spacing w:val="-7"/>
          <w:sz w:val="20"/>
        </w:rPr>
        <w:t> </w:t>
      </w:r>
      <w:r>
        <w:rPr>
          <w:sz w:val="20"/>
        </w:rPr>
        <w:t>rates</w:t>
      </w:r>
      <w:r>
        <w:rPr>
          <w:spacing w:val="-6"/>
          <w:sz w:val="20"/>
        </w:rPr>
        <w:t> </w:t>
      </w:r>
      <w:r>
        <w:rPr>
          <w:sz w:val="20"/>
        </w:rPr>
        <w:t>in</w:t>
      </w:r>
      <w:r>
        <w:rPr>
          <w:spacing w:val="-5"/>
          <w:sz w:val="20"/>
        </w:rPr>
        <w:t> </w:t>
      </w:r>
      <w:r>
        <w:rPr>
          <w:sz w:val="20"/>
        </w:rPr>
        <w:t>areas</w:t>
      </w:r>
      <w:r>
        <w:rPr>
          <w:spacing w:val="-6"/>
          <w:sz w:val="20"/>
        </w:rPr>
        <w:t> </w:t>
      </w:r>
      <w:r>
        <w:rPr>
          <w:sz w:val="20"/>
        </w:rPr>
        <w:t>with</w:t>
      </w:r>
      <w:r>
        <w:rPr>
          <w:spacing w:val="-7"/>
          <w:sz w:val="20"/>
        </w:rPr>
        <w:t> </w:t>
      </w:r>
      <w:r>
        <w:rPr>
          <w:sz w:val="20"/>
        </w:rPr>
        <w:t>fewer</w:t>
      </w:r>
      <w:r>
        <w:rPr>
          <w:spacing w:val="-6"/>
          <w:sz w:val="20"/>
        </w:rPr>
        <w:t> </w:t>
      </w:r>
      <w:r>
        <w:rPr>
          <w:sz w:val="20"/>
        </w:rPr>
        <w:t>foxes,</w:t>
      </w:r>
      <w:r>
        <w:rPr>
          <w:spacing w:val="-5"/>
          <w:sz w:val="20"/>
        </w:rPr>
        <w:t> </w:t>
      </w:r>
      <w:r>
        <w:rPr>
          <w:sz w:val="20"/>
        </w:rPr>
        <w:t>indicating</w:t>
      </w:r>
      <w:r>
        <w:rPr>
          <w:spacing w:val="-5"/>
          <w:sz w:val="20"/>
        </w:rPr>
        <w:t> </w:t>
      </w:r>
      <w:r>
        <w:rPr>
          <w:sz w:val="20"/>
        </w:rPr>
        <w:t>better</w:t>
      </w:r>
      <w:r>
        <w:rPr>
          <w:spacing w:val="-7"/>
          <w:sz w:val="20"/>
        </w:rPr>
        <w:t> </w:t>
      </w:r>
      <w:r>
        <w:rPr>
          <w:sz w:val="20"/>
        </w:rPr>
        <w:t>survival</w:t>
      </w:r>
      <w:r>
        <w:rPr>
          <w:spacing w:val="-8"/>
          <w:sz w:val="20"/>
        </w:rPr>
        <w:t> </w:t>
      </w:r>
      <w:r>
        <w:rPr>
          <w:spacing w:val="-2"/>
          <w:sz w:val="20"/>
        </w:rPr>
        <w:t>rates</w:t>
      </w:r>
    </w:p>
    <w:p>
      <w:pPr>
        <w:pStyle w:val="ListParagraph"/>
        <w:numPr>
          <w:ilvl w:val="0"/>
          <w:numId w:val="6"/>
        </w:numPr>
        <w:tabs>
          <w:tab w:pos="1851" w:val="left" w:leader="none"/>
        </w:tabs>
        <w:spacing w:line="240" w:lineRule="auto" w:before="41" w:after="0"/>
        <w:ind w:left="1851" w:right="0" w:hanging="358"/>
        <w:jc w:val="left"/>
        <w:rPr>
          <w:sz w:val="20"/>
        </w:rPr>
      </w:pPr>
      <w:r>
        <w:rPr>
          <w:sz w:val="20"/>
        </w:rPr>
        <w:t>greater</w:t>
      </w:r>
      <w:r>
        <w:rPr>
          <w:spacing w:val="-5"/>
          <w:sz w:val="20"/>
        </w:rPr>
        <w:t> </w:t>
      </w:r>
      <w:r>
        <w:rPr>
          <w:sz w:val="20"/>
        </w:rPr>
        <w:t>overall</w:t>
      </w:r>
      <w:r>
        <w:rPr>
          <w:spacing w:val="-8"/>
          <w:sz w:val="20"/>
        </w:rPr>
        <w:t> </w:t>
      </w:r>
      <w:r>
        <w:rPr>
          <w:sz w:val="20"/>
        </w:rPr>
        <w:t>growth</w:t>
      </w:r>
      <w:r>
        <w:rPr>
          <w:spacing w:val="-8"/>
          <w:sz w:val="20"/>
        </w:rPr>
        <w:t> </w:t>
      </w:r>
      <w:r>
        <w:rPr>
          <w:sz w:val="20"/>
        </w:rPr>
        <w:t>rates</w:t>
      </w:r>
      <w:r>
        <w:rPr>
          <w:spacing w:val="-4"/>
          <w:sz w:val="20"/>
        </w:rPr>
        <w:t> </w:t>
      </w:r>
      <w:r>
        <w:rPr>
          <w:sz w:val="20"/>
        </w:rPr>
        <w:t>at</w:t>
      </w:r>
      <w:r>
        <w:rPr>
          <w:spacing w:val="-8"/>
          <w:sz w:val="20"/>
        </w:rPr>
        <w:t> </w:t>
      </w:r>
      <w:r>
        <w:rPr>
          <w:sz w:val="20"/>
        </w:rPr>
        <w:t>locations</w:t>
      </w:r>
      <w:r>
        <w:rPr>
          <w:spacing w:val="-5"/>
          <w:sz w:val="20"/>
        </w:rPr>
        <w:t> </w:t>
      </w:r>
      <w:r>
        <w:rPr>
          <w:sz w:val="20"/>
        </w:rPr>
        <w:t>with</w:t>
      </w:r>
      <w:r>
        <w:rPr>
          <w:spacing w:val="-9"/>
          <w:sz w:val="20"/>
        </w:rPr>
        <w:t> </w:t>
      </w:r>
      <w:r>
        <w:rPr>
          <w:sz w:val="20"/>
        </w:rPr>
        <w:t>fox-control</w:t>
      </w:r>
      <w:r>
        <w:rPr>
          <w:spacing w:val="-8"/>
          <w:sz w:val="20"/>
        </w:rPr>
        <w:t> </w:t>
      </w:r>
      <w:r>
        <w:rPr>
          <w:sz w:val="20"/>
        </w:rPr>
        <w:t>compared</w:t>
      </w:r>
      <w:r>
        <w:rPr>
          <w:spacing w:val="-5"/>
          <w:sz w:val="20"/>
        </w:rPr>
        <w:t> </w:t>
      </w:r>
      <w:r>
        <w:rPr>
          <w:sz w:val="20"/>
        </w:rPr>
        <w:t>to</w:t>
      </w:r>
      <w:r>
        <w:rPr>
          <w:spacing w:val="-9"/>
          <w:sz w:val="20"/>
        </w:rPr>
        <w:t> </w:t>
      </w:r>
      <w:r>
        <w:rPr>
          <w:sz w:val="20"/>
        </w:rPr>
        <w:t>those</w:t>
      </w:r>
      <w:r>
        <w:rPr>
          <w:spacing w:val="-7"/>
          <w:sz w:val="20"/>
        </w:rPr>
        <w:t> </w:t>
      </w:r>
      <w:r>
        <w:rPr>
          <w:sz w:val="20"/>
        </w:rPr>
        <w:t>without</w:t>
      </w:r>
      <w:r>
        <w:rPr>
          <w:spacing w:val="-6"/>
          <w:sz w:val="20"/>
        </w:rPr>
        <w:t> </w:t>
      </w:r>
      <w:r>
        <w:rPr>
          <w:sz w:val="20"/>
        </w:rPr>
        <w:t>fox</w:t>
      </w:r>
      <w:r>
        <w:rPr>
          <w:spacing w:val="-6"/>
          <w:sz w:val="20"/>
        </w:rPr>
        <w:t> </w:t>
      </w:r>
      <w:r>
        <w:rPr>
          <w:spacing w:val="-2"/>
          <w:sz w:val="20"/>
        </w:rPr>
        <w:t>control.</w:t>
      </w:r>
    </w:p>
    <w:p>
      <w:pPr>
        <w:pStyle w:val="BodyText"/>
        <w:spacing w:before="128"/>
        <w:ind w:left="1132" w:right="1204"/>
      </w:pPr>
      <w:r>
        <w:rPr/>
        <w:t>This</w:t>
      </w:r>
      <w:r>
        <w:rPr>
          <w:spacing w:val="-2"/>
        </w:rPr>
        <w:t> </w:t>
      </w:r>
      <w:r>
        <w:rPr/>
        <w:t>fourteenth</w:t>
      </w:r>
      <w:r>
        <w:rPr>
          <w:spacing w:val="-4"/>
        </w:rPr>
        <w:t> </w:t>
      </w:r>
      <w:r>
        <w:rPr/>
        <w:t>annual</w:t>
      </w:r>
      <w:r>
        <w:rPr>
          <w:spacing w:val="-4"/>
        </w:rPr>
        <w:t> </w:t>
      </w:r>
      <w:r>
        <w:rPr/>
        <w:t>report</w:t>
      </w:r>
      <w:r>
        <w:rPr>
          <w:spacing w:val="-3"/>
        </w:rPr>
        <w:t> </w:t>
      </w:r>
      <w:r>
        <w:rPr/>
        <w:t>provides</w:t>
      </w:r>
      <w:r>
        <w:rPr>
          <w:spacing w:val="-1"/>
        </w:rPr>
        <w:t> </w:t>
      </w:r>
      <w:r>
        <w:rPr/>
        <w:t>an</w:t>
      </w:r>
      <w:r>
        <w:rPr>
          <w:spacing w:val="-4"/>
        </w:rPr>
        <w:t> </w:t>
      </w:r>
      <w:r>
        <w:rPr/>
        <w:t>update</w:t>
      </w:r>
      <w:r>
        <w:rPr>
          <w:spacing w:val="-4"/>
        </w:rPr>
        <w:t> </w:t>
      </w:r>
      <w:r>
        <w:rPr/>
        <w:t>on</w:t>
      </w:r>
      <w:r>
        <w:rPr>
          <w:spacing w:val="-3"/>
        </w:rPr>
        <w:t> </w:t>
      </w:r>
      <w:r>
        <w:rPr/>
        <w:t>the</w:t>
      </w:r>
      <w:r>
        <w:rPr>
          <w:spacing w:val="-3"/>
        </w:rPr>
        <w:t> </w:t>
      </w:r>
      <w:r>
        <w:rPr/>
        <w:t>Glenelg</w:t>
      </w:r>
      <w:r>
        <w:rPr>
          <w:spacing w:val="-3"/>
        </w:rPr>
        <w:t> </w:t>
      </w:r>
      <w:r>
        <w:rPr/>
        <w:t>Ark</w:t>
      </w:r>
      <w:r>
        <w:rPr>
          <w:spacing w:val="-2"/>
        </w:rPr>
        <w:t> </w:t>
      </w:r>
      <w:r>
        <w:rPr/>
        <w:t>project,</w:t>
      </w:r>
      <w:r>
        <w:rPr>
          <w:spacing w:val="-3"/>
        </w:rPr>
        <w:t> </w:t>
      </w:r>
      <w:r>
        <w:rPr/>
        <w:t>building</w:t>
      </w:r>
      <w:r>
        <w:rPr>
          <w:spacing w:val="-4"/>
        </w:rPr>
        <w:t> </w:t>
      </w:r>
      <w:r>
        <w:rPr/>
        <w:t>on</w:t>
      </w:r>
      <w:r>
        <w:rPr>
          <w:spacing w:val="-3"/>
        </w:rPr>
        <w:t> </w:t>
      </w:r>
      <w:r>
        <w:rPr/>
        <w:t>the</w:t>
      </w:r>
      <w:r>
        <w:rPr>
          <w:spacing w:val="-3"/>
        </w:rPr>
        <w:t> </w:t>
      </w:r>
      <w:r>
        <w:rPr/>
        <w:t>previous</w:t>
      </w:r>
      <w:r>
        <w:rPr>
          <w:spacing w:val="-2"/>
        </w:rPr>
        <w:t> </w:t>
      </w:r>
      <w:r>
        <w:rPr/>
        <w:t>report (Robley et al. 2023), and highlighting the project's progress in managing fox threats and monitoring the responses of three native species vulnerable to fox predation.</w:t>
      </w:r>
    </w:p>
    <w:p>
      <w:pPr>
        <w:pStyle w:val="BodyText"/>
        <w:spacing w:before="121"/>
        <w:ind w:left="1132" w:right="1195"/>
      </w:pPr>
      <w:r>
        <w:rPr/>
        <w:t>This report includes new data from the 2023 monitoring of the fox-control operation and target native species. It introduces a revised occupancy modelling approach that incorporates plausible environmental variables</w:t>
      </w:r>
      <w:r>
        <w:rPr>
          <w:spacing w:val="-3"/>
        </w:rPr>
        <w:t> </w:t>
      </w:r>
      <w:r>
        <w:rPr/>
        <w:t>to</w:t>
      </w:r>
      <w:r>
        <w:rPr>
          <w:spacing w:val="-3"/>
        </w:rPr>
        <w:t> </w:t>
      </w:r>
      <w:r>
        <w:rPr/>
        <w:t>explore</w:t>
      </w:r>
      <w:r>
        <w:rPr>
          <w:spacing w:val="-4"/>
        </w:rPr>
        <w:t> </w:t>
      </w:r>
      <w:r>
        <w:rPr/>
        <w:t>the</w:t>
      </w:r>
      <w:r>
        <w:rPr>
          <w:spacing w:val="-4"/>
        </w:rPr>
        <w:t> </w:t>
      </w:r>
      <w:r>
        <w:rPr/>
        <w:t>drivers</w:t>
      </w:r>
      <w:r>
        <w:rPr>
          <w:spacing w:val="-2"/>
        </w:rPr>
        <w:t> </w:t>
      </w:r>
      <w:r>
        <w:rPr/>
        <w:t>of</w:t>
      </w:r>
      <w:r>
        <w:rPr>
          <w:spacing w:val="-4"/>
        </w:rPr>
        <w:t> </w:t>
      </w:r>
      <w:r>
        <w:rPr/>
        <w:t>species</w:t>
      </w:r>
      <w:r>
        <w:rPr>
          <w:spacing w:val="-3"/>
        </w:rPr>
        <w:t> </w:t>
      </w:r>
      <w:r>
        <w:rPr/>
        <w:t>responses</w:t>
      </w:r>
      <w:r>
        <w:rPr>
          <w:spacing w:val="-3"/>
        </w:rPr>
        <w:t> </w:t>
      </w:r>
      <w:r>
        <w:rPr/>
        <w:t>to</w:t>
      </w:r>
      <w:r>
        <w:rPr>
          <w:spacing w:val="-2"/>
        </w:rPr>
        <w:t> </w:t>
      </w:r>
      <w:r>
        <w:rPr/>
        <w:t>reduced</w:t>
      </w:r>
      <w:r>
        <w:rPr>
          <w:spacing w:val="-3"/>
        </w:rPr>
        <w:t> </w:t>
      </w:r>
      <w:r>
        <w:rPr/>
        <w:t>predation</w:t>
      </w:r>
      <w:r>
        <w:rPr>
          <w:spacing w:val="-5"/>
        </w:rPr>
        <w:t> </w:t>
      </w:r>
      <w:r>
        <w:rPr/>
        <w:t>risk.</w:t>
      </w:r>
      <w:r>
        <w:rPr>
          <w:spacing w:val="-2"/>
        </w:rPr>
        <w:t> </w:t>
      </w:r>
      <w:r>
        <w:rPr/>
        <w:t>Additionally,</w:t>
      </w:r>
      <w:r>
        <w:rPr>
          <w:spacing w:val="-4"/>
        </w:rPr>
        <w:t> </w:t>
      </w:r>
      <w:r>
        <w:rPr/>
        <w:t>future</w:t>
      </w:r>
      <w:r>
        <w:rPr>
          <w:spacing w:val="-4"/>
        </w:rPr>
        <w:t> </w:t>
      </w:r>
      <w:r>
        <w:rPr/>
        <w:t>directions for</w:t>
      </w:r>
      <w:r>
        <w:rPr>
          <w:spacing w:val="-4"/>
        </w:rPr>
        <w:t> </w:t>
      </w:r>
      <w:r>
        <w:rPr/>
        <w:t>the</w:t>
      </w:r>
      <w:r>
        <w:rPr>
          <w:spacing w:val="-3"/>
        </w:rPr>
        <w:t> </w:t>
      </w:r>
      <w:r>
        <w:rPr/>
        <w:t>monitoring</w:t>
      </w:r>
      <w:r>
        <w:rPr>
          <w:spacing w:val="-4"/>
        </w:rPr>
        <w:t> </w:t>
      </w:r>
      <w:r>
        <w:rPr/>
        <w:t>and</w:t>
      </w:r>
      <w:r>
        <w:rPr>
          <w:spacing w:val="-4"/>
        </w:rPr>
        <w:t> </w:t>
      </w:r>
      <w:r>
        <w:rPr/>
        <w:t>evaluation</w:t>
      </w:r>
      <w:r>
        <w:rPr>
          <w:spacing w:val="-3"/>
        </w:rPr>
        <w:t> </w:t>
      </w:r>
      <w:r>
        <w:rPr/>
        <w:t>of</w:t>
      </w:r>
      <w:r>
        <w:rPr>
          <w:spacing w:val="-4"/>
        </w:rPr>
        <w:t> </w:t>
      </w:r>
      <w:r>
        <w:rPr/>
        <w:t>Glenelg</w:t>
      </w:r>
      <w:r>
        <w:rPr>
          <w:spacing w:val="-2"/>
        </w:rPr>
        <w:t> </w:t>
      </w:r>
      <w:r>
        <w:rPr/>
        <w:t>Ark</w:t>
      </w:r>
      <w:r>
        <w:rPr>
          <w:spacing w:val="-3"/>
        </w:rPr>
        <w:t> </w:t>
      </w:r>
      <w:r>
        <w:rPr/>
        <w:t>are</w:t>
      </w:r>
      <w:r>
        <w:rPr>
          <w:spacing w:val="-4"/>
        </w:rPr>
        <w:t> </w:t>
      </w:r>
      <w:r>
        <w:rPr/>
        <w:t>suggested,</w:t>
      </w:r>
      <w:r>
        <w:rPr>
          <w:spacing w:val="-2"/>
        </w:rPr>
        <w:t> </w:t>
      </w:r>
      <w:r>
        <w:rPr/>
        <w:t>providing</w:t>
      </w:r>
      <w:r>
        <w:rPr>
          <w:spacing w:val="-2"/>
        </w:rPr>
        <w:t> </w:t>
      </w:r>
      <w:r>
        <w:rPr/>
        <w:t>land</w:t>
      </w:r>
      <w:r>
        <w:rPr>
          <w:spacing w:val="-3"/>
        </w:rPr>
        <w:t> </w:t>
      </w:r>
      <w:r>
        <w:rPr/>
        <w:t>managers,</w:t>
      </w:r>
      <w:r>
        <w:rPr>
          <w:spacing w:val="-4"/>
        </w:rPr>
        <w:t> </w:t>
      </w:r>
      <w:r>
        <w:rPr/>
        <w:t>policymakers,</w:t>
      </w:r>
      <w:r>
        <w:rPr>
          <w:spacing w:val="-4"/>
        </w:rPr>
        <w:t> </w:t>
      </w:r>
      <w:r>
        <w:rPr/>
        <w:t>and the</w:t>
      </w:r>
      <w:r>
        <w:rPr>
          <w:spacing w:val="-1"/>
        </w:rPr>
        <w:t> </w:t>
      </w:r>
      <w:r>
        <w:rPr/>
        <w:t>community with the information</w:t>
      </w:r>
      <w:r>
        <w:rPr>
          <w:spacing w:val="-1"/>
        </w:rPr>
        <w:t> </w:t>
      </w:r>
      <w:r>
        <w:rPr/>
        <w:t>needed</w:t>
      </w:r>
      <w:r>
        <w:rPr>
          <w:spacing w:val="-1"/>
        </w:rPr>
        <w:t> </w:t>
      </w:r>
      <w:r>
        <w:rPr/>
        <w:t>to make informed decisions about the success and future of this large-scale fox control initiative.</w:t>
      </w:r>
    </w:p>
    <w:p>
      <w:pPr>
        <w:pStyle w:val="BodyText"/>
        <w:spacing w:after="0"/>
        <w:sectPr>
          <w:footerReference w:type="default" r:id="rId28"/>
          <w:pgSz w:w="11910" w:h="16850"/>
          <w:pgMar w:header="0" w:footer="688" w:top="1140" w:bottom="880" w:left="0" w:right="0"/>
        </w:sectPr>
      </w:pPr>
    </w:p>
    <w:p>
      <w:pPr>
        <w:pStyle w:val="Heading2"/>
        <w:numPr>
          <w:ilvl w:val="0"/>
          <w:numId w:val="5"/>
        </w:numPr>
        <w:tabs>
          <w:tab w:pos="1565" w:val="left" w:leader="none"/>
        </w:tabs>
        <w:spacing w:line="240" w:lineRule="auto" w:before="61" w:after="0"/>
        <w:ind w:left="1565" w:right="0" w:hanging="433"/>
        <w:jc w:val="left"/>
      </w:pPr>
      <w:bookmarkStart w:name="_TOC_250017" w:id="4"/>
      <w:bookmarkEnd w:id="4"/>
      <w:r>
        <w:rPr>
          <w:color w:val="001F5F"/>
          <w:spacing w:val="-2"/>
        </w:rPr>
        <w:t>Methods</w:t>
      </w:r>
    </w:p>
    <w:p>
      <w:pPr>
        <w:pStyle w:val="BodyText"/>
        <w:spacing w:before="255"/>
        <w:rPr>
          <w:b/>
          <w:sz w:val="32"/>
        </w:rPr>
      </w:pPr>
    </w:p>
    <w:p>
      <w:pPr>
        <w:pStyle w:val="BodyText"/>
        <w:spacing w:before="1"/>
        <w:ind w:left="1132" w:right="1204"/>
      </w:pPr>
      <w:r>
        <w:rPr/>
        <w:t>Descriptions</w:t>
      </w:r>
      <w:r>
        <w:rPr>
          <w:spacing w:val="-3"/>
        </w:rPr>
        <w:t> </w:t>
      </w:r>
      <w:r>
        <w:rPr/>
        <w:t>of</w:t>
      </w:r>
      <w:r>
        <w:rPr>
          <w:spacing w:val="-4"/>
        </w:rPr>
        <w:t> </w:t>
      </w:r>
      <w:r>
        <w:rPr/>
        <w:t>the</w:t>
      </w:r>
      <w:r>
        <w:rPr>
          <w:spacing w:val="-5"/>
        </w:rPr>
        <w:t> </w:t>
      </w:r>
      <w:r>
        <w:rPr/>
        <w:t>study</w:t>
      </w:r>
      <w:r>
        <w:rPr>
          <w:spacing w:val="-3"/>
        </w:rPr>
        <w:t> </w:t>
      </w:r>
      <w:r>
        <w:rPr/>
        <w:t>site,</w:t>
      </w:r>
      <w:r>
        <w:rPr>
          <w:spacing w:val="-4"/>
        </w:rPr>
        <w:t> </w:t>
      </w:r>
      <w:r>
        <w:rPr/>
        <w:t>fox</w:t>
      </w:r>
      <w:r>
        <w:rPr>
          <w:spacing w:val="-3"/>
        </w:rPr>
        <w:t> </w:t>
      </w:r>
      <w:r>
        <w:rPr/>
        <w:t>control</w:t>
      </w:r>
      <w:r>
        <w:rPr>
          <w:spacing w:val="-3"/>
        </w:rPr>
        <w:t> </w:t>
      </w:r>
      <w:r>
        <w:rPr/>
        <w:t>operation,</w:t>
      </w:r>
      <w:r>
        <w:rPr>
          <w:spacing w:val="-4"/>
        </w:rPr>
        <w:t> </w:t>
      </w:r>
      <w:r>
        <w:rPr/>
        <w:t>data</w:t>
      </w:r>
      <w:r>
        <w:rPr>
          <w:spacing w:val="-4"/>
        </w:rPr>
        <w:t> </w:t>
      </w:r>
      <w:r>
        <w:rPr/>
        <w:t>collection</w:t>
      </w:r>
      <w:r>
        <w:rPr>
          <w:spacing w:val="-3"/>
        </w:rPr>
        <w:t> </w:t>
      </w:r>
      <w:r>
        <w:rPr/>
        <w:t>and</w:t>
      </w:r>
      <w:r>
        <w:rPr>
          <w:spacing w:val="-3"/>
        </w:rPr>
        <w:t> </w:t>
      </w:r>
      <w:r>
        <w:rPr/>
        <w:t>analytical</w:t>
      </w:r>
      <w:r>
        <w:rPr>
          <w:spacing w:val="-5"/>
        </w:rPr>
        <w:t> </w:t>
      </w:r>
      <w:r>
        <w:rPr/>
        <w:t>approach</w:t>
      </w:r>
      <w:r>
        <w:rPr>
          <w:spacing w:val="-2"/>
        </w:rPr>
        <w:t> </w:t>
      </w:r>
      <w:r>
        <w:rPr/>
        <w:t>used</w:t>
      </w:r>
      <w:r>
        <w:rPr>
          <w:spacing w:val="-3"/>
        </w:rPr>
        <w:t> </w:t>
      </w:r>
      <w:r>
        <w:rPr/>
        <w:t>are summarised below, for a full description see Robley et al. (2023).</w:t>
      </w:r>
    </w:p>
    <w:p>
      <w:pPr>
        <w:pStyle w:val="BodyText"/>
        <w:spacing w:before="155"/>
      </w:pPr>
    </w:p>
    <w:p>
      <w:pPr>
        <w:pStyle w:val="Heading3"/>
        <w:numPr>
          <w:ilvl w:val="1"/>
          <w:numId w:val="5"/>
        </w:numPr>
        <w:tabs>
          <w:tab w:pos="1699" w:val="left" w:leader="none"/>
        </w:tabs>
        <w:spacing w:line="240" w:lineRule="auto" w:before="0" w:after="0"/>
        <w:ind w:left="1699" w:right="0" w:hanging="567"/>
        <w:jc w:val="left"/>
      </w:pPr>
      <w:bookmarkStart w:name="_TOC_250016" w:id="5"/>
      <w:bookmarkEnd w:id="5"/>
      <w:r>
        <w:rPr>
          <w:color w:val="2D1E66"/>
          <w:spacing w:val="-2"/>
        </w:rPr>
        <w:t>Location</w:t>
      </w:r>
    </w:p>
    <w:p>
      <w:pPr>
        <w:pStyle w:val="BodyText"/>
        <w:spacing w:before="112"/>
        <w:ind w:left="1132" w:right="1140"/>
      </w:pPr>
      <w:r>
        <w:rPr/>
        <w:t>The</w:t>
      </w:r>
      <w:r>
        <w:rPr>
          <w:spacing w:val="-5"/>
        </w:rPr>
        <w:t> </w:t>
      </w:r>
      <w:r>
        <w:rPr/>
        <w:t>Glenelg</w:t>
      </w:r>
      <w:r>
        <w:rPr>
          <w:spacing w:val="-2"/>
        </w:rPr>
        <w:t> </w:t>
      </w:r>
      <w:r>
        <w:rPr/>
        <w:t>Ark</w:t>
      </w:r>
      <w:r>
        <w:rPr>
          <w:spacing w:val="-3"/>
        </w:rPr>
        <w:t> </w:t>
      </w:r>
      <w:r>
        <w:rPr/>
        <w:t>operations area</w:t>
      </w:r>
      <w:r>
        <w:rPr>
          <w:spacing w:val="-2"/>
        </w:rPr>
        <w:t> </w:t>
      </w:r>
      <w:r>
        <w:rPr/>
        <w:t>is</w:t>
      </w:r>
      <w:r>
        <w:rPr>
          <w:spacing w:val="-3"/>
        </w:rPr>
        <w:t> </w:t>
      </w:r>
      <w:r>
        <w:rPr/>
        <w:t>in</w:t>
      </w:r>
      <w:r>
        <w:rPr>
          <w:spacing w:val="-2"/>
        </w:rPr>
        <w:t> </w:t>
      </w:r>
      <w:r>
        <w:rPr/>
        <w:t>far</w:t>
      </w:r>
      <w:r>
        <w:rPr>
          <w:spacing w:val="-4"/>
        </w:rPr>
        <w:t> </w:t>
      </w:r>
      <w:r>
        <w:rPr/>
        <w:t>south-western</w:t>
      </w:r>
      <w:r>
        <w:rPr>
          <w:spacing w:val="-4"/>
        </w:rPr>
        <w:t> </w:t>
      </w:r>
      <w:r>
        <w:rPr/>
        <w:t>Victoria,</w:t>
      </w:r>
      <w:r>
        <w:rPr>
          <w:spacing w:val="-4"/>
        </w:rPr>
        <w:t> </w:t>
      </w:r>
      <w:r>
        <w:rPr/>
        <w:t>near</w:t>
      </w:r>
      <w:r>
        <w:rPr>
          <w:spacing w:val="-4"/>
        </w:rPr>
        <w:t> </w:t>
      </w:r>
      <w:r>
        <w:rPr/>
        <w:t>the</w:t>
      </w:r>
      <w:r>
        <w:rPr>
          <w:spacing w:val="-4"/>
        </w:rPr>
        <w:t> </w:t>
      </w:r>
      <w:r>
        <w:rPr/>
        <w:t>township</w:t>
      </w:r>
      <w:r>
        <w:rPr>
          <w:spacing w:val="-4"/>
        </w:rPr>
        <w:t> </w:t>
      </w:r>
      <w:r>
        <w:rPr/>
        <w:t>of</w:t>
      </w:r>
      <w:r>
        <w:rPr>
          <w:spacing w:val="-4"/>
        </w:rPr>
        <w:t> </w:t>
      </w:r>
      <w:r>
        <w:rPr/>
        <w:t>Heywood</w:t>
      </w:r>
      <w:r>
        <w:rPr>
          <w:spacing w:val="-4"/>
        </w:rPr>
        <w:t> </w:t>
      </w:r>
      <w:r>
        <w:rPr/>
        <w:t>(38°07’50"S, 147°37’45"E), and encompasses 90,000 hectares of public land (Figure 1).</w:t>
      </w:r>
    </w:p>
    <w:p>
      <w:pPr>
        <w:pStyle w:val="BodyText"/>
        <w:spacing w:before="119"/>
        <w:ind w:left="1132" w:right="1204"/>
      </w:pPr>
      <w:r>
        <w:rPr/>
        <w:t>Fox</w:t>
      </w:r>
      <w:r>
        <w:rPr>
          <w:spacing w:val="-3"/>
        </w:rPr>
        <w:t> </w:t>
      </w:r>
      <w:r>
        <w:rPr/>
        <w:t>control</w:t>
      </w:r>
      <w:r>
        <w:rPr>
          <w:spacing w:val="-3"/>
        </w:rPr>
        <w:t> </w:t>
      </w:r>
      <w:r>
        <w:rPr/>
        <w:t>efforts</w:t>
      </w:r>
      <w:r>
        <w:rPr>
          <w:spacing w:val="-2"/>
        </w:rPr>
        <w:t> </w:t>
      </w:r>
      <w:r>
        <w:rPr/>
        <w:t>have</w:t>
      </w:r>
      <w:r>
        <w:rPr>
          <w:spacing w:val="-4"/>
        </w:rPr>
        <w:t> </w:t>
      </w:r>
      <w:r>
        <w:rPr/>
        <w:t>been</w:t>
      </w:r>
      <w:r>
        <w:rPr>
          <w:spacing w:val="-5"/>
        </w:rPr>
        <w:t> </w:t>
      </w:r>
      <w:r>
        <w:rPr/>
        <w:t>concentrated</w:t>
      </w:r>
      <w:r>
        <w:rPr>
          <w:spacing w:val="-4"/>
        </w:rPr>
        <w:t> </w:t>
      </w:r>
      <w:r>
        <w:rPr/>
        <w:t>in</w:t>
      </w:r>
      <w:r>
        <w:rPr>
          <w:spacing w:val="-4"/>
        </w:rPr>
        <w:t> </w:t>
      </w:r>
      <w:r>
        <w:rPr/>
        <w:t>the</w:t>
      </w:r>
      <w:r>
        <w:rPr>
          <w:spacing w:val="-4"/>
        </w:rPr>
        <w:t> </w:t>
      </w:r>
      <w:r>
        <w:rPr/>
        <w:t>southern</w:t>
      </w:r>
      <w:r>
        <w:rPr>
          <w:spacing w:val="-4"/>
        </w:rPr>
        <w:t> </w:t>
      </w:r>
      <w:r>
        <w:rPr/>
        <w:t>half</w:t>
      </w:r>
      <w:r>
        <w:rPr>
          <w:spacing w:val="-2"/>
        </w:rPr>
        <w:t> </w:t>
      </w:r>
      <w:r>
        <w:rPr/>
        <w:t>of</w:t>
      </w:r>
      <w:r>
        <w:rPr>
          <w:spacing w:val="-4"/>
        </w:rPr>
        <w:t> </w:t>
      </w:r>
      <w:r>
        <w:rPr/>
        <w:t>the</w:t>
      </w:r>
      <w:r>
        <w:rPr>
          <w:spacing w:val="-5"/>
        </w:rPr>
        <w:t> </w:t>
      </w:r>
      <w:r>
        <w:rPr/>
        <w:t>operations</w:t>
      </w:r>
      <w:r>
        <w:rPr>
          <w:spacing w:val="-3"/>
        </w:rPr>
        <w:t> </w:t>
      </w:r>
      <w:r>
        <w:rPr/>
        <w:t>area</w:t>
      </w:r>
      <w:r>
        <w:rPr>
          <w:spacing w:val="-4"/>
        </w:rPr>
        <w:t> </w:t>
      </w:r>
      <w:r>
        <w:rPr/>
        <w:t>to</w:t>
      </w:r>
      <w:r>
        <w:rPr>
          <w:spacing w:val="-2"/>
        </w:rPr>
        <w:t> </w:t>
      </w:r>
      <w:r>
        <w:rPr/>
        <w:t>broadly</w:t>
      </w:r>
      <w:r>
        <w:rPr>
          <w:spacing w:val="-3"/>
        </w:rPr>
        <w:t> </w:t>
      </w:r>
      <w:r>
        <w:rPr/>
        <w:t>reduce</w:t>
      </w:r>
      <w:r>
        <w:rPr>
          <w:spacing w:val="-4"/>
        </w:rPr>
        <w:t> </w:t>
      </w:r>
      <w:r>
        <w:rPr/>
        <w:t>fox numbers</w:t>
      </w:r>
      <w:r>
        <w:rPr>
          <w:spacing w:val="-1"/>
        </w:rPr>
        <w:t> </w:t>
      </w:r>
      <w:r>
        <w:rPr/>
        <w:t>across</w:t>
      </w:r>
      <w:r>
        <w:rPr>
          <w:spacing w:val="-2"/>
        </w:rPr>
        <w:t> </w:t>
      </w:r>
      <w:r>
        <w:rPr/>
        <w:t>public</w:t>
      </w:r>
      <w:r>
        <w:rPr>
          <w:spacing w:val="-2"/>
        </w:rPr>
        <w:t> </w:t>
      </w:r>
      <w:r>
        <w:rPr/>
        <w:t>lands.</w:t>
      </w:r>
      <w:r>
        <w:rPr>
          <w:spacing w:val="-3"/>
        </w:rPr>
        <w:t> </w:t>
      </w:r>
      <w:r>
        <w:rPr/>
        <w:t>Ideally,</w:t>
      </w:r>
      <w:r>
        <w:rPr>
          <w:spacing w:val="-3"/>
        </w:rPr>
        <w:t> </w:t>
      </w:r>
      <w:r>
        <w:rPr/>
        <w:t>random</w:t>
      </w:r>
      <w:r>
        <w:rPr>
          <w:spacing w:val="-3"/>
        </w:rPr>
        <w:t> </w:t>
      </w:r>
      <w:r>
        <w:rPr/>
        <w:t>allocation</w:t>
      </w:r>
      <w:r>
        <w:rPr>
          <w:spacing w:val="-3"/>
        </w:rPr>
        <w:t> </w:t>
      </w:r>
      <w:r>
        <w:rPr/>
        <w:t>of</w:t>
      </w:r>
      <w:r>
        <w:rPr>
          <w:spacing w:val="-3"/>
        </w:rPr>
        <w:t> </w:t>
      </w:r>
      <w:r>
        <w:rPr/>
        <w:t>fox</w:t>
      </w:r>
      <w:r>
        <w:rPr>
          <w:spacing w:val="-2"/>
        </w:rPr>
        <w:t> </w:t>
      </w:r>
      <w:r>
        <w:rPr/>
        <w:t>control</w:t>
      </w:r>
      <w:r>
        <w:rPr>
          <w:spacing w:val="-4"/>
        </w:rPr>
        <w:t> </w:t>
      </w:r>
      <w:r>
        <w:rPr/>
        <w:t>across</w:t>
      </w:r>
      <w:r>
        <w:rPr>
          <w:spacing w:val="-2"/>
        </w:rPr>
        <w:t> </w:t>
      </w:r>
      <w:r>
        <w:rPr/>
        <w:t>public</w:t>
      </w:r>
      <w:r>
        <w:rPr>
          <w:spacing w:val="-2"/>
        </w:rPr>
        <w:t> </w:t>
      </w:r>
      <w:r>
        <w:rPr/>
        <w:t>land</w:t>
      </w:r>
      <w:r>
        <w:rPr>
          <w:spacing w:val="-1"/>
        </w:rPr>
        <w:t> </w:t>
      </w:r>
      <w:r>
        <w:rPr/>
        <w:t>blocks</w:t>
      </w:r>
      <w:r>
        <w:rPr>
          <w:spacing w:val="-2"/>
        </w:rPr>
        <w:t> </w:t>
      </w:r>
      <w:r>
        <w:rPr/>
        <w:t>would</w:t>
      </w:r>
      <w:r>
        <w:rPr>
          <w:spacing w:val="-3"/>
        </w:rPr>
        <w:t> </w:t>
      </w:r>
      <w:r>
        <w:rPr/>
        <w:t>have enhanced the assessment's rigor by better isolating the impact of fox control ('the treatment') on native species occurrence ('the response'). However, this was not possible for operational and logistic reasons.</w:t>
      </w:r>
    </w:p>
    <w:p>
      <w:pPr>
        <w:pStyle w:val="BodyText"/>
        <w:spacing w:before="121"/>
        <w:ind w:left="1132" w:right="1140"/>
      </w:pPr>
      <w:r>
        <w:rPr/>
        <w:t>Fox</w:t>
      </w:r>
      <w:r>
        <w:rPr>
          <w:spacing w:val="-3"/>
        </w:rPr>
        <w:t> </w:t>
      </w:r>
      <w:r>
        <w:rPr/>
        <w:t>baiting</w:t>
      </w:r>
      <w:r>
        <w:rPr>
          <w:spacing w:val="-3"/>
        </w:rPr>
        <w:t> </w:t>
      </w:r>
      <w:r>
        <w:rPr/>
        <w:t>was</w:t>
      </w:r>
      <w:r>
        <w:rPr>
          <w:spacing w:val="-3"/>
        </w:rPr>
        <w:t> </w:t>
      </w:r>
      <w:r>
        <w:rPr/>
        <w:t>conducted</w:t>
      </w:r>
      <w:r>
        <w:rPr>
          <w:spacing w:val="-2"/>
        </w:rPr>
        <w:t> </w:t>
      </w:r>
      <w:r>
        <w:rPr/>
        <w:t>using</w:t>
      </w:r>
      <w:r>
        <w:rPr>
          <w:spacing w:val="-5"/>
        </w:rPr>
        <w:t> </w:t>
      </w:r>
      <w:r>
        <w:rPr/>
        <w:t>commercial</w:t>
      </w:r>
      <w:r>
        <w:rPr>
          <w:spacing w:val="-3"/>
        </w:rPr>
        <w:t> </w:t>
      </w:r>
      <w:r>
        <w:rPr/>
        <w:t>shelf-stable</w:t>
      </w:r>
      <w:r>
        <w:rPr>
          <w:spacing w:val="-2"/>
        </w:rPr>
        <w:t> </w:t>
      </w:r>
      <w:r>
        <w:rPr/>
        <w:t>baits</w:t>
      </w:r>
      <w:r>
        <w:rPr>
          <w:spacing w:val="-3"/>
        </w:rPr>
        <w:t> </w:t>
      </w:r>
      <w:r>
        <w:rPr/>
        <w:t>containing</w:t>
      </w:r>
      <w:r>
        <w:rPr>
          <w:spacing w:val="-4"/>
        </w:rPr>
        <w:t> </w:t>
      </w:r>
      <w:r>
        <w:rPr/>
        <w:t>either</w:t>
      </w:r>
      <w:r>
        <w:rPr>
          <w:spacing w:val="-3"/>
        </w:rPr>
        <w:t> </w:t>
      </w:r>
      <w:r>
        <w:rPr/>
        <w:t>sodium</w:t>
      </w:r>
      <w:r>
        <w:rPr>
          <w:spacing w:val="-4"/>
        </w:rPr>
        <w:t> </w:t>
      </w:r>
      <w:r>
        <w:rPr/>
        <w:t>fluoroacetate</w:t>
      </w:r>
      <w:r>
        <w:rPr>
          <w:spacing w:val="-5"/>
        </w:rPr>
        <w:t> </w:t>
      </w:r>
      <w:r>
        <w:rPr/>
        <w:t>(1080) or para-aminopropiophenone (PAPP). These baits were buried at designated bait stations (Figure 1). The stations were checked, and any taken baits were replaced, every two weeks throughout the year.</w:t>
      </w:r>
    </w:p>
    <w:p>
      <w:pPr>
        <w:pStyle w:val="BodyText"/>
        <w:spacing w:before="4"/>
        <w:rPr>
          <w:sz w:val="8"/>
        </w:rPr>
      </w:pPr>
      <w:r>
        <w:rPr>
          <w:sz w:val="8"/>
        </w:rPr>
        <w:drawing>
          <wp:anchor distT="0" distB="0" distL="0" distR="0" allowOverlap="1" layoutInCell="1" locked="0" behindDoc="1" simplePos="0" relativeHeight="487595008">
            <wp:simplePos x="0" y="0"/>
            <wp:positionH relativeFrom="page">
              <wp:posOffset>720090</wp:posOffset>
            </wp:positionH>
            <wp:positionV relativeFrom="paragraph">
              <wp:posOffset>76403</wp:posOffset>
            </wp:positionV>
            <wp:extent cx="4531664" cy="4133087"/>
            <wp:effectExtent l="0" t="0" r="0" b="0"/>
            <wp:wrapTopAndBottom/>
            <wp:docPr id="63" name="Image 63" descr="Map  Description automatically generated"/>
            <wp:cNvGraphicFramePr>
              <a:graphicFrameLocks/>
            </wp:cNvGraphicFramePr>
            <a:graphic>
              <a:graphicData uri="http://schemas.openxmlformats.org/drawingml/2006/picture">
                <pic:pic>
                  <pic:nvPicPr>
                    <pic:cNvPr id="63" name="Image 63" descr="Map  Description automatically generated"/>
                    <pic:cNvPicPr/>
                  </pic:nvPicPr>
                  <pic:blipFill>
                    <a:blip r:embed="rId30" cstate="print"/>
                    <a:stretch>
                      <a:fillRect/>
                    </a:stretch>
                  </pic:blipFill>
                  <pic:spPr>
                    <a:xfrm>
                      <a:off x="0" y="0"/>
                      <a:ext cx="4531664" cy="4133087"/>
                    </a:xfrm>
                    <a:prstGeom prst="rect">
                      <a:avLst/>
                    </a:prstGeom>
                  </pic:spPr>
                </pic:pic>
              </a:graphicData>
            </a:graphic>
          </wp:anchor>
        </w:drawing>
      </w:r>
    </w:p>
    <w:p>
      <w:pPr>
        <w:pStyle w:val="Heading5"/>
        <w:spacing w:before="183"/>
      </w:pPr>
      <w:bookmarkStart w:name="_bookmark0" w:id="6"/>
      <w:bookmarkEnd w:id="6"/>
      <w:r>
        <w:rPr>
          <w:b w:val="0"/>
        </w:rPr>
      </w:r>
      <w:r>
        <w:rPr>
          <w:color w:val="1F1546"/>
        </w:rPr>
        <w:t>Figure</w:t>
      </w:r>
      <w:r>
        <w:rPr>
          <w:color w:val="1F1546"/>
          <w:spacing w:val="-5"/>
        </w:rPr>
        <w:t> </w:t>
      </w:r>
      <w:r>
        <w:rPr>
          <w:color w:val="1F1546"/>
        </w:rPr>
        <w:t>1.</w:t>
      </w:r>
      <w:r>
        <w:rPr>
          <w:color w:val="1F1546"/>
          <w:spacing w:val="-6"/>
        </w:rPr>
        <w:t> </w:t>
      </w:r>
      <w:r>
        <w:rPr>
          <w:color w:val="1F1546"/>
        </w:rPr>
        <w:t>Glenelg</w:t>
      </w:r>
      <w:r>
        <w:rPr>
          <w:color w:val="1F1546"/>
          <w:spacing w:val="-6"/>
        </w:rPr>
        <w:t> </w:t>
      </w:r>
      <w:r>
        <w:rPr>
          <w:color w:val="1F1546"/>
        </w:rPr>
        <w:t>Ark</w:t>
      </w:r>
      <w:r>
        <w:rPr>
          <w:color w:val="1F1546"/>
          <w:spacing w:val="-6"/>
        </w:rPr>
        <w:t> </w:t>
      </w:r>
      <w:r>
        <w:rPr>
          <w:color w:val="1F1546"/>
        </w:rPr>
        <w:t>operational</w:t>
      </w:r>
      <w:r>
        <w:rPr>
          <w:color w:val="1F1546"/>
          <w:spacing w:val="-4"/>
        </w:rPr>
        <w:t> </w:t>
      </w:r>
      <w:r>
        <w:rPr>
          <w:color w:val="1F1546"/>
          <w:spacing w:val="-2"/>
        </w:rPr>
        <w:t>areas.</w:t>
      </w:r>
    </w:p>
    <w:p>
      <w:pPr>
        <w:spacing w:before="38"/>
        <w:ind w:left="1132" w:right="0" w:firstLine="0"/>
        <w:jc w:val="left"/>
        <w:rPr>
          <w:sz w:val="18"/>
        </w:rPr>
      </w:pPr>
      <w:r>
        <w:rPr>
          <w:sz w:val="18"/>
        </w:rPr>
        <w:t>Green</w:t>
      </w:r>
      <w:r>
        <w:rPr>
          <w:spacing w:val="-5"/>
          <w:sz w:val="18"/>
        </w:rPr>
        <w:t> </w:t>
      </w:r>
      <w:r>
        <w:rPr>
          <w:sz w:val="18"/>
        </w:rPr>
        <w:t>=</w:t>
      </w:r>
      <w:r>
        <w:rPr>
          <w:spacing w:val="-3"/>
          <w:sz w:val="18"/>
        </w:rPr>
        <w:t> </w:t>
      </w:r>
      <w:r>
        <w:rPr>
          <w:sz w:val="18"/>
        </w:rPr>
        <w:t>Glenelg</w:t>
      </w:r>
      <w:r>
        <w:rPr>
          <w:spacing w:val="-3"/>
          <w:sz w:val="18"/>
        </w:rPr>
        <w:t> </w:t>
      </w:r>
      <w:r>
        <w:rPr>
          <w:sz w:val="18"/>
        </w:rPr>
        <w:t>Ark</w:t>
      </w:r>
      <w:r>
        <w:rPr>
          <w:spacing w:val="-4"/>
          <w:sz w:val="18"/>
        </w:rPr>
        <w:t> </w:t>
      </w:r>
      <w:r>
        <w:rPr>
          <w:sz w:val="18"/>
        </w:rPr>
        <w:t>operational</w:t>
      </w:r>
      <w:r>
        <w:rPr>
          <w:spacing w:val="-2"/>
          <w:sz w:val="18"/>
        </w:rPr>
        <w:t> </w:t>
      </w:r>
      <w:r>
        <w:rPr>
          <w:sz w:val="18"/>
        </w:rPr>
        <w:t>areas;</w:t>
      </w:r>
      <w:r>
        <w:rPr>
          <w:spacing w:val="-5"/>
          <w:sz w:val="18"/>
        </w:rPr>
        <w:t> </w:t>
      </w:r>
      <w:r>
        <w:rPr>
          <w:sz w:val="18"/>
        </w:rPr>
        <w:t>red</w:t>
      </w:r>
      <w:r>
        <w:rPr>
          <w:spacing w:val="-5"/>
          <w:sz w:val="18"/>
        </w:rPr>
        <w:t> </w:t>
      </w:r>
      <w:r>
        <w:rPr>
          <w:sz w:val="18"/>
        </w:rPr>
        <w:t>dots</w:t>
      </w:r>
      <w:r>
        <w:rPr>
          <w:spacing w:val="-3"/>
          <w:sz w:val="18"/>
        </w:rPr>
        <w:t> </w:t>
      </w:r>
      <w:r>
        <w:rPr>
          <w:sz w:val="18"/>
        </w:rPr>
        <w:t>indicate</w:t>
      </w:r>
      <w:r>
        <w:rPr>
          <w:spacing w:val="-5"/>
          <w:sz w:val="18"/>
        </w:rPr>
        <w:t> </w:t>
      </w:r>
      <w:r>
        <w:rPr>
          <w:sz w:val="18"/>
        </w:rPr>
        <w:t>poison</w:t>
      </w:r>
      <w:r>
        <w:rPr>
          <w:spacing w:val="-3"/>
          <w:sz w:val="18"/>
        </w:rPr>
        <w:t> </w:t>
      </w:r>
      <w:r>
        <w:rPr>
          <w:sz w:val="18"/>
        </w:rPr>
        <w:t>bait</w:t>
      </w:r>
      <w:r>
        <w:rPr>
          <w:spacing w:val="-3"/>
          <w:sz w:val="18"/>
        </w:rPr>
        <w:t> </w:t>
      </w:r>
      <w:r>
        <w:rPr>
          <w:sz w:val="18"/>
        </w:rPr>
        <w:t>stations;</w:t>
      </w:r>
      <w:r>
        <w:rPr>
          <w:spacing w:val="-3"/>
          <w:sz w:val="18"/>
        </w:rPr>
        <w:t> </w:t>
      </w:r>
      <w:r>
        <w:rPr>
          <w:sz w:val="18"/>
        </w:rPr>
        <w:t>pale</w:t>
      </w:r>
      <w:r>
        <w:rPr>
          <w:spacing w:val="-2"/>
          <w:sz w:val="18"/>
        </w:rPr>
        <w:t> </w:t>
      </w:r>
      <w:r>
        <w:rPr>
          <w:sz w:val="18"/>
        </w:rPr>
        <w:t>grey</w:t>
      </w:r>
      <w:r>
        <w:rPr>
          <w:spacing w:val="-4"/>
          <w:sz w:val="18"/>
        </w:rPr>
        <w:t> </w:t>
      </w:r>
      <w:r>
        <w:rPr>
          <w:sz w:val="18"/>
        </w:rPr>
        <w:t>=</w:t>
      </w:r>
      <w:r>
        <w:rPr>
          <w:spacing w:val="-3"/>
          <w:sz w:val="18"/>
        </w:rPr>
        <w:t> </w:t>
      </w:r>
      <w:r>
        <w:rPr>
          <w:sz w:val="18"/>
        </w:rPr>
        <w:t>other</w:t>
      </w:r>
      <w:r>
        <w:rPr>
          <w:spacing w:val="-3"/>
          <w:sz w:val="18"/>
        </w:rPr>
        <w:t> </w:t>
      </w:r>
      <w:r>
        <w:rPr>
          <w:sz w:val="18"/>
        </w:rPr>
        <w:t>public</w:t>
      </w:r>
      <w:r>
        <w:rPr>
          <w:spacing w:val="-1"/>
          <w:sz w:val="18"/>
        </w:rPr>
        <w:t> </w:t>
      </w:r>
      <w:r>
        <w:rPr>
          <w:spacing w:val="-2"/>
          <w:sz w:val="18"/>
        </w:rPr>
        <w:t>land.</w:t>
      </w:r>
    </w:p>
    <w:p>
      <w:pPr>
        <w:pStyle w:val="BodyText"/>
        <w:spacing w:before="180"/>
        <w:rPr>
          <w:sz w:val="18"/>
        </w:rPr>
      </w:pPr>
    </w:p>
    <w:p>
      <w:pPr>
        <w:pStyle w:val="Heading3"/>
        <w:numPr>
          <w:ilvl w:val="1"/>
          <w:numId w:val="5"/>
        </w:numPr>
        <w:tabs>
          <w:tab w:pos="1699" w:val="left" w:leader="none"/>
        </w:tabs>
        <w:spacing w:line="240" w:lineRule="auto" w:before="0" w:after="0"/>
        <w:ind w:left="1699" w:right="0" w:hanging="567"/>
        <w:jc w:val="left"/>
      </w:pPr>
      <w:bookmarkStart w:name="_TOC_250015" w:id="7"/>
      <w:r>
        <w:rPr>
          <w:color w:val="2D1E66"/>
        </w:rPr>
        <w:t>Monitoring</w:t>
      </w:r>
      <w:r>
        <w:rPr>
          <w:color w:val="2D1E66"/>
          <w:spacing w:val="-2"/>
        </w:rPr>
        <w:t> </w:t>
      </w:r>
      <w:r>
        <w:rPr>
          <w:color w:val="2D1E66"/>
        </w:rPr>
        <w:t>and</w:t>
      </w:r>
      <w:r>
        <w:rPr>
          <w:color w:val="2D1E66"/>
          <w:spacing w:val="-2"/>
        </w:rPr>
        <w:t> </w:t>
      </w:r>
      <w:r>
        <w:rPr>
          <w:color w:val="2D1E66"/>
        </w:rPr>
        <w:t>evaluation</w:t>
      </w:r>
      <w:r>
        <w:rPr>
          <w:color w:val="2D1E66"/>
          <w:spacing w:val="-1"/>
        </w:rPr>
        <w:t> </w:t>
      </w:r>
      <w:bookmarkEnd w:id="7"/>
      <w:r>
        <w:rPr>
          <w:color w:val="2D1E66"/>
          <w:spacing w:val="-2"/>
        </w:rPr>
        <w:t>design</w:t>
      </w:r>
    </w:p>
    <w:p>
      <w:pPr>
        <w:pStyle w:val="BodyText"/>
        <w:spacing w:before="110"/>
        <w:ind w:left="1132" w:right="1204"/>
      </w:pPr>
      <w:r>
        <w:rPr/>
        <w:t>Three fox-control monitoring locations (FCMLs) and three no-fox-control monitoring locations (NFCMLs) were</w:t>
      </w:r>
      <w:r>
        <w:rPr>
          <w:spacing w:val="-3"/>
        </w:rPr>
        <w:t> </w:t>
      </w:r>
      <w:r>
        <w:rPr/>
        <w:t>used</w:t>
      </w:r>
      <w:r>
        <w:rPr>
          <w:spacing w:val="-3"/>
        </w:rPr>
        <w:t> </w:t>
      </w:r>
      <w:r>
        <w:rPr/>
        <w:t>to</w:t>
      </w:r>
      <w:r>
        <w:rPr>
          <w:spacing w:val="-1"/>
        </w:rPr>
        <w:t> </w:t>
      </w:r>
      <w:r>
        <w:rPr/>
        <w:t>assess</w:t>
      </w:r>
      <w:r>
        <w:rPr>
          <w:spacing w:val="-2"/>
        </w:rPr>
        <w:t> </w:t>
      </w:r>
      <w:r>
        <w:rPr/>
        <w:t>the</w:t>
      </w:r>
      <w:r>
        <w:rPr>
          <w:spacing w:val="-3"/>
        </w:rPr>
        <w:t> </w:t>
      </w:r>
      <w:r>
        <w:rPr/>
        <w:t>benefits</w:t>
      </w:r>
      <w:r>
        <w:rPr>
          <w:spacing w:val="-2"/>
        </w:rPr>
        <w:t> </w:t>
      </w:r>
      <w:r>
        <w:rPr/>
        <w:t>of</w:t>
      </w:r>
      <w:r>
        <w:rPr>
          <w:spacing w:val="-3"/>
        </w:rPr>
        <w:t> </w:t>
      </w:r>
      <w:r>
        <w:rPr/>
        <w:t>fox</w:t>
      </w:r>
      <w:r>
        <w:rPr>
          <w:spacing w:val="-2"/>
        </w:rPr>
        <w:t> </w:t>
      </w:r>
      <w:r>
        <w:rPr/>
        <w:t>control</w:t>
      </w:r>
      <w:r>
        <w:rPr>
          <w:spacing w:val="-2"/>
        </w:rPr>
        <w:t> </w:t>
      </w:r>
      <w:r>
        <w:rPr/>
        <w:t>to</w:t>
      </w:r>
      <w:r>
        <w:rPr>
          <w:spacing w:val="-2"/>
        </w:rPr>
        <w:t> </w:t>
      </w:r>
      <w:r>
        <w:rPr/>
        <w:t>native</w:t>
      </w:r>
      <w:r>
        <w:rPr>
          <w:spacing w:val="-3"/>
        </w:rPr>
        <w:t> </w:t>
      </w:r>
      <w:r>
        <w:rPr/>
        <w:t>species (Figure</w:t>
      </w:r>
      <w:r>
        <w:rPr>
          <w:spacing w:val="-1"/>
        </w:rPr>
        <w:t> </w:t>
      </w:r>
      <w:r>
        <w:rPr/>
        <w:t>2).</w:t>
      </w:r>
      <w:r>
        <w:rPr>
          <w:spacing w:val="-3"/>
        </w:rPr>
        <w:t> </w:t>
      </w:r>
      <w:r>
        <w:rPr/>
        <w:t>There</w:t>
      </w:r>
      <w:r>
        <w:rPr>
          <w:spacing w:val="-1"/>
        </w:rPr>
        <w:t> </w:t>
      </w:r>
      <w:r>
        <w:rPr/>
        <w:t>had</w:t>
      </w:r>
      <w:r>
        <w:rPr>
          <w:spacing w:val="-1"/>
        </w:rPr>
        <w:t> </w:t>
      </w:r>
      <w:r>
        <w:rPr/>
        <w:t>been</w:t>
      </w:r>
      <w:r>
        <w:rPr>
          <w:spacing w:val="-3"/>
        </w:rPr>
        <w:t> </w:t>
      </w:r>
      <w:r>
        <w:rPr/>
        <w:t>no</w:t>
      </w:r>
      <w:r>
        <w:rPr>
          <w:spacing w:val="-3"/>
        </w:rPr>
        <w:t> </w:t>
      </w:r>
      <w:r>
        <w:rPr/>
        <w:t>fox</w:t>
      </w:r>
      <w:r>
        <w:rPr>
          <w:spacing w:val="-2"/>
        </w:rPr>
        <w:t> </w:t>
      </w:r>
      <w:r>
        <w:rPr/>
        <w:t>control</w:t>
      </w:r>
      <w:r>
        <w:rPr>
          <w:spacing w:val="-2"/>
        </w:rPr>
        <w:t> </w:t>
      </w:r>
      <w:r>
        <w:rPr/>
        <w:t>in the FCMLs and NFCMLs before 2005.</w:t>
      </w:r>
    </w:p>
    <w:p>
      <w:pPr>
        <w:pStyle w:val="BodyText"/>
        <w:spacing w:before="121"/>
        <w:ind w:left="1132"/>
      </w:pPr>
      <w:r>
        <w:rPr/>
        <w:t>The</w:t>
      </w:r>
      <w:r>
        <w:rPr>
          <w:spacing w:val="-12"/>
        </w:rPr>
        <w:t> </w:t>
      </w:r>
      <w:r>
        <w:rPr/>
        <w:t>monitoring</w:t>
      </w:r>
      <w:r>
        <w:rPr>
          <w:spacing w:val="-10"/>
        </w:rPr>
        <w:t> </w:t>
      </w:r>
      <w:r>
        <w:rPr/>
        <w:t>locations</w:t>
      </w:r>
      <w:r>
        <w:rPr>
          <w:spacing w:val="-7"/>
        </w:rPr>
        <w:t> </w:t>
      </w:r>
      <w:r>
        <w:rPr>
          <w:spacing w:val="-2"/>
        </w:rPr>
        <w:t>were:</w:t>
      </w:r>
    </w:p>
    <w:p>
      <w:pPr>
        <w:pStyle w:val="ListParagraph"/>
        <w:numPr>
          <w:ilvl w:val="0"/>
          <w:numId w:val="7"/>
        </w:numPr>
        <w:tabs>
          <w:tab w:pos="2213" w:val="left" w:leader="none"/>
        </w:tabs>
        <w:spacing w:line="240" w:lineRule="auto" w:before="149" w:after="0"/>
        <w:ind w:left="2213" w:right="0" w:hanging="720"/>
        <w:jc w:val="left"/>
        <w:rPr>
          <w:sz w:val="20"/>
        </w:rPr>
      </w:pPr>
      <w:r>
        <w:rPr>
          <w:sz w:val="20"/>
        </w:rPr>
        <w:t>Annya</w:t>
      </w:r>
      <w:r>
        <w:rPr>
          <w:spacing w:val="-5"/>
          <w:sz w:val="20"/>
        </w:rPr>
        <w:t> </w:t>
      </w:r>
      <w:r>
        <w:rPr>
          <w:sz w:val="20"/>
        </w:rPr>
        <w:t>State</w:t>
      </w:r>
      <w:r>
        <w:rPr>
          <w:spacing w:val="-6"/>
          <w:sz w:val="20"/>
        </w:rPr>
        <w:t> </w:t>
      </w:r>
      <w:r>
        <w:rPr>
          <w:sz w:val="20"/>
        </w:rPr>
        <w:t>Forest</w:t>
      </w:r>
      <w:r>
        <w:rPr>
          <w:spacing w:val="-6"/>
          <w:sz w:val="20"/>
        </w:rPr>
        <w:t> </w:t>
      </w:r>
      <w:r>
        <w:rPr>
          <w:sz w:val="20"/>
        </w:rPr>
        <w:t>(NFCML;</w:t>
      </w:r>
      <w:r>
        <w:rPr>
          <w:spacing w:val="-6"/>
          <w:sz w:val="20"/>
        </w:rPr>
        <w:t> </w:t>
      </w:r>
      <w:r>
        <w:rPr>
          <w:sz w:val="20"/>
        </w:rPr>
        <w:t>8520</w:t>
      </w:r>
      <w:r>
        <w:rPr>
          <w:spacing w:val="-4"/>
          <w:sz w:val="20"/>
        </w:rPr>
        <w:t> </w:t>
      </w:r>
      <w:r>
        <w:rPr>
          <w:spacing w:val="-5"/>
          <w:sz w:val="20"/>
        </w:rPr>
        <w:t>ha)</w:t>
      </w:r>
    </w:p>
    <w:p>
      <w:pPr>
        <w:pStyle w:val="ListParagraph"/>
        <w:numPr>
          <w:ilvl w:val="0"/>
          <w:numId w:val="7"/>
        </w:numPr>
        <w:tabs>
          <w:tab w:pos="2213" w:val="left" w:leader="none"/>
        </w:tabs>
        <w:spacing w:line="240" w:lineRule="auto" w:before="42" w:after="0"/>
        <w:ind w:left="2213" w:right="0" w:hanging="720"/>
        <w:jc w:val="left"/>
        <w:rPr>
          <w:sz w:val="20"/>
        </w:rPr>
      </w:pPr>
      <w:r>
        <w:rPr>
          <w:sz w:val="20"/>
        </w:rPr>
        <w:t>Hotspur</w:t>
      </w:r>
      <w:r>
        <w:rPr>
          <w:spacing w:val="-4"/>
          <w:sz w:val="20"/>
        </w:rPr>
        <w:t> </w:t>
      </w:r>
      <w:r>
        <w:rPr>
          <w:sz w:val="20"/>
        </w:rPr>
        <w:t>State</w:t>
      </w:r>
      <w:r>
        <w:rPr>
          <w:spacing w:val="-7"/>
          <w:sz w:val="20"/>
        </w:rPr>
        <w:t> </w:t>
      </w:r>
      <w:r>
        <w:rPr>
          <w:sz w:val="20"/>
        </w:rPr>
        <w:t>Forest</w:t>
      </w:r>
      <w:r>
        <w:rPr>
          <w:spacing w:val="-7"/>
          <w:sz w:val="20"/>
        </w:rPr>
        <w:t> </w:t>
      </w:r>
      <w:r>
        <w:rPr>
          <w:sz w:val="20"/>
        </w:rPr>
        <w:t>(NFCML;</w:t>
      </w:r>
      <w:r>
        <w:rPr>
          <w:spacing w:val="-6"/>
          <w:sz w:val="20"/>
        </w:rPr>
        <w:t> </w:t>
      </w:r>
      <w:r>
        <w:rPr>
          <w:sz w:val="20"/>
        </w:rPr>
        <w:t>6940</w:t>
      </w:r>
      <w:r>
        <w:rPr>
          <w:spacing w:val="-4"/>
          <w:sz w:val="20"/>
        </w:rPr>
        <w:t> </w:t>
      </w:r>
      <w:r>
        <w:rPr>
          <w:spacing w:val="-5"/>
          <w:sz w:val="20"/>
        </w:rPr>
        <w:t>ha)</w:t>
      </w:r>
    </w:p>
    <w:p>
      <w:pPr>
        <w:pStyle w:val="ListParagraph"/>
        <w:spacing w:after="0" w:line="240" w:lineRule="auto"/>
        <w:jc w:val="left"/>
        <w:rPr>
          <w:sz w:val="20"/>
        </w:rPr>
        <w:sectPr>
          <w:footerReference w:type="default" r:id="rId29"/>
          <w:pgSz w:w="11910" w:h="16850"/>
          <w:pgMar w:header="0" w:footer="688" w:top="1140" w:bottom="880" w:left="0" w:right="0"/>
        </w:sectPr>
      </w:pPr>
    </w:p>
    <w:p>
      <w:pPr>
        <w:pStyle w:val="ListParagraph"/>
        <w:numPr>
          <w:ilvl w:val="0"/>
          <w:numId w:val="7"/>
        </w:numPr>
        <w:tabs>
          <w:tab w:pos="2213" w:val="left" w:leader="none"/>
        </w:tabs>
        <w:spacing w:line="280" w:lineRule="auto" w:before="63" w:after="0"/>
        <w:ind w:left="2213" w:right="1410" w:hanging="720"/>
        <w:jc w:val="left"/>
        <w:rPr>
          <w:sz w:val="20"/>
        </w:rPr>
      </w:pPr>
      <w:r>
        <w:rPr>
          <w:sz w:val="20"/>
        </w:rPr>
        <w:t>Lower</w:t>
      </w:r>
      <w:r>
        <w:rPr>
          <w:spacing w:val="-3"/>
          <w:sz w:val="20"/>
        </w:rPr>
        <w:t> </w:t>
      </w:r>
      <w:r>
        <w:rPr>
          <w:sz w:val="20"/>
        </w:rPr>
        <w:t>Glenelg</w:t>
      </w:r>
      <w:r>
        <w:rPr>
          <w:spacing w:val="-2"/>
          <w:sz w:val="20"/>
        </w:rPr>
        <w:t> </w:t>
      </w:r>
      <w:r>
        <w:rPr>
          <w:sz w:val="20"/>
        </w:rPr>
        <w:t>National</w:t>
      </w:r>
      <w:r>
        <w:rPr>
          <w:spacing w:val="-3"/>
          <w:sz w:val="20"/>
        </w:rPr>
        <w:t> </w:t>
      </w:r>
      <w:r>
        <w:rPr>
          <w:sz w:val="20"/>
        </w:rPr>
        <w:t>Park –</w:t>
      </w:r>
      <w:r>
        <w:rPr>
          <w:spacing w:val="-4"/>
          <w:sz w:val="20"/>
        </w:rPr>
        <w:t> </w:t>
      </w:r>
      <w:r>
        <w:rPr>
          <w:sz w:val="20"/>
        </w:rPr>
        <w:t>North</w:t>
      </w:r>
      <w:r>
        <w:rPr>
          <w:spacing w:val="-5"/>
          <w:sz w:val="20"/>
        </w:rPr>
        <w:t> </w:t>
      </w:r>
      <w:r>
        <w:rPr>
          <w:sz w:val="20"/>
        </w:rPr>
        <w:t>(LGNP-north;</w:t>
      </w:r>
      <w:r>
        <w:rPr>
          <w:spacing w:val="-3"/>
          <w:sz w:val="20"/>
        </w:rPr>
        <w:t> </w:t>
      </w:r>
      <w:r>
        <w:rPr>
          <w:sz w:val="20"/>
        </w:rPr>
        <w:t>NFCML;</w:t>
      </w:r>
      <w:r>
        <w:rPr>
          <w:spacing w:val="-2"/>
          <w:sz w:val="20"/>
        </w:rPr>
        <w:t> </w:t>
      </w:r>
      <w:r>
        <w:rPr>
          <w:sz w:val="20"/>
        </w:rPr>
        <w:t>4659</w:t>
      </w:r>
      <w:r>
        <w:rPr>
          <w:spacing w:val="-4"/>
          <w:sz w:val="20"/>
        </w:rPr>
        <w:t> </w:t>
      </w:r>
      <w:r>
        <w:rPr>
          <w:sz w:val="20"/>
        </w:rPr>
        <w:t>ha)</w:t>
      </w:r>
      <w:r>
        <w:rPr>
          <w:spacing w:val="-4"/>
          <w:sz w:val="20"/>
        </w:rPr>
        <w:t> </w:t>
      </w:r>
      <w:r>
        <w:rPr>
          <w:sz w:val="20"/>
        </w:rPr>
        <w:t>(separated</w:t>
      </w:r>
      <w:r>
        <w:rPr>
          <w:spacing w:val="-5"/>
          <w:sz w:val="20"/>
        </w:rPr>
        <w:t> </w:t>
      </w:r>
      <w:r>
        <w:rPr>
          <w:sz w:val="20"/>
        </w:rPr>
        <w:t>from</w:t>
      </w:r>
      <w:r>
        <w:rPr>
          <w:spacing w:val="-4"/>
          <w:sz w:val="20"/>
        </w:rPr>
        <w:t> </w:t>
      </w:r>
      <w:r>
        <w:rPr>
          <w:sz w:val="20"/>
        </w:rPr>
        <w:t>LGNP-south by the Glenelg River)</w:t>
      </w:r>
    </w:p>
    <w:p>
      <w:pPr>
        <w:pStyle w:val="ListParagraph"/>
        <w:numPr>
          <w:ilvl w:val="0"/>
          <w:numId w:val="7"/>
        </w:numPr>
        <w:tabs>
          <w:tab w:pos="2213" w:val="left" w:leader="none"/>
        </w:tabs>
        <w:spacing w:line="240" w:lineRule="auto" w:before="2" w:after="0"/>
        <w:ind w:left="2213" w:right="0" w:hanging="720"/>
        <w:jc w:val="left"/>
        <w:rPr>
          <w:sz w:val="20"/>
        </w:rPr>
      </w:pPr>
      <w:r>
        <w:rPr>
          <w:sz w:val="20"/>
        </w:rPr>
        <w:t>Cobboboonee</w:t>
      </w:r>
      <w:r>
        <w:rPr>
          <w:spacing w:val="-9"/>
          <w:sz w:val="20"/>
        </w:rPr>
        <w:t> </w:t>
      </w:r>
      <w:r>
        <w:rPr>
          <w:sz w:val="20"/>
        </w:rPr>
        <w:t>National</w:t>
      </w:r>
      <w:r>
        <w:rPr>
          <w:spacing w:val="-9"/>
          <w:sz w:val="20"/>
        </w:rPr>
        <w:t> </w:t>
      </w:r>
      <w:r>
        <w:rPr>
          <w:sz w:val="20"/>
        </w:rPr>
        <w:t>Park</w:t>
      </w:r>
      <w:r>
        <w:rPr>
          <w:spacing w:val="-7"/>
          <w:sz w:val="20"/>
        </w:rPr>
        <w:t> </w:t>
      </w:r>
      <w:r>
        <w:rPr>
          <w:sz w:val="20"/>
        </w:rPr>
        <w:t>(FCML;</w:t>
      </w:r>
      <w:r>
        <w:rPr>
          <w:spacing w:val="-9"/>
          <w:sz w:val="20"/>
        </w:rPr>
        <w:t> </w:t>
      </w:r>
      <w:r>
        <w:rPr>
          <w:sz w:val="20"/>
        </w:rPr>
        <w:t>9750</w:t>
      </w:r>
      <w:r>
        <w:rPr>
          <w:spacing w:val="-7"/>
          <w:sz w:val="20"/>
        </w:rPr>
        <w:t> </w:t>
      </w:r>
      <w:r>
        <w:rPr>
          <w:spacing w:val="-5"/>
          <w:sz w:val="20"/>
        </w:rPr>
        <w:t>ha)</w:t>
      </w:r>
    </w:p>
    <w:p>
      <w:pPr>
        <w:pStyle w:val="ListParagraph"/>
        <w:numPr>
          <w:ilvl w:val="0"/>
          <w:numId w:val="7"/>
        </w:numPr>
        <w:tabs>
          <w:tab w:pos="2213" w:val="left" w:leader="none"/>
        </w:tabs>
        <w:spacing w:line="240" w:lineRule="auto" w:before="39" w:after="0"/>
        <w:ind w:left="2213" w:right="0" w:hanging="720"/>
        <w:jc w:val="left"/>
        <w:rPr>
          <w:sz w:val="20"/>
        </w:rPr>
      </w:pPr>
      <w:r>
        <w:rPr>
          <w:sz w:val="20"/>
        </w:rPr>
        <w:t>Lower</w:t>
      </w:r>
      <w:r>
        <w:rPr>
          <w:spacing w:val="-7"/>
          <w:sz w:val="20"/>
        </w:rPr>
        <w:t> </w:t>
      </w:r>
      <w:r>
        <w:rPr>
          <w:sz w:val="20"/>
        </w:rPr>
        <w:t>Glenelg</w:t>
      </w:r>
      <w:r>
        <w:rPr>
          <w:spacing w:val="-5"/>
          <w:sz w:val="20"/>
        </w:rPr>
        <w:t> </w:t>
      </w:r>
      <w:r>
        <w:rPr>
          <w:sz w:val="20"/>
        </w:rPr>
        <w:t>National</w:t>
      </w:r>
      <w:r>
        <w:rPr>
          <w:spacing w:val="-6"/>
          <w:sz w:val="20"/>
        </w:rPr>
        <w:t> </w:t>
      </w:r>
      <w:r>
        <w:rPr>
          <w:sz w:val="20"/>
        </w:rPr>
        <w:t>Park</w:t>
      </w:r>
      <w:r>
        <w:rPr>
          <w:spacing w:val="-4"/>
          <w:sz w:val="20"/>
        </w:rPr>
        <w:t> </w:t>
      </w:r>
      <w:r>
        <w:rPr>
          <w:sz w:val="20"/>
        </w:rPr>
        <w:t>–</w:t>
      </w:r>
      <w:r>
        <w:rPr>
          <w:spacing w:val="-7"/>
          <w:sz w:val="20"/>
        </w:rPr>
        <w:t> </w:t>
      </w:r>
      <w:r>
        <w:rPr>
          <w:sz w:val="20"/>
        </w:rPr>
        <w:t>South</w:t>
      </w:r>
      <w:r>
        <w:rPr>
          <w:spacing w:val="-8"/>
          <w:sz w:val="20"/>
        </w:rPr>
        <w:t> </w:t>
      </w:r>
      <w:r>
        <w:rPr>
          <w:sz w:val="20"/>
        </w:rPr>
        <w:t>(LGNP-south;</w:t>
      </w:r>
      <w:r>
        <w:rPr>
          <w:spacing w:val="-7"/>
          <w:sz w:val="20"/>
        </w:rPr>
        <w:t> </w:t>
      </w:r>
      <w:r>
        <w:rPr>
          <w:sz w:val="20"/>
        </w:rPr>
        <w:t>FCML;</w:t>
      </w:r>
      <w:r>
        <w:rPr>
          <w:spacing w:val="-7"/>
          <w:sz w:val="20"/>
        </w:rPr>
        <w:t> </w:t>
      </w:r>
      <w:r>
        <w:rPr>
          <w:sz w:val="20"/>
        </w:rPr>
        <w:t>8954</w:t>
      </w:r>
      <w:r>
        <w:rPr>
          <w:spacing w:val="-3"/>
          <w:sz w:val="20"/>
        </w:rPr>
        <w:t> </w:t>
      </w:r>
      <w:r>
        <w:rPr>
          <w:spacing w:val="-5"/>
          <w:sz w:val="20"/>
        </w:rPr>
        <w:t>ha)</w:t>
      </w:r>
    </w:p>
    <w:p>
      <w:pPr>
        <w:pStyle w:val="ListParagraph"/>
        <w:numPr>
          <w:ilvl w:val="0"/>
          <w:numId w:val="7"/>
        </w:numPr>
        <w:tabs>
          <w:tab w:pos="2213" w:val="left" w:leader="none"/>
        </w:tabs>
        <w:spacing w:line="240" w:lineRule="auto" w:before="41" w:after="0"/>
        <w:ind w:left="2213" w:right="0" w:hanging="720"/>
        <w:jc w:val="left"/>
        <w:rPr>
          <w:sz w:val="20"/>
        </w:rPr>
      </w:pPr>
      <w:r>
        <w:rPr>
          <w:sz w:val="20"/>
        </w:rPr>
        <w:t>Mount</w:t>
      </w:r>
      <w:r>
        <w:rPr>
          <w:spacing w:val="-7"/>
          <w:sz w:val="20"/>
        </w:rPr>
        <w:t> </w:t>
      </w:r>
      <w:r>
        <w:rPr>
          <w:sz w:val="20"/>
        </w:rPr>
        <w:t>Clay</w:t>
      </w:r>
      <w:r>
        <w:rPr>
          <w:spacing w:val="-5"/>
          <w:sz w:val="20"/>
        </w:rPr>
        <w:t> </w:t>
      </w:r>
      <w:r>
        <w:rPr>
          <w:sz w:val="20"/>
        </w:rPr>
        <w:t>State</w:t>
      </w:r>
      <w:r>
        <w:rPr>
          <w:spacing w:val="-7"/>
          <w:sz w:val="20"/>
        </w:rPr>
        <w:t> </w:t>
      </w:r>
      <w:r>
        <w:rPr>
          <w:sz w:val="20"/>
        </w:rPr>
        <w:t>Forest</w:t>
      </w:r>
      <w:r>
        <w:rPr>
          <w:spacing w:val="-6"/>
          <w:sz w:val="20"/>
        </w:rPr>
        <w:t> </w:t>
      </w:r>
      <w:r>
        <w:rPr>
          <w:sz w:val="20"/>
        </w:rPr>
        <w:t>(FCML;</w:t>
      </w:r>
      <w:r>
        <w:rPr>
          <w:spacing w:val="-4"/>
          <w:sz w:val="20"/>
        </w:rPr>
        <w:t> </w:t>
      </w:r>
      <w:r>
        <w:rPr>
          <w:sz w:val="20"/>
        </w:rPr>
        <w:t>4703</w:t>
      </w:r>
      <w:r>
        <w:rPr>
          <w:spacing w:val="-5"/>
          <w:sz w:val="20"/>
        </w:rPr>
        <w:t> </w:t>
      </w:r>
      <w:r>
        <w:rPr>
          <w:spacing w:val="-4"/>
          <w:sz w:val="20"/>
        </w:rPr>
        <w:t>ha).</w:t>
      </w:r>
    </w:p>
    <w:p>
      <w:pPr>
        <w:pStyle w:val="BodyText"/>
        <w:spacing w:before="165"/>
      </w:pPr>
    </w:p>
    <w:p>
      <w:pPr>
        <w:pStyle w:val="Heading3"/>
        <w:numPr>
          <w:ilvl w:val="1"/>
          <w:numId w:val="5"/>
        </w:numPr>
        <w:tabs>
          <w:tab w:pos="1699" w:val="left" w:leader="none"/>
        </w:tabs>
        <w:spacing w:line="240" w:lineRule="auto" w:before="0" w:after="0"/>
        <w:ind w:left="1699" w:right="0" w:hanging="567"/>
        <w:jc w:val="left"/>
      </w:pPr>
      <w:bookmarkStart w:name="_TOC_250014" w:id="8"/>
      <w:r>
        <w:rPr>
          <w:color w:val="2D1E66"/>
        </w:rPr>
        <w:t>Data</w:t>
      </w:r>
      <w:r>
        <w:rPr>
          <w:color w:val="2D1E66"/>
          <w:spacing w:val="-3"/>
        </w:rPr>
        <w:t> </w:t>
      </w:r>
      <w:bookmarkEnd w:id="8"/>
      <w:r>
        <w:rPr>
          <w:color w:val="2D1E66"/>
          <w:spacing w:val="-2"/>
        </w:rPr>
        <w:t>collection</w:t>
      </w:r>
    </w:p>
    <w:p>
      <w:pPr>
        <w:pStyle w:val="BodyText"/>
        <w:spacing w:before="112"/>
        <w:ind w:left="1132" w:right="1204"/>
      </w:pPr>
      <w:r>
        <w:rPr/>
        <w:t>Monitoring</w:t>
      </w:r>
      <w:r>
        <w:rPr>
          <w:spacing w:val="-4"/>
        </w:rPr>
        <w:t> </w:t>
      </w:r>
      <w:r>
        <w:rPr/>
        <w:t>was</w:t>
      </w:r>
      <w:r>
        <w:rPr>
          <w:spacing w:val="-2"/>
        </w:rPr>
        <w:t> </w:t>
      </w:r>
      <w:r>
        <w:rPr/>
        <w:t>first</w:t>
      </w:r>
      <w:r>
        <w:rPr>
          <w:spacing w:val="-3"/>
        </w:rPr>
        <w:t> </w:t>
      </w:r>
      <w:r>
        <w:rPr/>
        <w:t>conducted</w:t>
      </w:r>
      <w:r>
        <w:rPr>
          <w:spacing w:val="-2"/>
        </w:rPr>
        <w:t> </w:t>
      </w:r>
      <w:r>
        <w:rPr/>
        <w:t>in</w:t>
      </w:r>
      <w:r>
        <w:rPr>
          <w:spacing w:val="-3"/>
        </w:rPr>
        <w:t> </w:t>
      </w:r>
      <w:r>
        <w:rPr/>
        <w:t>winter</w:t>
      </w:r>
      <w:r>
        <w:rPr>
          <w:spacing w:val="-3"/>
        </w:rPr>
        <w:t> </w:t>
      </w:r>
      <w:r>
        <w:rPr/>
        <w:t>2005,</w:t>
      </w:r>
      <w:r>
        <w:rPr>
          <w:spacing w:val="-1"/>
        </w:rPr>
        <w:t> </w:t>
      </w:r>
      <w:r>
        <w:rPr/>
        <w:t>before</w:t>
      </w:r>
      <w:r>
        <w:rPr>
          <w:spacing w:val="-3"/>
        </w:rPr>
        <w:t> </w:t>
      </w:r>
      <w:r>
        <w:rPr/>
        <w:t>the</w:t>
      </w:r>
      <w:r>
        <w:rPr>
          <w:spacing w:val="-4"/>
        </w:rPr>
        <w:t> </w:t>
      </w:r>
      <w:r>
        <w:rPr/>
        <w:t>commencement</w:t>
      </w:r>
      <w:r>
        <w:rPr>
          <w:spacing w:val="-3"/>
        </w:rPr>
        <w:t> </w:t>
      </w:r>
      <w:r>
        <w:rPr/>
        <w:t>of</w:t>
      </w:r>
      <w:r>
        <w:rPr>
          <w:spacing w:val="-1"/>
        </w:rPr>
        <w:t> </w:t>
      </w:r>
      <w:r>
        <w:rPr/>
        <w:t>poison</w:t>
      </w:r>
      <w:r>
        <w:rPr>
          <w:spacing w:val="-4"/>
        </w:rPr>
        <w:t> </w:t>
      </w:r>
      <w:r>
        <w:rPr/>
        <w:t>baiting,</w:t>
      </w:r>
      <w:r>
        <w:rPr>
          <w:spacing w:val="-3"/>
        </w:rPr>
        <w:t> </w:t>
      </w:r>
      <w:r>
        <w:rPr/>
        <w:t>and</w:t>
      </w:r>
      <w:r>
        <w:rPr>
          <w:spacing w:val="-3"/>
        </w:rPr>
        <w:t> </w:t>
      </w:r>
      <w:r>
        <w:rPr/>
        <w:t>then</w:t>
      </w:r>
      <w:r>
        <w:rPr>
          <w:spacing w:val="-4"/>
        </w:rPr>
        <w:t> </w:t>
      </w:r>
      <w:r>
        <w:rPr/>
        <w:t>was usually undertaken in spring (2005, 2008–2023). In 2006, sampling for monitoring was conducted in late winter, and the spring 2007 samplings at Mount Clay and Hotspur were delayed until the 2007–2008 </w:t>
      </w:r>
      <w:r>
        <w:rPr>
          <w:spacing w:val="-2"/>
        </w:rPr>
        <w:t>summer.</w:t>
      </w:r>
    </w:p>
    <w:p>
      <w:pPr>
        <w:pStyle w:val="BodyText"/>
        <w:spacing w:before="119"/>
        <w:ind w:left="1132" w:right="1140"/>
      </w:pPr>
      <w:r>
        <w:rPr/>
        <w:t>Within each of the six locations, 40 monitoring sites were established (Figure 2). The placement of the monitoring sites was chosen based on descriptions of the habitat preferred by the target native mammal species</w:t>
      </w:r>
      <w:r>
        <w:rPr>
          <w:spacing w:val="-3"/>
        </w:rPr>
        <w:t> </w:t>
      </w:r>
      <w:r>
        <w:rPr/>
        <w:t>(Menkhorst</w:t>
      </w:r>
      <w:r>
        <w:rPr>
          <w:spacing w:val="-4"/>
        </w:rPr>
        <w:t> </w:t>
      </w:r>
      <w:r>
        <w:rPr/>
        <w:t>1995)</w:t>
      </w:r>
      <w:r>
        <w:rPr>
          <w:spacing w:val="-2"/>
        </w:rPr>
        <w:t> </w:t>
      </w:r>
      <w:r>
        <w:rPr/>
        <w:t>and</w:t>
      </w:r>
      <w:r>
        <w:rPr>
          <w:spacing w:val="-2"/>
        </w:rPr>
        <w:t> </w:t>
      </w:r>
      <w:r>
        <w:rPr/>
        <w:t>aligned</w:t>
      </w:r>
      <w:r>
        <w:rPr>
          <w:spacing w:val="-5"/>
        </w:rPr>
        <w:t> </w:t>
      </w:r>
      <w:r>
        <w:rPr/>
        <w:t>with Ecological</w:t>
      </w:r>
      <w:r>
        <w:rPr>
          <w:spacing w:val="-3"/>
        </w:rPr>
        <w:t> </w:t>
      </w:r>
      <w:r>
        <w:rPr/>
        <w:t>Vegetation</w:t>
      </w:r>
      <w:r>
        <w:rPr>
          <w:spacing w:val="-4"/>
        </w:rPr>
        <w:t> </w:t>
      </w:r>
      <w:r>
        <w:rPr/>
        <w:t>Classes</w:t>
      </w:r>
      <w:r>
        <w:rPr>
          <w:spacing w:val="-1"/>
        </w:rPr>
        <w:t> </w:t>
      </w:r>
      <w:r>
        <w:rPr/>
        <w:t>(EVCs);</w:t>
      </w:r>
      <w:r>
        <w:rPr>
          <w:spacing w:val="-4"/>
        </w:rPr>
        <w:t> </w:t>
      </w:r>
      <w:r>
        <w:rPr/>
        <w:t>the</w:t>
      </w:r>
      <w:r>
        <w:rPr>
          <w:spacing w:val="-4"/>
        </w:rPr>
        <w:t> </w:t>
      </w:r>
      <w:r>
        <w:rPr/>
        <w:t>number</w:t>
      </w:r>
      <w:r>
        <w:rPr>
          <w:spacing w:val="-3"/>
        </w:rPr>
        <w:t> </w:t>
      </w:r>
      <w:r>
        <w:rPr/>
        <w:t>of</w:t>
      </w:r>
      <w:r>
        <w:rPr>
          <w:spacing w:val="-4"/>
        </w:rPr>
        <w:t> </w:t>
      </w:r>
      <w:r>
        <w:rPr/>
        <w:t>sites</w:t>
      </w:r>
      <w:r>
        <w:rPr>
          <w:spacing w:val="-3"/>
        </w:rPr>
        <w:t> </w:t>
      </w:r>
      <w:r>
        <w:rPr/>
        <w:t>within an</w:t>
      </w:r>
      <w:r>
        <w:rPr>
          <w:spacing w:val="-1"/>
        </w:rPr>
        <w:t> </w:t>
      </w:r>
      <w:r>
        <w:rPr/>
        <w:t>EVC was proportional</w:t>
      </w:r>
      <w:r>
        <w:rPr>
          <w:spacing w:val="-1"/>
        </w:rPr>
        <w:t> </w:t>
      </w:r>
      <w:r>
        <w:rPr/>
        <w:t>to the size of the preferred habitat within each FCML and NFCML. The positions of the monitoring sites within locations were randomly assigned but constrained to be within 50 m of tracks.</w:t>
      </w:r>
    </w:p>
    <w:p>
      <w:pPr>
        <w:pStyle w:val="BodyText"/>
        <w:ind w:left="1132" w:right="1140"/>
      </w:pPr>
      <w:r>
        <w:rPr/>
        <w:t>From</w:t>
      </w:r>
      <w:r>
        <w:rPr>
          <w:spacing w:val="-3"/>
        </w:rPr>
        <w:t> </w:t>
      </w:r>
      <w:r>
        <w:rPr/>
        <w:t>2005</w:t>
      </w:r>
      <w:r>
        <w:rPr>
          <w:spacing w:val="-4"/>
        </w:rPr>
        <w:t> </w:t>
      </w:r>
      <w:r>
        <w:rPr/>
        <w:t>to</w:t>
      </w:r>
      <w:r>
        <w:rPr>
          <w:spacing w:val="-3"/>
        </w:rPr>
        <w:t> </w:t>
      </w:r>
      <w:r>
        <w:rPr/>
        <w:t>2012,</w:t>
      </w:r>
      <w:r>
        <w:rPr>
          <w:spacing w:val="-1"/>
        </w:rPr>
        <w:t> </w:t>
      </w:r>
      <w:r>
        <w:rPr/>
        <w:t>at</w:t>
      </w:r>
      <w:r>
        <w:rPr>
          <w:spacing w:val="-1"/>
        </w:rPr>
        <w:t> </w:t>
      </w:r>
      <w:r>
        <w:rPr/>
        <w:t>each</w:t>
      </w:r>
      <w:r>
        <w:rPr>
          <w:spacing w:val="-3"/>
        </w:rPr>
        <w:t> </w:t>
      </w:r>
      <w:r>
        <w:rPr/>
        <w:t>monitoring</w:t>
      </w:r>
      <w:r>
        <w:rPr>
          <w:spacing w:val="-3"/>
        </w:rPr>
        <w:t> </w:t>
      </w:r>
      <w:r>
        <w:rPr/>
        <w:t>site,</w:t>
      </w:r>
      <w:r>
        <w:rPr>
          <w:spacing w:val="-3"/>
        </w:rPr>
        <w:t> </w:t>
      </w:r>
      <w:r>
        <w:rPr/>
        <w:t>nine</w:t>
      </w:r>
      <w:r>
        <w:rPr>
          <w:spacing w:val="-2"/>
        </w:rPr>
        <w:t> </w:t>
      </w:r>
      <w:r>
        <w:rPr/>
        <w:t>‘Handiglaze’</w:t>
      </w:r>
      <w:r>
        <w:rPr>
          <w:spacing w:val="-4"/>
        </w:rPr>
        <w:t> </w:t>
      </w:r>
      <w:r>
        <w:rPr/>
        <w:t>hair-collection</w:t>
      </w:r>
      <w:r>
        <w:rPr>
          <w:spacing w:val="-3"/>
        </w:rPr>
        <w:t> </w:t>
      </w:r>
      <w:r>
        <w:rPr/>
        <w:t>tubes</w:t>
      </w:r>
      <w:r>
        <w:rPr>
          <w:spacing w:val="-2"/>
        </w:rPr>
        <w:t> </w:t>
      </w:r>
      <w:r>
        <w:rPr/>
        <w:t>(Murray</w:t>
      </w:r>
      <w:r>
        <w:rPr>
          <w:spacing w:val="-2"/>
        </w:rPr>
        <w:t> </w:t>
      </w:r>
      <w:r>
        <w:rPr/>
        <w:t>2005) baited</w:t>
      </w:r>
      <w:r>
        <w:rPr>
          <w:spacing w:val="-1"/>
        </w:rPr>
        <w:t> </w:t>
      </w:r>
      <w:r>
        <w:rPr/>
        <w:t>with peanut</w:t>
      </w:r>
      <w:r>
        <w:rPr>
          <w:spacing w:val="-4"/>
        </w:rPr>
        <w:t> </w:t>
      </w:r>
      <w:r>
        <w:rPr/>
        <w:t>butter,</w:t>
      </w:r>
      <w:r>
        <w:rPr>
          <w:spacing w:val="-4"/>
        </w:rPr>
        <w:t> </w:t>
      </w:r>
      <w:r>
        <w:rPr/>
        <w:t>rolled</w:t>
      </w:r>
      <w:r>
        <w:rPr>
          <w:spacing w:val="-3"/>
        </w:rPr>
        <w:t> </w:t>
      </w:r>
      <w:r>
        <w:rPr/>
        <w:t>oats,</w:t>
      </w:r>
      <w:r>
        <w:rPr>
          <w:spacing w:val="-2"/>
        </w:rPr>
        <w:t> </w:t>
      </w:r>
      <w:r>
        <w:rPr/>
        <w:t>and</w:t>
      </w:r>
      <w:r>
        <w:rPr>
          <w:spacing w:val="-5"/>
        </w:rPr>
        <w:t> </w:t>
      </w:r>
      <w:r>
        <w:rPr/>
        <w:t>golden</w:t>
      </w:r>
      <w:r>
        <w:rPr>
          <w:spacing w:val="-5"/>
        </w:rPr>
        <w:t> </w:t>
      </w:r>
      <w:r>
        <w:rPr/>
        <w:t>syrup</w:t>
      </w:r>
      <w:r>
        <w:rPr>
          <w:spacing w:val="-5"/>
        </w:rPr>
        <w:t> </w:t>
      </w:r>
      <w:r>
        <w:rPr/>
        <w:t>were</w:t>
      </w:r>
      <w:r>
        <w:rPr>
          <w:spacing w:val="-4"/>
        </w:rPr>
        <w:t> </w:t>
      </w:r>
      <w:r>
        <w:rPr/>
        <w:t>set</w:t>
      </w:r>
      <w:r>
        <w:rPr>
          <w:spacing w:val="-2"/>
        </w:rPr>
        <w:t> </w:t>
      </w:r>
      <w:r>
        <w:rPr/>
        <w:t>and</w:t>
      </w:r>
      <w:r>
        <w:rPr>
          <w:spacing w:val="-5"/>
        </w:rPr>
        <w:t> </w:t>
      </w:r>
      <w:r>
        <w:rPr/>
        <w:t>checked</w:t>
      </w:r>
      <w:r>
        <w:rPr>
          <w:spacing w:val="-3"/>
        </w:rPr>
        <w:t> </w:t>
      </w:r>
      <w:r>
        <w:rPr/>
        <w:t>daily</w:t>
      </w:r>
      <w:r>
        <w:rPr>
          <w:spacing w:val="-3"/>
        </w:rPr>
        <w:t> </w:t>
      </w:r>
      <w:r>
        <w:rPr/>
        <w:t>for</w:t>
      </w:r>
      <w:r>
        <w:rPr>
          <w:spacing w:val="-1"/>
        </w:rPr>
        <w:t> </w:t>
      </w:r>
      <w:r>
        <w:rPr/>
        <w:t>four</w:t>
      </w:r>
      <w:r>
        <w:rPr>
          <w:spacing w:val="-3"/>
        </w:rPr>
        <w:t> </w:t>
      </w:r>
      <w:r>
        <w:rPr/>
        <w:t>consecutive</w:t>
      </w:r>
      <w:r>
        <w:rPr>
          <w:spacing w:val="-2"/>
        </w:rPr>
        <w:t> </w:t>
      </w:r>
      <w:r>
        <w:rPr/>
        <w:t>days,</w:t>
      </w:r>
      <w:r>
        <w:rPr>
          <w:spacing w:val="-4"/>
        </w:rPr>
        <w:t> </w:t>
      </w:r>
      <w:r>
        <w:rPr/>
        <w:t>with</w:t>
      </w:r>
      <w:r>
        <w:rPr>
          <w:spacing w:val="-4"/>
        </w:rPr>
        <w:t> </w:t>
      </w:r>
      <w:r>
        <w:rPr/>
        <w:t>tapes being replaced each day. These daily tape replacements represented four repeat surveys of the monitoring site per sampling period. Microscopic examination of hairs allows for the identification to species level.</w:t>
      </w:r>
    </w:p>
    <w:p>
      <w:pPr>
        <w:pStyle w:val="BodyText"/>
        <w:spacing w:before="122"/>
        <w:ind w:left="1132" w:right="1204"/>
      </w:pPr>
      <w:r>
        <w:rPr/>
        <w:t>Hair-tubing was discontinued from spring 2013, and a single digital camera (Reconyx RapidFire HC600, Reconyx, LLP Wisconsin, USA) was randomly set at one of four possible points within a hair-tube grid at each monitoring site. Cameras were attached to the nearest tree 20–30 cm above the ground. A lure of truffle oil, peanut butter, rolled oats, and golden syrup was secured to the ground in a small, ventilated container 2 m in front of the camera. Cameras were set to take five images per trigger and operated for a minimum</w:t>
      </w:r>
      <w:r>
        <w:rPr>
          <w:spacing w:val="-2"/>
        </w:rPr>
        <w:t> </w:t>
      </w:r>
      <w:r>
        <w:rPr/>
        <w:t>of</w:t>
      </w:r>
      <w:r>
        <w:rPr>
          <w:spacing w:val="-4"/>
        </w:rPr>
        <w:t> </w:t>
      </w:r>
      <w:r>
        <w:rPr/>
        <w:t>30</w:t>
      </w:r>
      <w:r>
        <w:rPr>
          <w:spacing w:val="-4"/>
        </w:rPr>
        <w:t> </w:t>
      </w:r>
      <w:r>
        <w:rPr/>
        <w:t>days,</w:t>
      </w:r>
      <w:r>
        <w:rPr>
          <w:spacing w:val="-4"/>
        </w:rPr>
        <w:t> </w:t>
      </w:r>
      <w:r>
        <w:rPr/>
        <w:t>with</w:t>
      </w:r>
      <w:r>
        <w:rPr>
          <w:spacing w:val="-2"/>
        </w:rPr>
        <w:t> </w:t>
      </w:r>
      <w:r>
        <w:rPr/>
        <w:t>each</w:t>
      </w:r>
      <w:r>
        <w:rPr>
          <w:spacing w:val="-4"/>
        </w:rPr>
        <w:t> </w:t>
      </w:r>
      <w:r>
        <w:rPr/>
        <w:t>day</w:t>
      </w:r>
      <w:r>
        <w:rPr>
          <w:spacing w:val="-3"/>
        </w:rPr>
        <w:t> </w:t>
      </w:r>
      <w:r>
        <w:rPr/>
        <w:t>representing</w:t>
      </w:r>
      <w:r>
        <w:rPr>
          <w:spacing w:val="-3"/>
        </w:rPr>
        <w:t> </w:t>
      </w:r>
      <w:r>
        <w:rPr/>
        <w:t>a</w:t>
      </w:r>
      <w:r>
        <w:rPr>
          <w:spacing w:val="-4"/>
        </w:rPr>
        <w:t> </w:t>
      </w:r>
      <w:r>
        <w:rPr/>
        <w:t>repeat</w:t>
      </w:r>
      <w:r>
        <w:rPr>
          <w:spacing w:val="-4"/>
        </w:rPr>
        <w:t> </w:t>
      </w:r>
      <w:r>
        <w:rPr/>
        <w:t>survey</w:t>
      </w:r>
      <w:r>
        <w:rPr>
          <w:spacing w:val="-3"/>
        </w:rPr>
        <w:t> </w:t>
      </w:r>
      <w:r>
        <w:rPr/>
        <w:t>of</w:t>
      </w:r>
      <w:r>
        <w:rPr>
          <w:spacing w:val="-4"/>
        </w:rPr>
        <w:t> </w:t>
      </w:r>
      <w:r>
        <w:rPr/>
        <w:t>the</w:t>
      </w:r>
      <w:r>
        <w:rPr>
          <w:spacing w:val="-3"/>
        </w:rPr>
        <w:t> </w:t>
      </w:r>
      <w:r>
        <w:rPr/>
        <w:t>monitoring</w:t>
      </w:r>
      <w:r>
        <w:rPr>
          <w:spacing w:val="-4"/>
        </w:rPr>
        <w:t> </w:t>
      </w:r>
      <w:r>
        <w:rPr/>
        <w:t>site</w:t>
      </w:r>
      <w:r>
        <w:rPr>
          <w:spacing w:val="-2"/>
        </w:rPr>
        <w:t> </w:t>
      </w:r>
      <w:r>
        <w:rPr/>
        <w:t>per</w:t>
      </w:r>
      <w:r>
        <w:rPr>
          <w:spacing w:val="-3"/>
        </w:rPr>
        <w:t> </w:t>
      </w:r>
      <w:r>
        <w:rPr/>
        <w:t>sampling</w:t>
      </w:r>
      <w:r>
        <w:rPr>
          <w:spacing w:val="-2"/>
        </w:rPr>
        <w:t> </w:t>
      </w:r>
      <w:r>
        <w:rPr/>
        <w:t>period.</w:t>
      </w:r>
    </w:p>
    <w:p>
      <w:pPr>
        <w:spacing w:before="119"/>
        <w:ind w:left="1132" w:right="0" w:firstLine="0"/>
        <w:jc w:val="left"/>
        <w:rPr>
          <w:position w:val="2"/>
          <w:sz w:val="20"/>
        </w:rPr>
      </w:pPr>
      <w:r>
        <w:rPr>
          <w:spacing w:val="-10"/>
          <w:sz w:val="20"/>
        </w:rPr>
        <w:t>.</w:t>
      </w:r>
      <w:r>
        <w:rPr>
          <w:spacing w:val="1"/>
          <w:position w:val="2"/>
          <w:sz w:val="20"/>
        </w:rPr>
        <w:drawing>
          <wp:inline distT="0" distB="0" distL="0" distR="0">
            <wp:extent cx="4532630" cy="4133468"/>
            <wp:effectExtent l="0" t="0" r="0" b="0"/>
            <wp:docPr id="67" name="Image 67" descr="Map  Description automatically generated"/>
            <wp:cNvGraphicFramePr>
              <a:graphicFrameLocks/>
            </wp:cNvGraphicFramePr>
            <a:graphic>
              <a:graphicData uri="http://schemas.openxmlformats.org/drawingml/2006/picture">
                <pic:pic>
                  <pic:nvPicPr>
                    <pic:cNvPr id="67" name="Image 67" descr="Map  Description automatically generated"/>
                    <pic:cNvPicPr/>
                  </pic:nvPicPr>
                  <pic:blipFill>
                    <a:blip r:embed="rId32" cstate="print"/>
                    <a:stretch>
                      <a:fillRect/>
                    </a:stretch>
                  </pic:blipFill>
                  <pic:spPr>
                    <a:xfrm>
                      <a:off x="0" y="0"/>
                      <a:ext cx="4532630" cy="4133468"/>
                    </a:xfrm>
                    <a:prstGeom prst="rect">
                      <a:avLst/>
                    </a:prstGeom>
                  </pic:spPr>
                </pic:pic>
              </a:graphicData>
            </a:graphic>
          </wp:inline>
        </w:drawing>
      </w:r>
      <w:r>
        <w:rPr>
          <w:spacing w:val="1"/>
          <w:position w:val="2"/>
          <w:sz w:val="20"/>
        </w:rPr>
      </w:r>
    </w:p>
    <w:p>
      <w:pPr>
        <w:pStyle w:val="Heading5"/>
        <w:spacing w:before="118"/>
        <w:ind w:right="1326"/>
      </w:pPr>
      <w:bookmarkStart w:name="_bookmark1" w:id="9"/>
      <w:bookmarkEnd w:id="9"/>
      <w:r>
        <w:rPr>
          <w:b w:val="0"/>
        </w:rPr>
      </w:r>
      <w:r>
        <w:rPr>
          <w:color w:val="1F1546"/>
        </w:rPr>
        <w:t>Figure</w:t>
      </w:r>
      <w:r>
        <w:rPr>
          <w:color w:val="1F1546"/>
          <w:spacing w:val="-3"/>
        </w:rPr>
        <w:t> </w:t>
      </w:r>
      <w:r>
        <w:rPr>
          <w:color w:val="1F1546"/>
        </w:rPr>
        <w:t>2.</w:t>
      </w:r>
      <w:r>
        <w:rPr>
          <w:color w:val="1F1546"/>
          <w:spacing w:val="-2"/>
        </w:rPr>
        <w:t> </w:t>
      </w:r>
      <w:r>
        <w:rPr>
          <w:color w:val="1F1546"/>
        </w:rPr>
        <w:t>Monitoring</w:t>
      </w:r>
      <w:r>
        <w:rPr>
          <w:color w:val="1F1546"/>
          <w:spacing w:val="-3"/>
        </w:rPr>
        <w:t> </w:t>
      </w:r>
      <w:r>
        <w:rPr>
          <w:color w:val="1F1546"/>
        </w:rPr>
        <w:t>sites</w:t>
      </w:r>
      <w:r>
        <w:rPr>
          <w:color w:val="1F1546"/>
          <w:spacing w:val="-2"/>
        </w:rPr>
        <w:t> </w:t>
      </w:r>
      <w:r>
        <w:rPr>
          <w:color w:val="1F1546"/>
        </w:rPr>
        <w:t>in</w:t>
      </w:r>
      <w:r>
        <w:rPr>
          <w:color w:val="1F1546"/>
          <w:spacing w:val="-4"/>
        </w:rPr>
        <w:t> </w:t>
      </w:r>
      <w:r>
        <w:rPr>
          <w:color w:val="1F1546"/>
        </w:rPr>
        <w:t>the</w:t>
      </w:r>
      <w:r>
        <w:rPr>
          <w:color w:val="1F1546"/>
          <w:spacing w:val="-4"/>
        </w:rPr>
        <w:t> </w:t>
      </w:r>
      <w:r>
        <w:rPr>
          <w:color w:val="1F1546"/>
        </w:rPr>
        <w:t>‘fox-control</w:t>
      </w:r>
      <w:r>
        <w:rPr>
          <w:color w:val="1F1546"/>
          <w:spacing w:val="-4"/>
        </w:rPr>
        <w:t> </w:t>
      </w:r>
      <w:r>
        <w:rPr>
          <w:color w:val="1F1546"/>
        </w:rPr>
        <w:t>monitoring</w:t>
      </w:r>
      <w:r>
        <w:rPr>
          <w:color w:val="1F1546"/>
          <w:spacing w:val="-3"/>
        </w:rPr>
        <w:t> </w:t>
      </w:r>
      <w:r>
        <w:rPr>
          <w:color w:val="1F1546"/>
        </w:rPr>
        <w:t>locations’</w:t>
      </w:r>
      <w:r>
        <w:rPr>
          <w:color w:val="1F1546"/>
          <w:spacing w:val="-2"/>
        </w:rPr>
        <w:t> </w:t>
      </w:r>
      <w:r>
        <w:rPr>
          <w:color w:val="1F1546"/>
        </w:rPr>
        <w:t>(FCMLs;</w:t>
      </w:r>
      <w:r>
        <w:rPr>
          <w:color w:val="1F1546"/>
          <w:spacing w:val="-1"/>
        </w:rPr>
        <w:t> </w:t>
      </w:r>
      <w:r>
        <w:rPr>
          <w:color w:val="1F1546"/>
        </w:rPr>
        <w:t>dark-tan</w:t>
      </w:r>
      <w:r>
        <w:rPr>
          <w:color w:val="1F1546"/>
          <w:spacing w:val="-4"/>
        </w:rPr>
        <w:t> </w:t>
      </w:r>
      <w:r>
        <w:rPr>
          <w:color w:val="1F1546"/>
        </w:rPr>
        <w:t>areas)</w:t>
      </w:r>
      <w:r>
        <w:rPr>
          <w:color w:val="1F1546"/>
          <w:spacing w:val="-4"/>
        </w:rPr>
        <w:t> </w:t>
      </w:r>
      <w:r>
        <w:rPr>
          <w:color w:val="1F1546"/>
        </w:rPr>
        <w:t>and</w:t>
      </w:r>
      <w:r>
        <w:rPr>
          <w:color w:val="1F1546"/>
          <w:spacing w:val="-3"/>
        </w:rPr>
        <w:t> </w:t>
      </w:r>
      <w:r>
        <w:rPr>
          <w:color w:val="1F1546"/>
        </w:rPr>
        <w:t>‘no-fox-control monitoring locations’ (NFCMLs; pale-tan areas) are indicated by purple dots.</w:t>
      </w:r>
    </w:p>
    <w:p>
      <w:pPr>
        <w:spacing w:before="39"/>
        <w:ind w:left="1132" w:right="0" w:firstLine="0"/>
        <w:jc w:val="left"/>
        <w:rPr>
          <w:sz w:val="18"/>
        </w:rPr>
      </w:pPr>
      <w:r>
        <w:rPr>
          <w:sz w:val="18"/>
        </w:rPr>
        <w:t>LGNP</w:t>
      </w:r>
      <w:r>
        <w:rPr>
          <w:spacing w:val="-4"/>
          <w:sz w:val="18"/>
        </w:rPr>
        <w:t> </w:t>
      </w:r>
      <w:r>
        <w:rPr>
          <w:sz w:val="18"/>
        </w:rPr>
        <w:t>=</w:t>
      </w:r>
      <w:r>
        <w:rPr>
          <w:spacing w:val="-4"/>
          <w:sz w:val="18"/>
        </w:rPr>
        <w:t> </w:t>
      </w:r>
      <w:r>
        <w:rPr>
          <w:sz w:val="18"/>
        </w:rPr>
        <w:t>Lower</w:t>
      </w:r>
      <w:r>
        <w:rPr>
          <w:spacing w:val="-4"/>
          <w:sz w:val="18"/>
        </w:rPr>
        <w:t> </w:t>
      </w:r>
      <w:r>
        <w:rPr>
          <w:sz w:val="18"/>
        </w:rPr>
        <w:t>Glenelg</w:t>
      </w:r>
      <w:r>
        <w:rPr>
          <w:spacing w:val="-4"/>
          <w:sz w:val="18"/>
        </w:rPr>
        <w:t> </w:t>
      </w:r>
      <w:r>
        <w:rPr>
          <w:sz w:val="18"/>
        </w:rPr>
        <w:t>National</w:t>
      </w:r>
      <w:r>
        <w:rPr>
          <w:spacing w:val="-3"/>
          <w:sz w:val="18"/>
        </w:rPr>
        <w:t> </w:t>
      </w:r>
      <w:r>
        <w:rPr>
          <w:spacing w:val="-4"/>
          <w:sz w:val="18"/>
        </w:rPr>
        <w:t>Park.</w:t>
      </w:r>
    </w:p>
    <w:p>
      <w:pPr>
        <w:spacing w:after="0"/>
        <w:jc w:val="left"/>
        <w:rPr>
          <w:sz w:val="18"/>
        </w:rPr>
        <w:sectPr>
          <w:footerReference w:type="default" r:id="rId31"/>
          <w:pgSz w:w="11910" w:h="16850"/>
          <w:pgMar w:header="0" w:footer="688" w:top="1100" w:bottom="880" w:left="0" w:right="0"/>
        </w:sectPr>
      </w:pPr>
    </w:p>
    <w:p>
      <w:pPr>
        <w:pStyle w:val="Heading3"/>
        <w:numPr>
          <w:ilvl w:val="1"/>
          <w:numId w:val="5"/>
        </w:numPr>
        <w:tabs>
          <w:tab w:pos="1699" w:val="left" w:leader="none"/>
        </w:tabs>
        <w:spacing w:line="240" w:lineRule="auto" w:before="76" w:after="0"/>
        <w:ind w:left="1699" w:right="0" w:hanging="567"/>
        <w:jc w:val="left"/>
      </w:pPr>
      <w:bookmarkStart w:name="_TOC_250013" w:id="10"/>
      <w:r>
        <w:rPr>
          <w:color w:val="2D1E66"/>
        </w:rPr>
        <w:t>Species</w:t>
      </w:r>
      <w:r>
        <w:rPr>
          <w:color w:val="2D1E66"/>
          <w:spacing w:val="-3"/>
        </w:rPr>
        <w:t> </w:t>
      </w:r>
      <w:bookmarkEnd w:id="10"/>
      <w:r>
        <w:rPr>
          <w:color w:val="2D1E66"/>
          <w:spacing w:val="-2"/>
        </w:rPr>
        <w:t>occupancy</w:t>
      </w:r>
    </w:p>
    <w:p>
      <w:pPr>
        <w:pStyle w:val="BodyText"/>
        <w:spacing w:before="112"/>
        <w:ind w:left="1132" w:right="1499"/>
      </w:pPr>
      <w:r>
        <w:rPr/>
        <w:t>A multi-season occupancy model (MacKenzie et al. 2017) was utilised to estimate occupancy (ψ), detection</w:t>
      </w:r>
      <w:r>
        <w:rPr>
          <w:spacing w:val="-3"/>
        </w:rPr>
        <w:t> </w:t>
      </w:r>
      <w:r>
        <w:rPr/>
        <w:t>(p), local</w:t>
      </w:r>
      <w:r>
        <w:rPr>
          <w:spacing w:val="-3"/>
        </w:rPr>
        <w:t> </w:t>
      </w:r>
      <w:r>
        <w:rPr/>
        <w:t>colonisation (γ),</w:t>
      </w:r>
      <w:r>
        <w:rPr>
          <w:spacing w:val="-3"/>
        </w:rPr>
        <w:t> </w:t>
      </w:r>
      <w:r>
        <w:rPr/>
        <w:t>and</w:t>
      </w:r>
      <w:r>
        <w:rPr>
          <w:spacing w:val="-2"/>
        </w:rPr>
        <w:t> </w:t>
      </w:r>
      <w:r>
        <w:rPr/>
        <w:t>local</w:t>
      </w:r>
      <w:r>
        <w:rPr>
          <w:spacing w:val="-4"/>
        </w:rPr>
        <w:t> </w:t>
      </w:r>
      <w:r>
        <w:rPr/>
        <w:t>survival</w:t>
      </w:r>
      <w:r>
        <w:rPr>
          <w:spacing w:val="-4"/>
        </w:rPr>
        <w:t> </w:t>
      </w:r>
      <w:r>
        <w:rPr/>
        <w:t>(η)</w:t>
      </w:r>
      <w:r>
        <w:rPr>
          <w:spacing w:val="-3"/>
        </w:rPr>
        <w:t> </w:t>
      </w:r>
      <w:r>
        <w:rPr/>
        <w:t>rates</w:t>
      </w:r>
      <w:r>
        <w:rPr>
          <w:spacing w:val="-2"/>
        </w:rPr>
        <w:t> </w:t>
      </w:r>
      <w:r>
        <w:rPr/>
        <w:t>for</w:t>
      </w:r>
      <w:r>
        <w:rPr>
          <w:spacing w:val="-2"/>
        </w:rPr>
        <w:t> </w:t>
      </w:r>
      <w:r>
        <w:rPr/>
        <w:t>the</w:t>
      </w:r>
      <w:r>
        <w:rPr>
          <w:spacing w:val="-4"/>
        </w:rPr>
        <w:t> </w:t>
      </w:r>
      <w:r>
        <w:rPr/>
        <w:t>Common</w:t>
      </w:r>
      <w:r>
        <w:rPr>
          <w:spacing w:val="-2"/>
        </w:rPr>
        <w:t> </w:t>
      </w:r>
      <w:r>
        <w:rPr/>
        <w:t>Brushtail</w:t>
      </w:r>
      <w:r>
        <w:rPr>
          <w:spacing w:val="-2"/>
        </w:rPr>
        <w:t> </w:t>
      </w:r>
      <w:r>
        <w:rPr/>
        <w:t>Possum,</w:t>
      </w:r>
      <w:r>
        <w:rPr>
          <w:spacing w:val="-1"/>
        </w:rPr>
        <w:t> </w:t>
      </w:r>
      <w:r>
        <w:rPr/>
        <w:t>Long-</w:t>
      </w:r>
    </w:p>
    <w:p>
      <w:pPr>
        <w:pStyle w:val="BodyText"/>
        <w:spacing w:before="1"/>
        <w:ind w:left="1132" w:right="1167"/>
      </w:pPr>
      <w:r>
        <w:rPr/>
        <w:t>nosed</w:t>
      </w:r>
      <w:r>
        <w:rPr>
          <w:spacing w:val="-1"/>
        </w:rPr>
        <w:t> </w:t>
      </w:r>
      <w:r>
        <w:rPr/>
        <w:t>Potoroo, and Southern</w:t>
      </w:r>
      <w:r>
        <w:rPr>
          <w:spacing w:val="-2"/>
        </w:rPr>
        <w:t> </w:t>
      </w:r>
      <w:r>
        <w:rPr/>
        <w:t>Brown Bandicoot. The model</w:t>
      </w:r>
      <w:r>
        <w:rPr>
          <w:spacing w:val="-3"/>
        </w:rPr>
        <w:t> </w:t>
      </w:r>
      <w:r>
        <w:rPr/>
        <w:t>was</w:t>
      </w:r>
      <w:r>
        <w:rPr>
          <w:spacing w:val="-1"/>
        </w:rPr>
        <w:t> </w:t>
      </w:r>
      <w:r>
        <w:rPr/>
        <w:t>developed</w:t>
      </w:r>
      <w:r>
        <w:rPr>
          <w:spacing w:val="-2"/>
        </w:rPr>
        <w:t> </w:t>
      </w:r>
      <w:r>
        <w:rPr/>
        <w:t>in</w:t>
      </w:r>
      <w:r>
        <w:rPr>
          <w:spacing w:val="-2"/>
        </w:rPr>
        <w:t> </w:t>
      </w:r>
      <w:r>
        <w:rPr/>
        <w:t>a</w:t>
      </w:r>
      <w:r>
        <w:rPr>
          <w:spacing w:val="-1"/>
        </w:rPr>
        <w:t> </w:t>
      </w:r>
      <w:r>
        <w:rPr/>
        <w:t>Bayesian</w:t>
      </w:r>
      <w:r>
        <w:rPr>
          <w:spacing w:val="-3"/>
        </w:rPr>
        <w:t> </w:t>
      </w:r>
      <w:r>
        <w:rPr/>
        <w:t>framework using a space-state formulation (Royle and Kéry 2007) and considered six locations, three with fox control (Cobboboonee</w:t>
      </w:r>
      <w:r>
        <w:rPr>
          <w:spacing w:val="-2"/>
        </w:rPr>
        <w:t> </w:t>
      </w:r>
      <w:r>
        <w:rPr/>
        <w:t>National</w:t>
      </w:r>
      <w:r>
        <w:rPr>
          <w:spacing w:val="-3"/>
        </w:rPr>
        <w:t> </w:t>
      </w:r>
      <w:r>
        <w:rPr/>
        <w:t>Park,</w:t>
      </w:r>
      <w:r>
        <w:rPr>
          <w:spacing w:val="-4"/>
        </w:rPr>
        <w:t> </w:t>
      </w:r>
      <w:r>
        <w:rPr/>
        <w:t>Mount</w:t>
      </w:r>
      <w:r>
        <w:rPr>
          <w:spacing w:val="-2"/>
        </w:rPr>
        <w:t> </w:t>
      </w:r>
      <w:r>
        <w:rPr/>
        <w:t>Clay</w:t>
      </w:r>
      <w:r>
        <w:rPr>
          <w:spacing w:val="-3"/>
        </w:rPr>
        <w:t> </w:t>
      </w:r>
      <w:r>
        <w:rPr/>
        <w:t>State</w:t>
      </w:r>
      <w:r>
        <w:rPr>
          <w:spacing w:val="-5"/>
        </w:rPr>
        <w:t> </w:t>
      </w:r>
      <w:r>
        <w:rPr/>
        <w:t>Forest,</w:t>
      </w:r>
      <w:r>
        <w:rPr>
          <w:spacing w:val="-4"/>
        </w:rPr>
        <w:t> </w:t>
      </w:r>
      <w:r>
        <w:rPr/>
        <w:t>and</w:t>
      </w:r>
      <w:r>
        <w:rPr>
          <w:spacing w:val="-2"/>
        </w:rPr>
        <w:t> </w:t>
      </w:r>
      <w:r>
        <w:rPr/>
        <w:t>Lower</w:t>
      </w:r>
      <w:r>
        <w:rPr>
          <w:spacing w:val="-4"/>
        </w:rPr>
        <w:t> </w:t>
      </w:r>
      <w:r>
        <w:rPr/>
        <w:t>Glenelg</w:t>
      </w:r>
      <w:r>
        <w:rPr>
          <w:spacing w:val="-4"/>
        </w:rPr>
        <w:t> </w:t>
      </w:r>
      <w:r>
        <w:rPr/>
        <w:t>National</w:t>
      </w:r>
      <w:r>
        <w:rPr>
          <w:spacing w:val="-3"/>
        </w:rPr>
        <w:t> </w:t>
      </w:r>
      <w:r>
        <w:rPr/>
        <w:t>Park –</w:t>
      </w:r>
      <w:r>
        <w:rPr>
          <w:spacing w:val="-2"/>
        </w:rPr>
        <w:t> </w:t>
      </w:r>
      <w:r>
        <w:rPr/>
        <w:t>South)</w:t>
      </w:r>
      <w:r>
        <w:rPr>
          <w:spacing w:val="-4"/>
        </w:rPr>
        <w:t> </w:t>
      </w:r>
      <w:r>
        <w:rPr/>
        <w:t>and</w:t>
      </w:r>
      <w:r>
        <w:rPr>
          <w:spacing w:val="-4"/>
        </w:rPr>
        <w:t> </w:t>
      </w:r>
      <w:r>
        <w:rPr/>
        <w:t>three without (Annya State Forest, Hotspur State Forest, and Lower Glenelg National Park – North) with all six locations considered fixed effects in the model.</w:t>
      </w:r>
    </w:p>
    <w:p>
      <w:pPr>
        <w:pStyle w:val="BodyText"/>
        <w:spacing w:before="120"/>
        <w:ind w:left="1132" w:right="1140"/>
      </w:pPr>
      <w:r>
        <w:rPr/>
        <w:t>The</w:t>
      </w:r>
      <w:r>
        <w:rPr>
          <w:spacing w:val="-4"/>
        </w:rPr>
        <w:t> </w:t>
      </w:r>
      <w:r>
        <w:rPr/>
        <w:t>models</w:t>
      </w:r>
      <w:r>
        <w:rPr>
          <w:spacing w:val="-3"/>
        </w:rPr>
        <w:t> </w:t>
      </w:r>
      <w:r>
        <w:rPr/>
        <w:t>included</w:t>
      </w:r>
      <w:r>
        <w:rPr>
          <w:spacing w:val="-4"/>
        </w:rPr>
        <w:t> </w:t>
      </w:r>
      <w:r>
        <w:rPr/>
        <w:t>several</w:t>
      </w:r>
      <w:r>
        <w:rPr>
          <w:spacing w:val="-3"/>
        </w:rPr>
        <w:t> </w:t>
      </w:r>
      <w:r>
        <w:rPr/>
        <w:t>site-level</w:t>
      </w:r>
      <w:r>
        <w:rPr>
          <w:spacing w:val="-4"/>
        </w:rPr>
        <w:t> </w:t>
      </w:r>
      <w:r>
        <w:rPr/>
        <w:t>covariates</w:t>
      </w:r>
      <w:r>
        <w:rPr>
          <w:spacing w:val="-3"/>
        </w:rPr>
        <w:t> </w:t>
      </w:r>
      <w:r>
        <w:rPr/>
        <w:t>affecting</w:t>
      </w:r>
      <w:r>
        <w:rPr>
          <w:spacing w:val="-2"/>
        </w:rPr>
        <w:t> </w:t>
      </w:r>
      <w:r>
        <w:rPr/>
        <w:t>the</w:t>
      </w:r>
      <w:r>
        <w:rPr>
          <w:spacing w:val="-2"/>
        </w:rPr>
        <w:t> </w:t>
      </w:r>
      <w:r>
        <w:rPr/>
        <w:t>local</w:t>
      </w:r>
      <w:r>
        <w:rPr>
          <w:spacing w:val="-4"/>
        </w:rPr>
        <w:t> </w:t>
      </w:r>
      <w:r>
        <w:rPr/>
        <w:t>survival</w:t>
      </w:r>
      <w:r>
        <w:rPr>
          <w:spacing w:val="-3"/>
        </w:rPr>
        <w:t> </w:t>
      </w:r>
      <w:r>
        <w:rPr/>
        <w:t>and colonisation</w:t>
      </w:r>
      <w:r>
        <w:rPr>
          <w:spacing w:val="-3"/>
        </w:rPr>
        <w:t> </w:t>
      </w:r>
      <w:r>
        <w:rPr/>
        <w:t>rates</w:t>
      </w:r>
      <w:r>
        <w:rPr>
          <w:spacing w:val="-3"/>
        </w:rPr>
        <w:t> </w:t>
      </w:r>
      <w:r>
        <w:rPr/>
        <w:t>(Table</w:t>
      </w:r>
      <w:r>
        <w:rPr>
          <w:spacing w:val="-3"/>
        </w:rPr>
        <w:t> </w:t>
      </w:r>
      <w:r>
        <w:rPr/>
        <w:t>1). The model comparisons and analyses were performed using Bayesian methods to determine the impact of these covariates on the occupancy dynamics of the target species.</w:t>
      </w:r>
    </w:p>
    <w:p>
      <w:pPr>
        <w:pStyle w:val="BodyText"/>
        <w:spacing w:before="121"/>
        <w:ind w:left="1132" w:right="1204"/>
      </w:pPr>
      <w:r>
        <w:rPr/>
        <w:t>If</w:t>
      </w:r>
      <w:r>
        <w:rPr>
          <w:spacing w:val="-3"/>
        </w:rPr>
        <w:t> </w:t>
      </w:r>
      <w:r>
        <w:rPr/>
        <w:t>there</w:t>
      </w:r>
      <w:r>
        <w:rPr>
          <w:spacing w:val="-1"/>
        </w:rPr>
        <w:t> </w:t>
      </w:r>
      <w:r>
        <w:rPr/>
        <w:t>was</w:t>
      </w:r>
      <w:r>
        <w:rPr>
          <w:spacing w:val="-2"/>
        </w:rPr>
        <w:t> </w:t>
      </w:r>
      <w:r>
        <w:rPr/>
        <w:t>evidence</w:t>
      </w:r>
      <w:r>
        <w:rPr>
          <w:spacing w:val="-3"/>
        </w:rPr>
        <w:t> </w:t>
      </w:r>
      <w:r>
        <w:rPr/>
        <w:t>that</w:t>
      </w:r>
      <w:r>
        <w:rPr>
          <w:spacing w:val="-3"/>
        </w:rPr>
        <w:t> </w:t>
      </w:r>
      <w:r>
        <w:rPr/>
        <w:t>the</w:t>
      </w:r>
      <w:r>
        <w:rPr>
          <w:spacing w:val="-4"/>
        </w:rPr>
        <w:t> </w:t>
      </w:r>
      <w:r>
        <w:rPr/>
        <w:t>covariate</w:t>
      </w:r>
      <w:r>
        <w:rPr>
          <w:spacing w:val="-4"/>
        </w:rPr>
        <w:t> </w:t>
      </w:r>
      <w:r>
        <w:rPr/>
        <w:t>was</w:t>
      </w:r>
      <w:r>
        <w:rPr>
          <w:spacing w:val="-2"/>
        </w:rPr>
        <w:t> </w:t>
      </w:r>
      <w:r>
        <w:rPr/>
        <w:t>important</w:t>
      </w:r>
      <w:r>
        <w:rPr>
          <w:spacing w:val="-1"/>
        </w:rPr>
        <w:t> </w:t>
      </w:r>
      <w:r>
        <w:rPr/>
        <w:t>(i.e.</w:t>
      </w:r>
      <w:r>
        <w:rPr>
          <w:spacing w:val="-4"/>
        </w:rPr>
        <w:t> </w:t>
      </w:r>
      <w:r>
        <w:rPr/>
        <w:t>the</w:t>
      </w:r>
      <w:r>
        <w:rPr>
          <w:spacing w:val="-4"/>
        </w:rPr>
        <w:t> </w:t>
      </w:r>
      <w:r>
        <w:rPr/>
        <w:t>95%</w:t>
      </w:r>
      <w:r>
        <w:rPr>
          <w:spacing w:val="-2"/>
        </w:rPr>
        <w:t> </w:t>
      </w:r>
      <w:r>
        <w:rPr/>
        <w:t>high-density</w:t>
      </w:r>
      <w:r>
        <w:rPr>
          <w:spacing w:val="-2"/>
        </w:rPr>
        <w:t> </w:t>
      </w:r>
      <w:r>
        <w:rPr/>
        <w:t>interval</w:t>
      </w:r>
      <w:r>
        <w:rPr>
          <w:spacing w:val="-1"/>
        </w:rPr>
        <w:t> </w:t>
      </w:r>
      <w:r>
        <w:rPr/>
        <w:t>or</w:t>
      </w:r>
      <w:r>
        <w:rPr>
          <w:spacing w:val="-3"/>
        </w:rPr>
        <w:t> </w:t>
      </w:r>
      <w:r>
        <w:rPr/>
        <w:t>95% confidence interval excluded 0), then that covariate was included in a combined model for that rate. Only the final combined model has been reported (see Table A2 for definitions of model parameters).</w:t>
      </w:r>
    </w:p>
    <w:p>
      <w:pPr>
        <w:pStyle w:val="Heading5"/>
        <w:spacing w:before="198"/>
      </w:pPr>
      <w:bookmarkStart w:name="_bookmark2" w:id="11"/>
      <w:bookmarkEnd w:id="11"/>
      <w:r>
        <w:rPr>
          <w:b w:val="0"/>
        </w:rPr>
      </w:r>
      <w:r>
        <w:rPr>
          <w:color w:val="1F1546"/>
        </w:rPr>
        <w:t>Table</w:t>
      </w:r>
      <w:r>
        <w:rPr>
          <w:color w:val="1F1546"/>
          <w:spacing w:val="-8"/>
        </w:rPr>
        <w:t> </w:t>
      </w:r>
      <w:r>
        <w:rPr>
          <w:color w:val="1F1546"/>
        </w:rPr>
        <w:t>1.</w:t>
      </w:r>
      <w:r>
        <w:rPr>
          <w:color w:val="1F1546"/>
          <w:spacing w:val="-6"/>
        </w:rPr>
        <w:t> </w:t>
      </w:r>
      <w:r>
        <w:rPr>
          <w:color w:val="1F1546"/>
        </w:rPr>
        <w:t>Description</w:t>
      </w:r>
      <w:r>
        <w:rPr>
          <w:color w:val="1F1546"/>
          <w:spacing w:val="-7"/>
        </w:rPr>
        <w:t> </w:t>
      </w:r>
      <w:r>
        <w:rPr>
          <w:color w:val="1F1546"/>
        </w:rPr>
        <w:t>of</w:t>
      </w:r>
      <w:r>
        <w:rPr>
          <w:color w:val="1F1546"/>
          <w:spacing w:val="-7"/>
        </w:rPr>
        <w:t> </w:t>
      </w:r>
      <w:r>
        <w:rPr>
          <w:color w:val="1F1546"/>
        </w:rPr>
        <w:t>the</w:t>
      </w:r>
      <w:r>
        <w:rPr>
          <w:color w:val="1F1546"/>
          <w:spacing w:val="-7"/>
        </w:rPr>
        <w:t> </w:t>
      </w:r>
      <w:r>
        <w:rPr>
          <w:color w:val="1F1546"/>
        </w:rPr>
        <w:t>site-level</w:t>
      </w:r>
      <w:r>
        <w:rPr>
          <w:color w:val="1F1546"/>
          <w:spacing w:val="-7"/>
        </w:rPr>
        <w:t> </w:t>
      </w:r>
      <w:r>
        <w:rPr>
          <w:color w:val="1F1546"/>
        </w:rPr>
        <w:t>covariates</w:t>
      </w:r>
      <w:r>
        <w:rPr>
          <w:color w:val="1F1546"/>
          <w:spacing w:val="-8"/>
        </w:rPr>
        <w:t> </w:t>
      </w:r>
      <w:r>
        <w:rPr>
          <w:color w:val="1F1546"/>
        </w:rPr>
        <w:t>used</w:t>
      </w:r>
      <w:r>
        <w:rPr>
          <w:color w:val="1F1546"/>
          <w:spacing w:val="-8"/>
        </w:rPr>
        <w:t> </w:t>
      </w:r>
      <w:r>
        <w:rPr>
          <w:color w:val="1F1546"/>
        </w:rPr>
        <w:t>in</w:t>
      </w:r>
      <w:r>
        <w:rPr>
          <w:color w:val="1F1546"/>
          <w:spacing w:val="-7"/>
        </w:rPr>
        <w:t> </w:t>
      </w:r>
      <w:r>
        <w:rPr>
          <w:color w:val="1F1546"/>
        </w:rPr>
        <w:t>the</w:t>
      </w:r>
      <w:r>
        <w:rPr>
          <w:color w:val="1F1546"/>
          <w:spacing w:val="-8"/>
        </w:rPr>
        <w:t> </w:t>
      </w:r>
      <w:r>
        <w:rPr>
          <w:color w:val="1F1546"/>
        </w:rPr>
        <w:t>multi-season</w:t>
      </w:r>
      <w:r>
        <w:rPr>
          <w:color w:val="1F1546"/>
          <w:spacing w:val="-8"/>
        </w:rPr>
        <w:t> </w:t>
      </w:r>
      <w:r>
        <w:rPr>
          <w:color w:val="1F1546"/>
        </w:rPr>
        <w:t>occupancy</w:t>
      </w:r>
      <w:r>
        <w:rPr>
          <w:color w:val="1F1546"/>
          <w:spacing w:val="-7"/>
        </w:rPr>
        <w:t> </w:t>
      </w:r>
      <w:r>
        <w:rPr>
          <w:color w:val="1F1546"/>
          <w:spacing w:val="-2"/>
        </w:rPr>
        <w:t>models.</w:t>
      </w:r>
    </w:p>
    <w:p>
      <w:pPr>
        <w:pStyle w:val="BodyText"/>
        <w:spacing w:before="6"/>
        <w:rPr>
          <w:b/>
          <w:sz w:val="10"/>
        </w:rPr>
      </w:pPr>
    </w:p>
    <w:tbl>
      <w:tblPr>
        <w:tblW w:w="0" w:type="auto"/>
        <w:jc w:val="left"/>
        <w:tblInd w:w="1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24"/>
        <w:gridCol w:w="6983"/>
      </w:tblGrid>
      <w:tr>
        <w:trPr>
          <w:trHeight w:val="381" w:hRule="atLeast"/>
        </w:trPr>
        <w:tc>
          <w:tcPr>
            <w:tcW w:w="2424" w:type="dxa"/>
            <w:tcBorders>
              <w:top w:val="single" w:sz="4" w:space="0" w:color="000000"/>
              <w:bottom w:val="single" w:sz="4" w:space="0" w:color="000000"/>
            </w:tcBorders>
            <w:shd w:val="clear" w:color="auto" w:fill="004B96"/>
          </w:tcPr>
          <w:p>
            <w:pPr>
              <w:pStyle w:val="TableParagraph"/>
              <w:spacing w:before="81"/>
              <w:ind w:left="129"/>
              <w:rPr>
                <w:b/>
                <w:sz w:val="20"/>
              </w:rPr>
            </w:pPr>
            <w:r>
              <w:rPr>
                <w:b/>
                <w:color w:val="FFFFFF"/>
                <w:spacing w:val="-2"/>
                <w:sz w:val="20"/>
              </w:rPr>
              <w:t>Covariate</w:t>
            </w:r>
          </w:p>
        </w:tc>
        <w:tc>
          <w:tcPr>
            <w:tcW w:w="6983" w:type="dxa"/>
            <w:tcBorders>
              <w:top w:val="single" w:sz="4" w:space="0" w:color="000000"/>
              <w:bottom w:val="single" w:sz="4" w:space="0" w:color="000000"/>
            </w:tcBorders>
            <w:shd w:val="clear" w:color="auto" w:fill="004B96"/>
          </w:tcPr>
          <w:p>
            <w:pPr>
              <w:pStyle w:val="TableParagraph"/>
              <w:spacing w:before="81"/>
              <w:ind w:left="113"/>
              <w:rPr>
                <w:b/>
                <w:sz w:val="20"/>
              </w:rPr>
            </w:pPr>
            <w:r>
              <w:rPr>
                <w:b/>
                <w:color w:val="FFFFFF"/>
                <w:spacing w:val="-2"/>
                <w:sz w:val="20"/>
              </w:rPr>
              <w:t>Description</w:t>
            </w:r>
          </w:p>
        </w:tc>
      </w:tr>
      <w:tr>
        <w:trPr>
          <w:trHeight w:val="1079" w:hRule="atLeast"/>
        </w:trPr>
        <w:tc>
          <w:tcPr>
            <w:tcW w:w="2424" w:type="dxa"/>
            <w:tcBorders>
              <w:top w:val="single" w:sz="4" w:space="0" w:color="000000"/>
              <w:bottom w:val="single" w:sz="4" w:space="0" w:color="000000"/>
            </w:tcBorders>
          </w:tcPr>
          <w:p>
            <w:pPr>
              <w:pStyle w:val="TableParagraph"/>
              <w:spacing w:line="249" w:lineRule="auto" w:before="69"/>
              <w:ind w:left="129"/>
              <w:rPr>
                <w:sz w:val="20"/>
              </w:rPr>
            </w:pPr>
            <w:r>
              <w:rPr>
                <w:sz w:val="20"/>
              </w:rPr>
              <w:t>Distance</w:t>
            </w:r>
            <w:r>
              <w:rPr>
                <w:spacing w:val="-14"/>
                <w:sz w:val="20"/>
              </w:rPr>
              <w:t> </w:t>
            </w:r>
            <w:r>
              <w:rPr>
                <w:sz w:val="20"/>
              </w:rPr>
              <w:t>to</w:t>
            </w:r>
            <w:r>
              <w:rPr>
                <w:spacing w:val="-14"/>
                <w:sz w:val="20"/>
              </w:rPr>
              <w:t> </w:t>
            </w:r>
            <w:r>
              <w:rPr>
                <w:sz w:val="20"/>
              </w:rPr>
              <w:t>non-native vegetation (DTNV) patches of &gt;30 ha</w:t>
            </w:r>
          </w:p>
        </w:tc>
        <w:tc>
          <w:tcPr>
            <w:tcW w:w="6983" w:type="dxa"/>
            <w:tcBorders>
              <w:top w:val="single" w:sz="4" w:space="0" w:color="000000"/>
              <w:bottom w:val="single" w:sz="4" w:space="0" w:color="000000"/>
            </w:tcBorders>
            <w:shd w:val="clear" w:color="auto" w:fill="CCDBEA"/>
          </w:tcPr>
          <w:p>
            <w:pPr>
              <w:pStyle w:val="TableParagraph"/>
              <w:spacing w:before="69"/>
              <w:ind w:left="113"/>
              <w:rPr>
                <w:sz w:val="20"/>
              </w:rPr>
            </w:pPr>
            <w:r>
              <w:rPr>
                <w:sz w:val="20"/>
              </w:rPr>
              <w:t>Distance</w:t>
            </w:r>
            <w:r>
              <w:rPr>
                <w:spacing w:val="-5"/>
                <w:sz w:val="20"/>
              </w:rPr>
              <w:t> </w:t>
            </w:r>
            <w:r>
              <w:rPr>
                <w:sz w:val="20"/>
              </w:rPr>
              <w:t>in</w:t>
            </w:r>
            <w:r>
              <w:rPr>
                <w:spacing w:val="-4"/>
                <w:sz w:val="20"/>
              </w:rPr>
              <w:t> </w:t>
            </w:r>
            <w:r>
              <w:rPr>
                <w:sz w:val="20"/>
              </w:rPr>
              <w:t>metres</w:t>
            </w:r>
            <w:r>
              <w:rPr>
                <w:spacing w:val="-6"/>
                <w:sz w:val="20"/>
              </w:rPr>
              <w:t> </w:t>
            </w:r>
            <w:r>
              <w:rPr>
                <w:sz w:val="20"/>
              </w:rPr>
              <w:t>to</w:t>
            </w:r>
            <w:r>
              <w:rPr>
                <w:spacing w:val="-6"/>
                <w:sz w:val="20"/>
              </w:rPr>
              <w:t> </w:t>
            </w:r>
            <w:r>
              <w:rPr>
                <w:sz w:val="20"/>
              </w:rPr>
              <w:t>the</w:t>
            </w:r>
            <w:r>
              <w:rPr>
                <w:spacing w:val="-6"/>
                <w:sz w:val="20"/>
              </w:rPr>
              <w:t> </w:t>
            </w:r>
            <w:r>
              <w:rPr>
                <w:sz w:val="20"/>
              </w:rPr>
              <w:t>nearest</w:t>
            </w:r>
            <w:r>
              <w:rPr>
                <w:spacing w:val="-6"/>
                <w:sz w:val="20"/>
              </w:rPr>
              <w:t> </w:t>
            </w:r>
            <w:r>
              <w:rPr>
                <w:sz w:val="20"/>
              </w:rPr>
              <w:t>patch</w:t>
            </w:r>
            <w:r>
              <w:rPr>
                <w:spacing w:val="-6"/>
                <w:sz w:val="20"/>
              </w:rPr>
              <w:t> </w:t>
            </w:r>
            <w:r>
              <w:rPr>
                <w:sz w:val="20"/>
              </w:rPr>
              <w:t>(&gt;30</w:t>
            </w:r>
            <w:r>
              <w:rPr>
                <w:spacing w:val="-3"/>
                <w:sz w:val="20"/>
              </w:rPr>
              <w:t> </w:t>
            </w:r>
            <w:r>
              <w:rPr>
                <w:sz w:val="20"/>
              </w:rPr>
              <w:t>ha)</w:t>
            </w:r>
            <w:r>
              <w:rPr>
                <w:spacing w:val="-6"/>
                <w:sz w:val="20"/>
              </w:rPr>
              <w:t> </w:t>
            </w:r>
            <w:r>
              <w:rPr>
                <w:sz w:val="20"/>
              </w:rPr>
              <w:t>of</w:t>
            </w:r>
            <w:r>
              <w:rPr>
                <w:spacing w:val="-5"/>
                <w:sz w:val="20"/>
              </w:rPr>
              <w:t> </w:t>
            </w:r>
            <w:r>
              <w:rPr>
                <w:sz w:val="20"/>
              </w:rPr>
              <w:t>non-native</w:t>
            </w:r>
            <w:r>
              <w:rPr>
                <w:spacing w:val="-4"/>
                <w:sz w:val="20"/>
              </w:rPr>
              <w:t> </w:t>
            </w:r>
            <w:r>
              <w:rPr>
                <w:spacing w:val="-2"/>
                <w:sz w:val="20"/>
              </w:rPr>
              <w:t>vegetation,</w:t>
            </w:r>
          </w:p>
          <w:p>
            <w:pPr>
              <w:pStyle w:val="TableParagraph"/>
              <w:spacing w:line="249" w:lineRule="auto" w:before="10"/>
              <w:ind w:left="113" w:right="198"/>
              <w:rPr>
                <w:sz w:val="20"/>
              </w:rPr>
            </w:pPr>
            <w:r>
              <w:rPr>
                <w:sz w:val="20"/>
              </w:rPr>
              <w:t>e.g.</w:t>
            </w:r>
            <w:r>
              <w:rPr>
                <w:spacing w:val="-4"/>
                <w:sz w:val="20"/>
              </w:rPr>
              <w:t> </w:t>
            </w:r>
            <w:r>
              <w:rPr>
                <w:sz w:val="20"/>
              </w:rPr>
              <w:t>pine</w:t>
            </w:r>
            <w:r>
              <w:rPr>
                <w:spacing w:val="-5"/>
                <w:sz w:val="20"/>
              </w:rPr>
              <w:t> </w:t>
            </w:r>
            <w:r>
              <w:rPr>
                <w:sz w:val="20"/>
              </w:rPr>
              <w:t>plantation,</w:t>
            </w:r>
            <w:r>
              <w:rPr>
                <w:spacing w:val="-4"/>
                <w:sz w:val="20"/>
              </w:rPr>
              <w:t> </w:t>
            </w:r>
            <w:r>
              <w:rPr>
                <w:sz w:val="20"/>
              </w:rPr>
              <w:t>open</w:t>
            </w:r>
            <w:r>
              <w:rPr>
                <w:spacing w:val="-5"/>
                <w:sz w:val="20"/>
              </w:rPr>
              <w:t> </w:t>
            </w:r>
            <w:r>
              <w:rPr>
                <w:sz w:val="20"/>
              </w:rPr>
              <w:t>pasture.</w:t>
            </w:r>
            <w:r>
              <w:rPr>
                <w:spacing w:val="-6"/>
                <w:sz w:val="20"/>
              </w:rPr>
              <w:t> </w:t>
            </w:r>
            <w:r>
              <w:rPr>
                <w:sz w:val="20"/>
              </w:rPr>
              <w:t>Invasive</w:t>
            </w:r>
            <w:r>
              <w:rPr>
                <w:spacing w:val="-6"/>
                <w:sz w:val="20"/>
              </w:rPr>
              <w:t> </w:t>
            </w:r>
            <w:r>
              <w:rPr>
                <w:sz w:val="20"/>
              </w:rPr>
              <w:t>predators</w:t>
            </w:r>
            <w:r>
              <w:rPr>
                <w:spacing w:val="-2"/>
                <w:sz w:val="20"/>
              </w:rPr>
              <w:t> </w:t>
            </w:r>
            <w:r>
              <w:rPr>
                <w:sz w:val="20"/>
              </w:rPr>
              <w:t>prefer</w:t>
            </w:r>
            <w:r>
              <w:rPr>
                <w:spacing w:val="-6"/>
                <w:sz w:val="20"/>
              </w:rPr>
              <w:t> </w:t>
            </w:r>
            <w:r>
              <w:rPr>
                <w:sz w:val="20"/>
              </w:rPr>
              <w:t>edges,</w:t>
            </w:r>
            <w:r>
              <w:rPr>
                <w:spacing w:val="-6"/>
                <w:sz w:val="20"/>
              </w:rPr>
              <w:t> </w:t>
            </w:r>
            <w:r>
              <w:rPr>
                <w:sz w:val="20"/>
              </w:rPr>
              <w:t>so</w:t>
            </w:r>
            <w:r>
              <w:rPr>
                <w:spacing w:val="-4"/>
                <w:sz w:val="20"/>
              </w:rPr>
              <w:t> </w:t>
            </w:r>
            <w:r>
              <w:rPr>
                <w:sz w:val="20"/>
              </w:rPr>
              <w:t>the distance to substantial non-native vegetation was considered (DELWP 2019; Geary et al. 2020).</w:t>
            </w:r>
          </w:p>
        </w:tc>
      </w:tr>
      <w:tr>
        <w:trPr>
          <w:trHeight w:val="1079" w:hRule="atLeast"/>
        </w:trPr>
        <w:tc>
          <w:tcPr>
            <w:tcW w:w="2424" w:type="dxa"/>
            <w:tcBorders>
              <w:top w:val="single" w:sz="4" w:space="0" w:color="000000"/>
              <w:bottom w:val="single" w:sz="4" w:space="0" w:color="000000"/>
            </w:tcBorders>
          </w:tcPr>
          <w:p>
            <w:pPr>
              <w:pStyle w:val="TableParagraph"/>
              <w:spacing w:line="249" w:lineRule="auto" w:before="69"/>
              <w:ind w:left="129" w:right="387"/>
              <w:rPr>
                <w:sz w:val="20"/>
              </w:rPr>
            </w:pPr>
            <w:r>
              <w:rPr>
                <w:sz w:val="20"/>
              </w:rPr>
              <w:t>Distance</w:t>
            </w:r>
            <w:r>
              <w:rPr>
                <w:spacing w:val="-14"/>
                <w:sz w:val="20"/>
              </w:rPr>
              <w:t> </w:t>
            </w:r>
            <w:r>
              <w:rPr>
                <w:sz w:val="20"/>
              </w:rPr>
              <w:t>to</w:t>
            </w:r>
            <w:r>
              <w:rPr>
                <w:spacing w:val="-14"/>
                <w:sz w:val="20"/>
              </w:rPr>
              <w:t> </w:t>
            </w:r>
            <w:r>
              <w:rPr>
                <w:sz w:val="20"/>
              </w:rPr>
              <w:t>water </w:t>
            </w:r>
            <w:r>
              <w:rPr>
                <w:spacing w:val="-2"/>
                <w:sz w:val="20"/>
              </w:rPr>
              <w:t>(DTW)</w:t>
            </w:r>
          </w:p>
        </w:tc>
        <w:tc>
          <w:tcPr>
            <w:tcW w:w="6983" w:type="dxa"/>
            <w:tcBorders>
              <w:top w:val="single" w:sz="4" w:space="0" w:color="000000"/>
              <w:bottom w:val="single" w:sz="4" w:space="0" w:color="000000"/>
            </w:tcBorders>
            <w:shd w:val="clear" w:color="auto" w:fill="CCDBEA"/>
          </w:tcPr>
          <w:p>
            <w:pPr>
              <w:pStyle w:val="TableParagraph"/>
              <w:spacing w:line="249" w:lineRule="auto" w:before="69"/>
              <w:ind w:left="113" w:right="198"/>
              <w:rPr>
                <w:sz w:val="20"/>
              </w:rPr>
            </w:pPr>
            <w:r>
              <w:rPr>
                <w:sz w:val="20"/>
              </w:rPr>
              <w:t>The</w:t>
            </w:r>
            <w:r>
              <w:rPr>
                <w:spacing w:val="-6"/>
                <w:sz w:val="20"/>
              </w:rPr>
              <w:t> </w:t>
            </w:r>
            <w:r>
              <w:rPr>
                <w:sz w:val="20"/>
              </w:rPr>
              <w:t>distance</w:t>
            </w:r>
            <w:r>
              <w:rPr>
                <w:spacing w:val="-5"/>
                <w:sz w:val="20"/>
              </w:rPr>
              <w:t> </w:t>
            </w:r>
            <w:r>
              <w:rPr>
                <w:sz w:val="20"/>
              </w:rPr>
              <w:t>to</w:t>
            </w:r>
            <w:r>
              <w:rPr>
                <w:spacing w:val="-5"/>
                <w:sz w:val="20"/>
              </w:rPr>
              <w:t> </w:t>
            </w:r>
            <w:r>
              <w:rPr>
                <w:sz w:val="20"/>
              </w:rPr>
              <w:t>the</w:t>
            </w:r>
            <w:r>
              <w:rPr>
                <w:spacing w:val="-5"/>
                <w:sz w:val="20"/>
              </w:rPr>
              <w:t> </w:t>
            </w:r>
            <w:r>
              <w:rPr>
                <w:sz w:val="20"/>
              </w:rPr>
              <w:t>nearest</w:t>
            </w:r>
            <w:r>
              <w:rPr>
                <w:spacing w:val="-4"/>
                <w:sz w:val="20"/>
              </w:rPr>
              <w:t> </w:t>
            </w:r>
            <w:r>
              <w:rPr>
                <w:sz w:val="20"/>
              </w:rPr>
              <w:t>stream,</w:t>
            </w:r>
            <w:r>
              <w:rPr>
                <w:spacing w:val="-5"/>
                <w:sz w:val="20"/>
              </w:rPr>
              <w:t> </w:t>
            </w:r>
            <w:r>
              <w:rPr>
                <w:sz w:val="20"/>
              </w:rPr>
              <w:t>river</w:t>
            </w:r>
            <w:r>
              <w:rPr>
                <w:spacing w:val="-3"/>
                <w:sz w:val="20"/>
              </w:rPr>
              <w:t> </w:t>
            </w:r>
            <w:r>
              <w:rPr>
                <w:sz w:val="20"/>
              </w:rPr>
              <w:t>or</w:t>
            </w:r>
            <w:r>
              <w:rPr>
                <w:spacing w:val="-5"/>
                <w:sz w:val="20"/>
              </w:rPr>
              <w:t> </w:t>
            </w:r>
            <w:r>
              <w:rPr>
                <w:sz w:val="20"/>
              </w:rPr>
              <w:t>permanent</w:t>
            </w:r>
            <w:r>
              <w:rPr>
                <w:spacing w:val="-4"/>
                <w:sz w:val="20"/>
              </w:rPr>
              <w:t> </w:t>
            </w:r>
            <w:r>
              <w:rPr>
                <w:sz w:val="20"/>
              </w:rPr>
              <w:t>wetland</w:t>
            </w:r>
            <w:r>
              <w:rPr>
                <w:spacing w:val="-4"/>
                <w:sz w:val="20"/>
              </w:rPr>
              <w:t> </w:t>
            </w:r>
            <w:r>
              <w:rPr>
                <w:sz w:val="20"/>
              </w:rPr>
              <w:t>from</w:t>
            </w:r>
            <w:r>
              <w:rPr>
                <w:spacing w:val="-4"/>
                <w:sz w:val="20"/>
              </w:rPr>
              <w:t> </w:t>
            </w:r>
            <w:r>
              <w:rPr>
                <w:sz w:val="20"/>
              </w:rPr>
              <w:t>the camera monitoring station (in metres). Reflects habitat complexity and productivity, influencing shelter and food availability (Beven and Kirby </w:t>
            </w:r>
            <w:r>
              <w:rPr>
                <w:spacing w:val="-2"/>
                <w:sz w:val="20"/>
              </w:rPr>
              <w:t>1979).</w:t>
            </w:r>
          </w:p>
        </w:tc>
      </w:tr>
      <w:tr>
        <w:trPr>
          <w:trHeight w:val="599" w:hRule="atLeast"/>
        </w:trPr>
        <w:tc>
          <w:tcPr>
            <w:tcW w:w="2424" w:type="dxa"/>
            <w:tcBorders>
              <w:top w:val="single" w:sz="4" w:space="0" w:color="000000"/>
              <w:bottom w:val="single" w:sz="4" w:space="0" w:color="000000"/>
            </w:tcBorders>
          </w:tcPr>
          <w:p>
            <w:pPr>
              <w:pStyle w:val="TableParagraph"/>
              <w:spacing w:before="69"/>
              <w:ind w:left="129"/>
              <w:rPr>
                <w:sz w:val="20"/>
              </w:rPr>
            </w:pPr>
            <w:r>
              <w:rPr>
                <w:spacing w:val="-2"/>
                <w:sz w:val="20"/>
              </w:rPr>
              <w:t>Elevation</w:t>
            </w:r>
          </w:p>
        </w:tc>
        <w:tc>
          <w:tcPr>
            <w:tcW w:w="6983" w:type="dxa"/>
            <w:tcBorders>
              <w:top w:val="single" w:sz="4" w:space="0" w:color="000000"/>
              <w:bottom w:val="single" w:sz="4" w:space="0" w:color="000000"/>
            </w:tcBorders>
            <w:shd w:val="clear" w:color="auto" w:fill="CCDBEA"/>
          </w:tcPr>
          <w:p>
            <w:pPr>
              <w:pStyle w:val="TableParagraph"/>
              <w:spacing w:line="249" w:lineRule="auto" w:before="69"/>
              <w:ind w:left="113"/>
              <w:rPr>
                <w:sz w:val="20"/>
              </w:rPr>
            </w:pPr>
            <w:r>
              <w:rPr>
                <w:sz w:val="20"/>
              </w:rPr>
              <w:t>The</w:t>
            </w:r>
            <w:r>
              <w:rPr>
                <w:spacing w:val="-6"/>
                <w:sz w:val="20"/>
              </w:rPr>
              <w:t> </w:t>
            </w:r>
            <w:r>
              <w:rPr>
                <w:sz w:val="20"/>
              </w:rPr>
              <w:t>elevation</w:t>
            </w:r>
            <w:r>
              <w:rPr>
                <w:spacing w:val="-3"/>
                <w:sz w:val="20"/>
              </w:rPr>
              <w:t> </w:t>
            </w:r>
            <w:r>
              <w:rPr>
                <w:sz w:val="20"/>
              </w:rPr>
              <w:t>above</w:t>
            </w:r>
            <w:r>
              <w:rPr>
                <w:spacing w:val="-5"/>
                <w:sz w:val="20"/>
              </w:rPr>
              <w:t> </w:t>
            </w:r>
            <w:r>
              <w:rPr>
                <w:sz w:val="20"/>
              </w:rPr>
              <w:t>sea</w:t>
            </w:r>
            <w:r>
              <w:rPr>
                <w:spacing w:val="-4"/>
                <w:sz w:val="20"/>
              </w:rPr>
              <w:t> </w:t>
            </w:r>
            <w:r>
              <w:rPr>
                <w:sz w:val="20"/>
              </w:rPr>
              <w:t>level</w:t>
            </w:r>
            <w:r>
              <w:rPr>
                <w:spacing w:val="-6"/>
                <w:sz w:val="20"/>
              </w:rPr>
              <w:t> </w:t>
            </w:r>
            <w:r>
              <w:rPr>
                <w:sz w:val="20"/>
              </w:rPr>
              <w:t>of</w:t>
            </w:r>
            <w:r>
              <w:rPr>
                <w:spacing w:val="-3"/>
                <w:sz w:val="20"/>
              </w:rPr>
              <w:t> </w:t>
            </w:r>
            <w:r>
              <w:rPr>
                <w:sz w:val="20"/>
              </w:rPr>
              <w:t>the</w:t>
            </w:r>
            <w:r>
              <w:rPr>
                <w:spacing w:val="-6"/>
                <w:sz w:val="20"/>
              </w:rPr>
              <w:t> </w:t>
            </w:r>
            <w:r>
              <w:rPr>
                <w:sz w:val="20"/>
              </w:rPr>
              <w:t>camera</w:t>
            </w:r>
            <w:r>
              <w:rPr>
                <w:spacing w:val="-5"/>
                <w:sz w:val="20"/>
              </w:rPr>
              <w:t> </w:t>
            </w:r>
            <w:r>
              <w:rPr>
                <w:sz w:val="20"/>
              </w:rPr>
              <w:t>station.</w:t>
            </w:r>
            <w:r>
              <w:rPr>
                <w:spacing w:val="-5"/>
                <w:sz w:val="20"/>
              </w:rPr>
              <w:t> </w:t>
            </w:r>
            <w:r>
              <w:rPr>
                <w:sz w:val="20"/>
              </w:rPr>
              <w:t>Influences</w:t>
            </w:r>
            <w:r>
              <w:rPr>
                <w:spacing w:val="-4"/>
                <w:sz w:val="20"/>
              </w:rPr>
              <w:t> </w:t>
            </w:r>
            <w:r>
              <w:rPr>
                <w:sz w:val="20"/>
              </w:rPr>
              <w:t>rainfall, moisture, and temperature gradients, affecting resource availability.</w:t>
            </w:r>
          </w:p>
        </w:tc>
      </w:tr>
      <w:tr>
        <w:trPr>
          <w:trHeight w:val="1082" w:hRule="atLeast"/>
        </w:trPr>
        <w:tc>
          <w:tcPr>
            <w:tcW w:w="2424" w:type="dxa"/>
            <w:tcBorders>
              <w:top w:val="single" w:sz="4" w:space="0" w:color="000000"/>
              <w:bottom w:val="single" w:sz="4" w:space="0" w:color="000000"/>
            </w:tcBorders>
          </w:tcPr>
          <w:p>
            <w:pPr>
              <w:pStyle w:val="TableParagraph"/>
              <w:spacing w:before="71"/>
              <w:ind w:left="129"/>
              <w:rPr>
                <w:sz w:val="20"/>
              </w:rPr>
            </w:pPr>
            <w:r>
              <w:rPr>
                <w:sz w:val="20"/>
              </w:rPr>
              <w:t>Vegetation</w:t>
            </w:r>
            <w:r>
              <w:rPr>
                <w:spacing w:val="-14"/>
                <w:sz w:val="20"/>
              </w:rPr>
              <w:t> </w:t>
            </w:r>
            <w:r>
              <w:rPr>
                <w:spacing w:val="-2"/>
                <w:sz w:val="20"/>
              </w:rPr>
              <w:t>group</w:t>
            </w:r>
          </w:p>
        </w:tc>
        <w:tc>
          <w:tcPr>
            <w:tcW w:w="6983" w:type="dxa"/>
            <w:tcBorders>
              <w:top w:val="single" w:sz="4" w:space="0" w:color="000000"/>
              <w:bottom w:val="single" w:sz="4" w:space="0" w:color="000000"/>
            </w:tcBorders>
            <w:shd w:val="clear" w:color="auto" w:fill="CCDBEA"/>
          </w:tcPr>
          <w:p>
            <w:pPr>
              <w:pStyle w:val="TableParagraph"/>
              <w:spacing w:line="249" w:lineRule="auto" w:before="71"/>
              <w:ind w:left="113" w:right="198"/>
              <w:rPr>
                <w:sz w:val="20"/>
              </w:rPr>
            </w:pPr>
            <w:r>
              <w:rPr>
                <w:sz w:val="20"/>
              </w:rPr>
              <w:t>Two categories were used to describe vegetation groups representing habitat – one was the EVD Tall Mixed Forest (Eastern) and the second comprised</w:t>
            </w:r>
            <w:r>
              <w:rPr>
                <w:spacing w:val="-4"/>
                <w:sz w:val="20"/>
              </w:rPr>
              <w:t> </w:t>
            </w:r>
            <w:r>
              <w:rPr>
                <w:sz w:val="20"/>
              </w:rPr>
              <w:t>of</w:t>
            </w:r>
            <w:r>
              <w:rPr>
                <w:spacing w:val="-3"/>
                <w:sz w:val="20"/>
              </w:rPr>
              <w:t> </w:t>
            </w:r>
            <w:r>
              <w:rPr>
                <w:sz w:val="20"/>
              </w:rPr>
              <w:t>a</w:t>
            </w:r>
            <w:r>
              <w:rPr>
                <w:spacing w:val="-6"/>
                <w:sz w:val="20"/>
              </w:rPr>
              <w:t> </w:t>
            </w:r>
            <w:r>
              <w:rPr>
                <w:sz w:val="20"/>
              </w:rPr>
              <w:t>grouping</w:t>
            </w:r>
            <w:r>
              <w:rPr>
                <w:spacing w:val="-5"/>
                <w:sz w:val="20"/>
              </w:rPr>
              <w:t> </w:t>
            </w:r>
            <w:r>
              <w:rPr>
                <w:sz w:val="20"/>
              </w:rPr>
              <w:t>of</w:t>
            </w:r>
            <w:r>
              <w:rPr>
                <w:spacing w:val="-4"/>
                <w:sz w:val="20"/>
              </w:rPr>
              <w:t> </w:t>
            </w:r>
            <w:r>
              <w:rPr>
                <w:sz w:val="20"/>
              </w:rPr>
              <w:t>all</w:t>
            </w:r>
            <w:r>
              <w:rPr>
                <w:spacing w:val="-5"/>
                <w:sz w:val="20"/>
              </w:rPr>
              <w:t> </w:t>
            </w:r>
            <w:r>
              <w:rPr>
                <w:sz w:val="20"/>
              </w:rPr>
              <w:t>other</w:t>
            </w:r>
            <w:r>
              <w:rPr>
                <w:spacing w:val="-3"/>
                <w:sz w:val="20"/>
              </w:rPr>
              <w:t> </w:t>
            </w:r>
            <w:r>
              <w:rPr>
                <w:sz w:val="20"/>
              </w:rPr>
              <w:t>ecological</w:t>
            </w:r>
            <w:r>
              <w:rPr>
                <w:spacing w:val="-7"/>
                <w:sz w:val="20"/>
              </w:rPr>
              <w:t> </w:t>
            </w:r>
            <w:r>
              <w:rPr>
                <w:sz w:val="20"/>
              </w:rPr>
              <w:t>vegetation</w:t>
            </w:r>
            <w:r>
              <w:rPr>
                <w:spacing w:val="-7"/>
                <w:sz w:val="20"/>
              </w:rPr>
              <w:t> </w:t>
            </w:r>
            <w:r>
              <w:rPr>
                <w:sz w:val="20"/>
              </w:rPr>
              <w:t>divisions</w:t>
            </w:r>
            <w:r>
              <w:rPr>
                <w:spacing w:val="-1"/>
                <w:sz w:val="20"/>
              </w:rPr>
              <w:t> </w:t>
            </w:r>
            <w:r>
              <w:rPr>
                <w:sz w:val="20"/>
              </w:rPr>
              <w:t>(‘other </w:t>
            </w:r>
            <w:r>
              <w:rPr>
                <w:spacing w:val="-2"/>
                <w:sz w:val="20"/>
              </w:rPr>
              <w:t>EVDs’).</w:t>
            </w:r>
          </w:p>
        </w:tc>
      </w:tr>
      <w:tr>
        <w:trPr>
          <w:trHeight w:val="1559" w:hRule="atLeast"/>
        </w:trPr>
        <w:tc>
          <w:tcPr>
            <w:tcW w:w="2424" w:type="dxa"/>
            <w:tcBorders>
              <w:top w:val="single" w:sz="4" w:space="0" w:color="000000"/>
              <w:bottom w:val="single" w:sz="4" w:space="0" w:color="000000"/>
            </w:tcBorders>
          </w:tcPr>
          <w:p>
            <w:pPr>
              <w:pStyle w:val="TableParagraph"/>
              <w:spacing w:line="249" w:lineRule="auto" w:before="69"/>
              <w:ind w:left="129" w:right="562"/>
              <w:rPr>
                <w:sz w:val="20"/>
              </w:rPr>
            </w:pPr>
            <w:r>
              <w:rPr>
                <w:sz w:val="20"/>
              </w:rPr>
              <w:t>Terrain</w:t>
            </w:r>
            <w:r>
              <w:rPr>
                <w:spacing w:val="-14"/>
                <w:sz w:val="20"/>
              </w:rPr>
              <w:t> </w:t>
            </w:r>
            <w:r>
              <w:rPr>
                <w:sz w:val="20"/>
              </w:rPr>
              <w:t>ruggedness index (TRI)</w:t>
            </w:r>
          </w:p>
        </w:tc>
        <w:tc>
          <w:tcPr>
            <w:tcW w:w="6983" w:type="dxa"/>
            <w:tcBorders>
              <w:top w:val="single" w:sz="4" w:space="0" w:color="000000"/>
              <w:bottom w:val="single" w:sz="4" w:space="0" w:color="000000"/>
            </w:tcBorders>
            <w:shd w:val="clear" w:color="auto" w:fill="CCDBEA"/>
          </w:tcPr>
          <w:p>
            <w:pPr>
              <w:pStyle w:val="TableParagraph"/>
              <w:spacing w:line="249" w:lineRule="auto" w:before="69"/>
              <w:ind w:left="113" w:right="194"/>
              <w:rPr>
                <w:sz w:val="20"/>
              </w:rPr>
            </w:pPr>
            <w:r>
              <w:rPr>
                <w:sz w:val="20"/>
              </w:rPr>
              <w:t>A</w:t>
            </w:r>
            <w:r>
              <w:rPr>
                <w:spacing w:val="-4"/>
                <w:sz w:val="20"/>
              </w:rPr>
              <w:t> </w:t>
            </w:r>
            <w:r>
              <w:rPr>
                <w:sz w:val="20"/>
              </w:rPr>
              <w:t>measure</w:t>
            </w:r>
            <w:r>
              <w:rPr>
                <w:spacing w:val="-4"/>
                <w:sz w:val="20"/>
              </w:rPr>
              <w:t> </w:t>
            </w:r>
            <w:r>
              <w:rPr>
                <w:sz w:val="20"/>
              </w:rPr>
              <w:t>of</w:t>
            </w:r>
            <w:r>
              <w:rPr>
                <w:spacing w:val="-4"/>
                <w:sz w:val="20"/>
              </w:rPr>
              <w:t> </w:t>
            </w:r>
            <w:r>
              <w:rPr>
                <w:sz w:val="20"/>
              </w:rPr>
              <w:t>the</w:t>
            </w:r>
            <w:r>
              <w:rPr>
                <w:spacing w:val="-4"/>
                <w:sz w:val="20"/>
              </w:rPr>
              <w:t> </w:t>
            </w:r>
            <w:r>
              <w:rPr>
                <w:sz w:val="20"/>
              </w:rPr>
              <w:t>difference</w:t>
            </w:r>
            <w:r>
              <w:rPr>
                <w:spacing w:val="-4"/>
                <w:sz w:val="20"/>
              </w:rPr>
              <w:t> </w:t>
            </w:r>
            <w:r>
              <w:rPr>
                <w:sz w:val="20"/>
              </w:rPr>
              <w:t>in</w:t>
            </w:r>
            <w:r>
              <w:rPr>
                <w:spacing w:val="-2"/>
                <w:sz w:val="20"/>
              </w:rPr>
              <w:t> </w:t>
            </w:r>
            <w:r>
              <w:rPr>
                <w:sz w:val="20"/>
              </w:rPr>
              <w:t>elevation</w:t>
            </w:r>
            <w:r>
              <w:rPr>
                <w:spacing w:val="-3"/>
                <w:sz w:val="20"/>
              </w:rPr>
              <w:t> </w:t>
            </w:r>
            <w:r>
              <w:rPr>
                <w:sz w:val="20"/>
              </w:rPr>
              <w:t>between</w:t>
            </w:r>
            <w:r>
              <w:rPr>
                <w:spacing w:val="-2"/>
                <w:sz w:val="20"/>
              </w:rPr>
              <w:t> </w:t>
            </w:r>
            <w:r>
              <w:rPr>
                <w:sz w:val="20"/>
              </w:rPr>
              <w:t>a</w:t>
            </w:r>
            <w:r>
              <w:rPr>
                <w:spacing w:val="-5"/>
                <w:sz w:val="20"/>
              </w:rPr>
              <w:t> </w:t>
            </w:r>
            <w:r>
              <w:rPr>
                <w:sz w:val="20"/>
              </w:rPr>
              <w:t>centre</w:t>
            </w:r>
            <w:r>
              <w:rPr>
                <w:spacing w:val="-4"/>
                <w:sz w:val="20"/>
              </w:rPr>
              <w:t> </w:t>
            </w:r>
            <w:r>
              <w:rPr>
                <w:sz w:val="20"/>
              </w:rPr>
              <w:t>cell</w:t>
            </w:r>
            <w:r>
              <w:rPr>
                <w:spacing w:val="-5"/>
                <w:sz w:val="20"/>
              </w:rPr>
              <w:t> </w:t>
            </w:r>
            <w:r>
              <w:rPr>
                <w:sz w:val="20"/>
              </w:rPr>
              <w:t>and</w:t>
            </w:r>
            <w:r>
              <w:rPr>
                <w:spacing w:val="-5"/>
                <w:sz w:val="20"/>
              </w:rPr>
              <w:t> </w:t>
            </w:r>
            <w:r>
              <w:rPr>
                <w:sz w:val="20"/>
              </w:rPr>
              <w:t>the</w:t>
            </w:r>
            <w:r>
              <w:rPr>
                <w:spacing w:val="-3"/>
                <w:sz w:val="20"/>
              </w:rPr>
              <w:t> </w:t>
            </w:r>
            <w:r>
              <w:rPr>
                <w:sz w:val="20"/>
              </w:rPr>
              <w:t>eight cells directly surrounding it. The eight elevation differences were squared and averaged. The square root of this average result was a TRI measurement for the centre cell. High ruggedness can limit predator movement and predation rates (Hohnen et al. 2016; McDonald et al. 2017; Stobo-Wilson et al. 2020).</w:t>
            </w:r>
          </w:p>
        </w:tc>
      </w:tr>
      <w:tr>
        <w:trPr>
          <w:trHeight w:val="839" w:hRule="atLeast"/>
        </w:trPr>
        <w:tc>
          <w:tcPr>
            <w:tcW w:w="2424" w:type="dxa"/>
            <w:tcBorders>
              <w:top w:val="single" w:sz="4" w:space="0" w:color="000000"/>
              <w:bottom w:val="single" w:sz="4" w:space="0" w:color="000000"/>
            </w:tcBorders>
          </w:tcPr>
          <w:p>
            <w:pPr>
              <w:pStyle w:val="TableParagraph"/>
              <w:spacing w:before="69"/>
              <w:ind w:left="129"/>
              <w:rPr>
                <w:sz w:val="20"/>
              </w:rPr>
            </w:pPr>
            <w:r>
              <w:rPr>
                <w:spacing w:val="-2"/>
                <w:sz w:val="20"/>
              </w:rPr>
              <w:t>Time-since-fire</w:t>
            </w:r>
            <w:r>
              <w:rPr>
                <w:spacing w:val="9"/>
                <w:sz w:val="20"/>
              </w:rPr>
              <w:t> </w:t>
            </w:r>
            <w:r>
              <w:rPr>
                <w:spacing w:val="-4"/>
                <w:sz w:val="20"/>
              </w:rPr>
              <w:t>(TSF)</w:t>
            </w:r>
          </w:p>
        </w:tc>
        <w:tc>
          <w:tcPr>
            <w:tcW w:w="6983" w:type="dxa"/>
            <w:tcBorders>
              <w:top w:val="single" w:sz="4" w:space="0" w:color="000000"/>
              <w:bottom w:val="single" w:sz="4" w:space="0" w:color="000000"/>
            </w:tcBorders>
            <w:shd w:val="clear" w:color="auto" w:fill="CCDBEA"/>
          </w:tcPr>
          <w:p>
            <w:pPr>
              <w:pStyle w:val="TableParagraph"/>
              <w:spacing w:line="249" w:lineRule="auto" w:before="69"/>
              <w:ind w:left="113" w:right="198"/>
              <w:rPr>
                <w:sz w:val="20"/>
              </w:rPr>
            </w:pPr>
            <w:r>
              <w:rPr>
                <w:sz w:val="20"/>
              </w:rPr>
              <w:t>Time (in years) since the camera site was last recorded as being burnt. Used</w:t>
            </w:r>
            <w:r>
              <w:rPr>
                <w:spacing w:val="-6"/>
                <w:sz w:val="20"/>
              </w:rPr>
              <w:t> </w:t>
            </w:r>
            <w:r>
              <w:rPr>
                <w:sz w:val="20"/>
              </w:rPr>
              <w:t>to</w:t>
            </w:r>
            <w:r>
              <w:rPr>
                <w:spacing w:val="-4"/>
                <w:sz w:val="20"/>
              </w:rPr>
              <w:t> </w:t>
            </w:r>
            <w:r>
              <w:rPr>
                <w:sz w:val="20"/>
              </w:rPr>
              <w:t>account</w:t>
            </w:r>
            <w:r>
              <w:rPr>
                <w:spacing w:val="-3"/>
                <w:sz w:val="20"/>
              </w:rPr>
              <w:t> </w:t>
            </w:r>
            <w:r>
              <w:rPr>
                <w:sz w:val="20"/>
              </w:rPr>
              <w:t>for</w:t>
            </w:r>
            <w:r>
              <w:rPr>
                <w:spacing w:val="-5"/>
                <w:sz w:val="20"/>
              </w:rPr>
              <w:t> </w:t>
            </w:r>
            <w:r>
              <w:rPr>
                <w:sz w:val="20"/>
              </w:rPr>
              <w:t>the</w:t>
            </w:r>
            <w:r>
              <w:rPr>
                <w:spacing w:val="-5"/>
                <w:sz w:val="20"/>
              </w:rPr>
              <w:t> </w:t>
            </w:r>
            <w:r>
              <w:rPr>
                <w:sz w:val="20"/>
              </w:rPr>
              <w:t>time</w:t>
            </w:r>
            <w:r>
              <w:rPr>
                <w:spacing w:val="-5"/>
                <w:sz w:val="20"/>
              </w:rPr>
              <w:t> </w:t>
            </w:r>
            <w:r>
              <w:rPr>
                <w:sz w:val="20"/>
              </w:rPr>
              <w:t>since</w:t>
            </w:r>
            <w:r>
              <w:rPr>
                <w:spacing w:val="-5"/>
                <w:sz w:val="20"/>
              </w:rPr>
              <w:t> </w:t>
            </w:r>
            <w:r>
              <w:rPr>
                <w:sz w:val="20"/>
              </w:rPr>
              <w:t>the</w:t>
            </w:r>
            <w:r>
              <w:rPr>
                <w:spacing w:val="-4"/>
                <w:sz w:val="20"/>
              </w:rPr>
              <w:t> </w:t>
            </w:r>
            <w:r>
              <w:rPr>
                <w:sz w:val="20"/>
              </w:rPr>
              <w:t>last</w:t>
            </w:r>
            <w:r>
              <w:rPr>
                <w:spacing w:val="-5"/>
                <w:sz w:val="20"/>
              </w:rPr>
              <w:t> </w:t>
            </w:r>
            <w:r>
              <w:rPr>
                <w:sz w:val="20"/>
              </w:rPr>
              <w:t>fire,</w:t>
            </w:r>
            <w:r>
              <w:rPr>
                <w:spacing w:val="-3"/>
                <w:sz w:val="20"/>
              </w:rPr>
              <w:t> </w:t>
            </w:r>
            <w:r>
              <w:rPr>
                <w:sz w:val="20"/>
              </w:rPr>
              <w:t>impacting</w:t>
            </w:r>
            <w:r>
              <w:rPr>
                <w:spacing w:val="-6"/>
                <w:sz w:val="20"/>
              </w:rPr>
              <w:t> </w:t>
            </w:r>
            <w:r>
              <w:rPr>
                <w:sz w:val="20"/>
              </w:rPr>
              <w:t>habitat</w:t>
            </w:r>
            <w:r>
              <w:rPr>
                <w:spacing w:val="-5"/>
                <w:sz w:val="20"/>
              </w:rPr>
              <w:t> </w:t>
            </w:r>
            <w:r>
              <w:rPr>
                <w:sz w:val="20"/>
              </w:rPr>
              <w:t>structure and resources (food and shelter).</w:t>
            </w:r>
          </w:p>
        </w:tc>
      </w:tr>
      <w:tr>
        <w:trPr>
          <w:trHeight w:val="1320" w:hRule="atLeast"/>
        </w:trPr>
        <w:tc>
          <w:tcPr>
            <w:tcW w:w="2424" w:type="dxa"/>
            <w:tcBorders>
              <w:top w:val="single" w:sz="4" w:space="0" w:color="000000"/>
              <w:bottom w:val="single" w:sz="4" w:space="0" w:color="000000"/>
            </w:tcBorders>
          </w:tcPr>
          <w:p>
            <w:pPr>
              <w:pStyle w:val="TableParagraph"/>
              <w:spacing w:line="252" w:lineRule="auto" w:before="69"/>
              <w:ind w:left="129" w:right="387"/>
              <w:rPr>
                <w:sz w:val="20"/>
              </w:rPr>
            </w:pPr>
            <w:r>
              <w:rPr>
                <w:sz w:val="20"/>
              </w:rPr>
              <w:t>Topographic</w:t>
            </w:r>
            <w:r>
              <w:rPr>
                <w:spacing w:val="-14"/>
                <w:sz w:val="20"/>
              </w:rPr>
              <w:t> </w:t>
            </w:r>
            <w:r>
              <w:rPr>
                <w:sz w:val="20"/>
              </w:rPr>
              <w:t>wetness index (TWI)</w:t>
            </w:r>
          </w:p>
        </w:tc>
        <w:tc>
          <w:tcPr>
            <w:tcW w:w="6983" w:type="dxa"/>
            <w:tcBorders>
              <w:top w:val="single" w:sz="4" w:space="0" w:color="000000"/>
              <w:bottom w:val="single" w:sz="4" w:space="0" w:color="000000"/>
            </w:tcBorders>
            <w:shd w:val="clear" w:color="auto" w:fill="CCDBEA"/>
          </w:tcPr>
          <w:p>
            <w:pPr>
              <w:pStyle w:val="TableParagraph"/>
              <w:spacing w:line="249" w:lineRule="auto" w:before="69"/>
              <w:ind w:left="113" w:right="121"/>
              <w:rPr>
                <w:sz w:val="20"/>
              </w:rPr>
            </w:pPr>
            <w:r>
              <w:rPr>
                <w:sz w:val="20"/>
              </w:rPr>
              <w:t>A</w:t>
            </w:r>
            <w:r>
              <w:rPr>
                <w:spacing w:val="-2"/>
                <w:sz w:val="20"/>
              </w:rPr>
              <w:t> </w:t>
            </w:r>
            <w:r>
              <w:rPr>
                <w:sz w:val="20"/>
              </w:rPr>
              <w:t>quantitative measure of</w:t>
            </w:r>
            <w:r>
              <w:rPr>
                <w:spacing w:val="-2"/>
                <w:sz w:val="20"/>
              </w:rPr>
              <w:t> </w:t>
            </w:r>
            <w:r>
              <w:rPr>
                <w:sz w:val="20"/>
              </w:rPr>
              <w:t>the</w:t>
            </w:r>
            <w:r>
              <w:rPr>
                <w:spacing w:val="-3"/>
                <w:sz w:val="20"/>
              </w:rPr>
              <w:t> </w:t>
            </w:r>
            <w:r>
              <w:rPr>
                <w:sz w:val="20"/>
              </w:rPr>
              <w:t>terrain-driven</w:t>
            </w:r>
            <w:r>
              <w:rPr>
                <w:spacing w:val="-2"/>
                <w:sz w:val="20"/>
              </w:rPr>
              <w:t> </w:t>
            </w:r>
            <w:r>
              <w:rPr>
                <w:sz w:val="20"/>
              </w:rPr>
              <w:t>variation</w:t>
            </w:r>
            <w:r>
              <w:rPr>
                <w:spacing w:val="-1"/>
                <w:sz w:val="20"/>
              </w:rPr>
              <w:t> </w:t>
            </w:r>
            <w:r>
              <w:rPr>
                <w:sz w:val="20"/>
              </w:rPr>
              <w:t>in</w:t>
            </w:r>
            <w:r>
              <w:rPr>
                <w:spacing w:val="-2"/>
                <w:sz w:val="20"/>
              </w:rPr>
              <w:t> </w:t>
            </w:r>
            <w:r>
              <w:rPr>
                <w:sz w:val="20"/>
              </w:rPr>
              <w:t>soil</w:t>
            </w:r>
            <w:r>
              <w:rPr>
                <w:spacing w:val="-3"/>
                <w:sz w:val="20"/>
              </w:rPr>
              <w:t> </w:t>
            </w:r>
            <w:r>
              <w:rPr>
                <w:sz w:val="20"/>
              </w:rPr>
              <w:t>moisture. TWI is calculated as log to the base e (specific catchment area/slope) and estimates</w:t>
            </w:r>
            <w:r>
              <w:rPr>
                <w:spacing w:val="-4"/>
                <w:sz w:val="20"/>
              </w:rPr>
              <w:t> </w:t>
            </w:r>
            <w:r>
              <w:rPr>
                <w:sz w:val="20"/>
              </w:rPr>
              <w:t>the</w:t>
            </w:r>
            <w:r>
              <w:rPr>
                <w:spacing w:val="-5"/>
                <w:sz w:val="20"/>
              </w:rPr>
              <w:t> </w:t>
            </w:r>
            <w:r>
              <w:rPr>
                <w:sz w:val="20"/>
              </w:rPr>
              <w:t>relative</w:t>
            </w:r>
            <w:r>
              <w:rPr>
                <w:spacing w:val="-3"/>
                <w:sz w:val="20"/>
              </w:rPr>
              <w:t> </w:t>
            </w:r>
            <w:r>
              <w:rPr>
                <w:sz w:val="20"/>
              </w:rPr>
              <w:t>wetness</w:t>
            </w:r>
            <w:r>
              <w:rPr>
                <w:spacing w:val="-1"/>
                <w:sz w:val="20"/>
              </w:rPr>
              <w:t> </w:t>
            </w:r>
            <w:r>
              <w:rPr>
                <w:sz w:val="20"/>
              </w:rPr>
              <w:t>at</w:t>
            </w:r>
            <w:r>
              <w:rPr>
                <w:spacing w:val="-5"/>
                <w:sz w:val="20"/>
              </w:rPr>
              <w:t> </w:t>
            </w:r>
            <w:r>
              <w:rPr>
                <w:sz w:val="20"/>
              </w:rPr>
              <w:t>a</w:t>
            </w:r>
            <w:r>
              <w:rPr>
                <w:spacing w:val="-5"/>
                <w:sz w:val="20"/>
              </w:rPr>
              <w:t> </w:t>
            </w:r>
            <w:r>
              <w:rPr>
                <w:sz w:val="20"/>
              </w:rPr>
              <w:t>camera</w:t>
            </w:r>
            <w:r>
              <w:rPr>
                <w:spacing w:val="-5"/>
                <w:sz w:val="20"/>
              </w:rPr>
              <w:t> </w:t>
            </w:r>
            <w:r>
              <w:rPr>
                <w:sz w:val="20"/>
              </w:rPr>
              <w:t>site.</w:t>
            </w:r>
            <w:r>
              <w:rPr>
                <w:spacing w:val="-5"/>
                <w:sz w:val="20"/>
              </w:rPr>
              <w:t> </w:t>
            </w:r>
            <w:r>
              <w:rPr>
                <w:sz w:val="20"/>
              </w:rPr>
              <w:t>TWI</w:t>
            </w:r>
            <w:r>
              <w:rPr>
                <w:spacing w:val="-5"/>
                <w:sz w:val="20"/>
              </w:rPr>
              <w:t> </w:t>
            </w:r>
            <w:r>
              <w:rPr>
                <w:sz w:val="20"/>
              </w:rPr>
              <w:t>impacts</w:t>
            </w:r>
            <w:r>
              <w:rPr>
                <w:spacing w:val="-4"/>
                <w:sz w:val="20"/>
              </w:rPr>
              <w:t> </w:t>
            </w:r>
            <w:r>
              <w:rPr>
                <w:sz w:val="20"/>
              </w:rPr>
              <w:t>vegetation</w:t>
            </w:r>
            <w:r>
              <w:rPr>
                <w:spacing w:val="-3"/>
                <w:sz w:val="20"/>
              </w:rPr>
              <w:t> </w:t>
            </w:r>
            <w:r>
              <w:rPr>
                <w:sz w:val="20"/>
              </w:rPr>
              <w:t>and food sources (Beven and Kirkby 1979; Lobert 1990; Riley et al. 1999; Gallant and Austin 2012; Nuske et al. 2017; DELWP 2020).</w:t>
            </w:r>
          </w:p>
        </w:tc>
      </w:tr>
      <w:tr>
        <w:trPr>
          <w:trHeight w:val="599" w:hRule="atLeast"/>
        </w:trPr>
        <w:tc>
          <w:tcPr>
            <w:tcW w:w="2424" w:type="dxa"/>
            <w:tcBorders>
              <w:top w:val="single" w:sz="4" w:space="0" w:color="000000"/>
              <w:bottom w:val="single" w:sz="4" w:space="0" w:color="000000"/>
            </w:tcBorders>
          </w:tcPr>
          <w:p>
            <w:pPr>
              <w:pStyle w:val="TableParagraph"/>
              <w:spacing w:before="69"/>
              <w:ind w:left="129"/>
              <w:rPr>
                <w:sz w:val="20"/>
              </w:rPr>
            </w:pPr>
            <w:r>
              <w:rPr>
                <w:spacing w:val="-2"/>
                <w:sz w:val="20"/>
              </w:rPr>
              <w:t>Treatment</w:t>
            </w:r>
          </w:p>
        </w:tc>
        <w:tc>
          <w:tcPr>
            <w:tcW w:w="6983" w:type="dxa"/>
            <w:tcBorders>
              <w:top w:val="single" w:sz="4" w:space="0" w:color="000000"/>
              <w:bottom w:val="single" w:sz="4" w:space="0" w:color="000000"/>
            </w:tcBorders>
            <w:shd w:val="clear" w:color="auto" w:fill="CCDBEA"/>
          </w:tcPr>
          <w:p>
            <w:pPr>
              <w:pStyle w:val="TableParagraph"/>
              <w:spacing w:line="249" w:lineRule="auto" w:before="69"/>
              <w:ind w:left="113"/>
              <w:rPr>
                <w:sz w:val="20"/>
              </w:rPr>
            </w:pPr>
            <w:r>
              <w:rPr>
                <w:sz w:val="20"/>
              </w:rPr>
              <w:t>A</w:t>
            </w:r>
            <w:r>
              <w:rPr>
                <w:spacing w:val="-5"/>
                <w:sz w:val="20"/>
              </w:rPr>
              <w:t> </w:t>
            </w:r>
            <w:r>
              <w:rPr>
                <w:sz w:val="20"/>
              </w:rPr>
              <w:t>binary</w:t>
            </w:r>
            <w:r>
              <w:rPr>
                <w:spacing w:val="-4"/>
                <w:sz w:val="20"/>
              </w:rPr>
              <w:t> </w:t>
            </w:r>
            <w:r>
              <w:rPr>
                <w:sz w:val="20"/>
              </w:rPr>
              <w:t>variable</w:t>
            </w:r>
            <w:r>
              <w:rPr>
                <w:spacing w:val="-5"/>
                <w:sz w:val="20"/>
              </w:rPr>
              <w:t> </w:t>
            </w:r>
            <w:r>
              <w:rPr>
                <w:sz w:val="20"/>
              </w:rPr>
              <w:t>that</w:t>
            </w:r>
            <w:r>
              <w:rPr>
                <w:spacing w:val="-3"/>
                <w:sz w:val="20"/>
              </w:rPr>
              <w:t> </w:t>
            </w:r>
            <w:r>
              <w:rPr>
                <w:sz w:val="20"/>
              </w:rPr>
              <w:t>indicates</w:t>
            </w:r>
            <w:r>
              <w:rPr>
                <w:spacing w:val="-4"/>
                <w:sz w:val="20"/>
              </w:rPr>
              <w:t> </w:t>
            </w:r>
            <w:r>
              <w:rPr>
                <w:sz w:val="20"/>
              </w:rPr>
              <w:t>whether</w:t>
            </w:r>
            <w:r>
              <w:rPr>
                <w:spacing w:val="-2"/>
                <w:sz w:val="20"/>
              </w:rPr>
              <w:t> </w:t>
            </w:r>
            <w:r>
              <w:rPr>
                <w:sz w:val="20"/>
              </w:rPr>
              <w:t>or</w:t>
            </w:r>
            <w:r>
              <w:rPr>
                <w:spacing w:val="-5"/>
                <w:sz w:val="20"/>
              </w:rPr>
              <w:t> </w:t>
            </w:r>
            <w:r>
              <w:rPr>
                <w:sz w:val="20"/>
              </w:rPr>
              <w:t>not</w:t>
            </w:r>
            <w:r>
              <w:rPr>
                <w:spacing w:val="-3"/>
                <w:sz w:val="20"/>
              </w:rPr>
              <w:t> </w:t>
            </w:r>
            <w:r>
              <w:rPr>
                <w:sz w:val="20"/>
              </w:rPr>
              <w:t>fox</w:t>
            </w:r>
            <w:r>
              <w:rPr>
                <w:spacing w:val="-4"/>
                <w:sz w:val="20"/>
              </w:rPr>
              <w:t> </w:t>
            </w:r>
            <w:r>
              <w:rPr>
                <w:sz w:val="20"/>
              </w:rPr>
              <w:t>control</w:t>
            </w:r>
            <w:r>
              <w:rPr>
                <w:spacing w:val="-6"/>
                <w:sz w:val="20"/>
              </w:rPr>
              <w:t> </w:t>
            </w:r>
            <w:r>
              <w:rPr>
                <w:sz w:val="20"/>
              </w:rPr>
              <w:t>occurred</w:t>
            </w:r>
            <w:r>
              <w:rPr>
                <w:spacing w:val="-4"/>
                <w:sz w:val="20"/>
              </w:rPr>
              <w:t> </w:t>
            </w:r>
            <w:r>
              <w:rPr>
                <w:sz w:val="20"/>
              </w:rPr>
              <w:t>at</w:t>
            </w:r>
            <w:r>
              <w:rPr>
                <w:spacing w:val="-5"/>
                <w:sz w:val="20"/>
              </w:rPr>
              <w:t> </w:t>
            </w:r>
            <w:r>
              <w:rPr>
                <w:sz w:val="20"/>
              </w:rPr>
              <w:t>a location: 0 = no fox control, 1 = fox control.</w:t>
            </w:r>
          </w:p>
        </w:tc>
      </w:tr>
    </w:tbl>
    <w:p>
      <w:pPr>
        <w:pStyle w:val="BodyText"/>
        <w:spacing w:before="124"/>
        <w:rPr>
          <w:b/>
        </w:rPr>
      </w:pPr>
    </w:p>
    <w:p>
      <w:pPr>
        <w:pStyle w:val="BodyText"/>
        <w:ind w:left="1132" w:right="1499"/>
      </w:pPr>
      <w:r>
        <w:rPr/>
        <w:t>The</w:t>
      </w:r>
      <w:r>
        <w:rPr>
          <w:spacing w:val="-5"/>
        </w:rPr>
        <w:t> </w:t>
      </w:r>
      <w:r>
        <w:rPr/>
        <w:t>models</w:t>
      </w:r>
      <w:r>
        <w:rPr>
          <w:spacing w:val="-3"/>
        </w:rPr>
        <w:t> </w:t>
      </w:r>
      <w:r>
        <w:rPr/>
        <w:t>accounted</w:t>
      </w:r>
      <w:r>
        <w:rPr>
          <w:spacing w:val="-5"/>
        </w:rPr>
        <w:t> </w:t>
      </w:r>
      <w:r>
        <w:rPr/>
        <w:t>for</w:t>
      </w:r>
      <w:r>
        <w:rPr>
          <w:spacing w:val="-1"/>
        </w:rPr>
        <w:t> </w:t>
      </w:r>
      <w:r>
        <w:rPr/>
        <w:t>variations</w:t>
      </w:r>
      <w:r>
        <w:rPr>
          <w:spacing w:val="-3"/>
        </w:rPr>
        <w:t> </w:t>
      </w:r>
      <w:r>
        <w:rPr/>
        <w:t>in</w:t>
      </w:r>
      <w:r>
        <w:rPr>
          <w:spacing w:val="-4"/>
        </w:rPr>
        <w:t> </w:t>
      </w:r>
      <w:r>
        <w:rPr/>
        <w:t>daily</w:t>
      </w:r>
      <w:r>
        <w:rPr>
          <w:spacing w:val="-3"/>
        </w:rPr>
        <w:t> </w:t>
      </w:r>
      <w:r>
        <w:rPr/>
        <w:t>detection</w:t>
      </w:r>
      <w:r>
        <w:rPr>
          <w:spacing w:val="-2"/>
        </w:rPr>
        <w:t> </w:t>
      </w:r>
      <w:r>
        <w:rPr/>
        <w:t>rates depending</w:t>
      </w:r>
      <w:r>
        <w:rPr>
          <w:spacing w:val="-5"/>
        </w:rPr>
        <w:t> </w:t>
      </w:r>
      <w:r>
        <w:rPr/>
        <w:t>on</w:t>
      </w:r>
      <w:r>
        <w:rPr>
          <w:spacing w:val="-4"/>
        </w:rPr>
        <w:t> </w:t>
      </w:r>
      <w:r>
        <w:rPr/>
        <w:t>whether</w:t>
      </w:r>
      <w:r>
        <w:rPr>
          <w:spacing w:val="-4"/>
        </w:rPr>
        <w:t> </w:t>
      </w:r>
      <w:r>
        <w:rPr/>
        <w:t>a</w:t>
      </w:r>
      <w:r>
        <w:rPr>
          <w:spacing w:val="-4"/>
        </w:rPr>
        <w:t> </w:t>
      </w:r>
      <w:r>
        <w:rPr/>
        <w:t>hair-tube</w:t>
      </w:r>
      <w:r>
        <w:rPr>
          <w:spacing w:val="-4"/>
        </w:rPr>
        <w:t> </w:t>
      </w:r>
      <w:r>
        <w:rPr/>
        <w:t>or</w:t>
      </w:r>
      <w:r>
        <w:rPr>
          <w:spacing w:val="-3"/>
        </w:rPr>
        <w:t> </w:t>
      </w:r>
      <w:r>
        <w:rPr/>
        <w:t>camera was used for detection. Additionally, they considered differences in Long-nosed Potoroo and Southern Brown Bandicoot detection based on</w:t>
      </w:r>
      <w:r>
        <w:rPr>
          <w:spacing w:val="-2"/>
        </w:rPr>
        <w:t> </w:t>
      </w:r>
      <w:r>
        <w:rPr/>
        <w:t>whether</w:t>
      </w:r>
      <w:r>
        <w:rPr>
          <w:spacing w:val="-1"/>
        </w:rPr>
        <w:t> </w:t>
      </w:r>
      <w:r>
        <w:rPr/>
        <w:t>Common</w:t>
      </w:r>
      <w:r>
        <w:rPr>
          <w:spacing w:val="-1"/>
        </w:rPr>
        <w:t> </w:t>
      </w:r>
      <w:r>
        <w:rPr/>
        <w:t>Brushtail</w:t>
      </w:r>
      <w:r>
        <w:rPr>
          <w:spacing w:val="-2"/>
        </w:rPr>
        <w:t> </w:t>
      </w:r>
      <w:r>
        <w:rPr/>
        <w:t>Possums were detected</w:t>
      </w:r>
      <w:r>
        <w:rPr>
          <w:spacing w:val="-1"/>
        </w:rPr>
        <w:t> </w:t>
      </w:r>
      <w:r>
        <w:rPr/>
        <w:t>at the site in a hair-tube. This adjustment was made because hair-tubes could be overwhelmed with Common Brushtail Possum hairs, potentially hindering the collection of hair from other species, and leading to the</w:t>
      </w:r>
    </w:p>
    <w:p>
      <w:pPr>
        <w:pStyle w:val="BodyText"/>
        <w:spacing w:after="0"/>
        <w:sectPr>
          <w:footerReference w:type="default" r:id="rId33"/>
          <w:pgSz w:w="11910" w:h="16850"/>
          <w:pgMar w:header="0" w:footer="688" w:top="1080" w:bottom="880" w:left="0" w:right="0"/>
        </w:sectPr>
      </w:pPr>
    </w:p>
    <w:p>
      <w:pPr>
        <w:pStyle w:val="BodyText"/>
        <w:spacing w:before="71"/>
        <w:ind w:left="1132" w:right="1204"/>
      </w:pPr>
      <w:r>
        <w:rPr/>
        <w:t>underreporting</w:t>
      </w:r>
      <w:r>
        <w:rPr>
          <w:spacing w:val="-4"/>
        </w:rPr>
        <w:t> </w:t>
      </w:r>
      <w:r>
        <w:rPr/>
        <w:t>of</w:t>
      </w:r>
      <w:r>
        <w:rPr>
          <w:spacing w:val="-5"/>
        </w:rPr>
        <w:t> </w:t>
      </w:r>
      <w:r>
        <w:rPr/>
        <w:t>Long-nosed</w:t>
      </w:r>
      <w:r>
        <w:rPr>
          <w:spacing w:val="-6"/>
        </w:rPr>
        <w:t> </w:t>
      </w:r>
      <w:r>
        <w:rPr/>
        <w:t>Potoroos</w:t>
      </w:r>
      <w:r>
        <w:rPr>
          <w:spacing w:val="-4"/>
        </w:rPr>
        <w:t> </w:t>
      </w:r>
      <w:r>
        <w:rPr/>
        <w:t>and</w:t>
      </w:r>
      <w:r>
        <w:rPr>
          <w:spacing w:val="-5"/>
        </w:rPr>
        <w:t> </w:t>
      </w:r>
      <w:r>
        <w:rPr/>
        <w:t>Southern</w:t>
      </w:r>
      <w:r>
        <w:rPr>
          <w:spacing w:val="-3"/>
        </w:rPr>
        <w:t> </w:t>
      </w:r>
      <w:r>
        <w:rPr/>
        <w:t>Brown</w:t>
      </w:r>
      <w:r>
        <w:rPr>
          <w:spacing w:val="-3"/>
        </w:rPr>
        <w:t> </w:t>
      </w:r>
      <w:r>
        <w:rPr/>
        <w:t>Bandicoots</w:t>
      </w:r>
      <w:r>
        <w:rPr>
          <w:spacing w:val="-4"/>
        </w:rPr>
        <w:t> </w:t>
      </w:r>
      <w:r>
        <w:rPr/>
        <w:t>when</w:t>
      </w:r>
      <w:r>
        <w:rPr>
          <w:spacing w:val="-6"/>
        </w:rPr>
        <w:t> </w:t>
      </w:r>
      <w:r>
        <w:rPr/>
        <w:t>Common</w:t>
      </w:r>
      <w:r>
        <w:rPr>
          <w:spacing w:val="-4"/>
        </w:rPr>
        <w:t> </w:t>
      </w:r>
      <w:r>
        <w:rPr/>
        <w:t>Brushtail</w:t>
      </w:r>
      <w:r>
        <w:rPr>
          <w:spacing w:val="-4"/>
        </w:rPr>
        <w:t> </w:t>
      </w:r>
      <w:r>
        <w:rPr/>
        <w:t>Possums were present.</w:t>
      </w:r>
    </w:p>
    <w:p>
      <w:pPr>
        <w:spacing w:before="122"/>
        <w:ind w:left="1132" w:right="0" w:firstLine="0"/>
        <w:jc w:val="left"/>
        <w:rPr>
          <w:b/>
          <w:sz w:val="20"/>
        </w:rPr>
      </w:pPr>
      <w:r>
        <w:rPr>
          <w:b/>
          <w:sz w:val="20"/>
        </w:rPr>
        <w:t>Odds</w:t>
      </w:r>
      <w:r>
        <w:rPr>
          <w:b/>
          <w:spacing w:val="-6"/>
          <w:sz w:val="20"/>
        </w:rPr>
        <w:t> </w:t>
      </w:r>
      <w:r>
        <w:rPr>
          <w:b/>
          <w:spacing w:val="-2"/>
          <w:sz w:val="20"/>
        </w:rPr>
        <w:t>ratio</w:t>
      </w:r>
    </w:p>
    <w:p>
      <w:pPr>
        <w:pStyle w:val="BodyText"/>
        <w:spacing w:before="120"/>
        <w:ind w:left="1132" w:right="1204"/>
      </w:pPr>
      <w:r>
        <w:rPr/>
        <w:t>The</w:t>
      </w:r>
      <w:r>
        <w:rPr>
          <w:spacing w:val="-1"/>
        </w:rPr>
        <w:t> </w:t>
      </w:r>
      <w:r>
        <w:rPr/>
        <w:t>model</w:t>
      </w:r>
      <w:r>
        <w:rPr>
          <w:spacing w:val="-1"/>
        </w:rPr>
        <w:t> </w:t>
      </w:r>
      <w:r>
        <w:rPr/>
        <w:t>calculates colonisation</w:t>
      </w:r>
      <w:r>
        <w:rPr>
          <w:spacing w:val="-1"/>
        </w:rPr>
        <w:t> </w:t>
      </w:r>
      <w:r>
        <w:rPr/>
        <w:t>and</w:t>
      </w:r>
      <w:r>
        <w:rPr>
          <w:spacing w:val="-1"/>
        </w:rPr>
        <w:t> </w:t>
      </w:r>
      <w:r>
        <w:rPr/>
        <w:t>survival</w:t>
      </w:r>
      <w:r>
        <w:rPr>
          <w:spacing w:val="-1"/>
        </w:rPr>
        <w:t> </w:t>
      </w:r>
      <w:r>
        <w:rPr/>
        <w:t>equations in the log-odds (logit) scale, which can</w:t>
      </w:r>
      <w:r>
        <w:rPr>
          <w:spacing w:val="-1"/>
        </w:rPr>
        <w:t> </w:t>
      </w:r>
      <w:r>
        <w:rPr/>
        <w:t>range from negative to positive infinity. These parameters are transformed into a more interpretable scale when discussing their effects by using the odds ratio (OR). The OR measures the strength of the association between an explanatory variable and an outcome and can range from zero to infinity. It represents the ratio of the odds of an outcome occurring given a particular event to the odds of the outcome not occurring. An OR</w:t>
      </w:r>
      <w:r>
        <w:rPr>
          <w:spacing w:val="-4"/>
        </w:rPr>
        <w:t> </w:t>
      </w:r>
      <w:r>
        <w:rPr/>
        <w:t>less</w:t>
      </w:r>
      <w:r>
        <w:rPr>
          <w:spacing w:val="-3"/>
        </w:rPr>
        <w:t> </w:t>
      </w:r>
      <w:r>
        <w:rPr/>
        <w:t>than</w:t>
      </w:r>
      <w:r>
        <w:rPr>
          <w:spacing w:val="-4"/>
        </w:rPr>
        <w:t> </w:t>
      </w:r>
      <w:r>
        <w:rPr/>
        <w:t>1</w:t>
      </w:r>
      <w:r>
        <w:rPr>
          <w:spacing w:val="-2"/>
        </w:rPr>
        <w:t> </w:t>
      </w:r>
      <w:r>
        <w:rPr/>
        <w:t>indicates</w:t>
      </w:r>
      <w:r>
        <w:rPr>
          <w:spacing w:val="-3"/>
        </w:rPr>
        <w:t> </w:t>
      </w:r>
      <w:r>
        <w:rPr/>
        <w:t>a</w:t>
      </w:r>
      <w:r>
        <w:rPr>
          <w:spacing w:val="-2"/>
        </w:rPr>
        <w:t> </w:t>
      </w:r>
      <w:r>
        <w:rPr/>
        <w:t>decrease</w:t>
      </w:r>
      <w:r>
        <w:rPr>
          <w:spacing w:val="-2"/>
        </w:rPr>
        <w:t> </w:t>
      </w:r>
      <w:r>
        <w:rPr/>
        <w:t>in</w:t>
      </w:r>
      <w:r>
        <w:rPr>
          <w:spacing w:val="-4"/>
        </w:rPr>
        <w:t> </w:t>
      </w:r>
      <w:r>
        <w:rPr/>
        <w:t>the</w:t>
      </w:r>
      <w:r>
        <w:rPr>
          <w:spacing w:val="-5"/>
        </w:rPr>
        <w:t> </w:t>
      </w:r>
      <w:r>
        <w:rPr/>
        <w:t>odds</w:t>
      </w:r>
      <w:r>
        <w:rPr>
          <w:spacing w:val="-3"/>
        </w:rPr>
        <w:t> </w:t>
      </w:r>
      <w:r>
        <w:rPr/>
        <w:t>of</w:t>
      </w:r>
      <w:r>
        <w:rPr>
          <w:spacing w:val="-2"/>
        </w:rPr>
        <w:t> </w:t>
      </w:r>
      <w:r>
        <w:rPr/>
        <w:t>the</w:t>
      </w:r>
      <w:r>
        <w:rPr>
          <w:spacing w:val="-2"/>
        </w:rPr>
        <w:t> </w:t>
      </w:r>
      <w:r>
        <w:rPr/>
        <w:t>event</w:t>
      </w:r>
      <w:r>
        <w:rPr>
          <w:spacing w:val="-2"/>
        </w:rPr>
        <w:t> </w:t>
      </w:r>
      <w:r>
        <w:rPr/>
        <w:t>occurring,</w:t>
      </w:r>
      <w:r>
        <w:rPr>
          <w:spacing w:val="-4"/>
        </w:rPr>
        <w:t> </w:t>
      </w:r>
      <w:r>
        <w:rPr/>
        <w:t>while</w:t>
      </w:r>
      <w:r>
        <w:rPr>
          <w:spacing w:val="-2"/>
        </w:rPr>
        <w:t> </w:t>
      </w:r>
      <w:r>
        <w:rPr/>
        <w:t>an</w:t>
      </w:r>
      <w:r>
        <w:rPr>
          <w:spacing w:val="-3"/>
        </w:rPr>
        <w:t> </w:t>
      </w:r>
      <w:r>
        <w:rPr/>
        <w:t>OR</w:t>
      </w:r>
      <w:r>
        <w:rPr>
          <w:spacing w:val="-4"/>
        </w:rPr>
        <w:t> </w:t>
      </w:r>
      <w:r>
        <w:rPr/>
        <w:t>greater</w:t>
      </w:r>
      <w:r>
        <w:rPr>
          <w:spacing w:val="-1"/>
        </w:rPr>
        <w:t> </w:t>
      </w:r>
      <w:r>
        <w:rPr/>
        <w:t>than</w:t>
      </w:r>
      <w:r>
        <w:rPr>
          <w:spacing w:val="-4"/>
        </w:rPr>
        <w:t> </w:t>
      </w:r>
      <w:r>
        <w:rPr/>
        <w:t>1</w:t>
      </w:r>
      <w:r>
        <w:rPr>
          <w:spacing w:val="-2"/>
        </w:rPr>
        <w:t> </w:t>
      </w:r>
      <w:r>
        <w:rPr/>
        <w:t>indicates an increase. An OR of 1 suggests no detectable effect. For instance, if the chance of detecting a bandicoot at</w:t>
      </w:r>
      <w:r>
        <w:rPr>
          <w:spacing w:val="-1"/>
        </w:rPr>
        <w:t> </w:t>
      </w:r>
      <w:r>
        <w:rPr/>
        <w:t>a location without</w:t>
      </w:r>
      <w:r>
        <w:rPr>
          <w:spacing w:val="-1"/>
        </w:rPr>
        <w:t> </w:t>
      </w:r>
      <w:r>
        <w:rPr/>
        <w:t>fox control is 20%,</w:t>
      </w:r>
      <w:r>
        <w:rPr>
          <w:spacing w:val="-1"/>
        </w:rPr>
        <w:t> </w:t>
      </w:r>
      <w:r>
        <w:rPr/>
        <w:t>the</w:t>
      </w:r>
      <w:r>
        <w:rPr>
          <w:spacing w:val="-1"/>
        </w:rPr>
        <w:t> </w:t>
      </w:r>
      <w:r>
        <w:rPr/>
        <w:t>odds would</w:t>
      </w:r>
      <w:r>
        <w:rPr>
          <w:spacing w:val="-1"/>
        </w:rPr>
        <w:t> </w:t>
      </w:r>
      <w:r>
        <w:rPr/>
        <w:t>be 0.25:1. If</w:t>
      </w:r>
      <w:r>
        <w:rPr>
          <w:spacing w:val="-1"/>
        </w:rPr>
        <w:t> </w:t>
      </w:r>
      <w:r>
        <w:rPr/>
        <w:t>the</w:t>
      </w:r>
      <w:r>
        <w:rPr>
          <w:spacing w:val="-1"/>
        </w:rPr>
        <w:t> </w:t>
      </w:r>
      <w:r>
        <w:rPr/>
        <w:t>chance</w:t>
      </w:r>
      <w:r>
        <w:rPr>
          <w:spacing w:val="-1"/>
        </w:rPr>
        <w:t> </w:t>
      </w:r>
      <w:r>
        <w:rPr/>
        <w:t>at</w:t>
      </w:r>
      <w:r>
        <w:rPr>
          <w:spacing w:val="-1"/>
        </w:rPr>
        <w:t> </w:t>
      </w:r>
      <w:r>
        <w:rPr/>
        <w:t>a</w:t>
      </w:r>
      <w:r>
        <w:rPr>
          <w:spacing w:val="-2"/>
        </w:rPr>
        <w:t> </w:t>
      </w:r>
      <w:r>
        <w:rPr/>
        <w:t>location</w:t>
      </w:r>
      <w:r>
        <w:rPr>
          <w:spacing w:val="-2"/>
        </w:rPr>
        <w:t> </w:t>
      </w:r>
      <w:r>
        <w:rPr/>
        <w:t>with fox control is 60%, the odds would be 1.5:1. Comparing these odds, the OR for detection at a fox-control site would be 6,</w:t>
      </w:r>
      <w:r>
        <w:rPr>
          <w:spacing w:val="-3"/>
        </w:rPr>
        <w:t> </w:t>
      </w:r>
      <w:r>
        <w:rPr/>
        <w:t>implying</w:t>
      </w:r>
      <w:r>
        <w:rPr>
          <w:spacing w:val="-1"/>
        </w:rPr>
        <w:t> </w:t>
      </w:r>
      <w:r>
        <w:rPr/>
        <w:t>a</w:t>
      </w:r>
      <w:r>
        <w:rPr>
          <w:spacing w:val="-3"/>
        </w:rPr>
        <w:t> </w:t>
      </w:r>
      <w:r>
        <w:rPr/>
        <w:t>six-fold</w:t>
      </w:r>
      <w:r>
        <w:rPr>
          <w:spacing w:val="-1"/>
        </w:rPr>
        <w:t> </w:t>
      </w:r>
      <w:r>
        <w:rPr/>
        <w:t>increase</w:t>
      </w:r>
      <w:r>
        <w:rPr>
          <w:spacing w:val="-3"/>
        </w:rPr>
        <w:t> </w:t>
      </w:r>
      <w:r>
        <w:rPr/>
        <w:t>in</w:t>
      </w:r>
      <w:r>
        <w:rPr>
          <w:spacing w:val="-3"/>
        </w:rPr>
        <w:t> </w:t>
      </w:r>
      <w:r>
        <w:rPr/>
        <w:t>the odds</w:t>
      </w:r>
      <w:r>
        <w:rPr>
          <w:spacing w:val="-2"/>
        </w:rPr>
        <w:t> </w:t>
      </w:r>
      <w:r>
        <w:rPr/>
        <w:t>of</w:t>
      </w:r>
      <w:r>
        <w:rPr>
          <w:spacing w:val="-3"/>
        </w:rPr>
        <w:t> </w:t>
      </w:r>
      <w:r>
        <w:rPr/>
        <w:t>detection</w:t>
      </w:r>
      <w:r>
        <w:rPr>
          <w:spacing w:val="-2"/>
        </w:rPr>
        <w:t> </w:t>
      </w:r>
      <w:r>
        <w:rPr/>
        <w:t>compared</w:t>
      </w:r>
      <w:r>
        <w:rPr>
          <w:spacing w:val="-3"/>
        </w:rPr>
        <w:t> </w:t>
      </w:r>
      <w:r>
        <w:rPr/>
        <w:t>to</w:t>
      </w:r>
      <w:r>
        <w:rPr>
          <w:spacing w:val="-1"/>
        </w:rPr>
        <w:t> </w:t>
      </w:r>
      <w:r>
        <w:rPr/>
        <w:t>a</w:t>
      </w:r>
      <w:r>
        <w:rPr>
          <w:spacing w:val="-3"/>
        </w:rPr>
        <w:t> </w:t>
      </w:r>
      <w:r>
        <w:rPr/>
        <w:t>no-fox-control</w:t>
      </w:r>
      <w:r>
        <w:rPr>
          <w:spacing w:val="-3"/>
        </w:rPr>
        <w:t> </w:t>
      </w:r>
      <w:r>
        <w:rPr/>
        <w:t>site.</w:t>
      </w:r>
      <w:r>
        <w:rPr>
          <w:spacing w:val="-1"/>
        </w:rPr>
        <w:t> </w:t>
      </w:r>
      <w:r>
        <w:rPr/>
        <w:t>Applying</w:t>
      </w:r>
      <w:r>
        <w:rPr>
          <w:spacing w:val="-3"/>
        </w:rPr>
        <w:t> </w:t>
      </w:r>
      <w:r>
        <w:rPr/>
        <w:t>this</w:t>
      </w:r>
      <w:r>
        <w:rPr>
          <w:spacing w:val="-2"/>
        </w:rPr>
        <w:t> </w:t>
      </w:r>
      <w:r>
        <w:rPr/>
        <w:t>OR</w:t>
      </w:r>
      <w:r>
        <w:rPr>
          <w:spacing w:val="-3"/>
        </w:rPr>
        <w:t> </w:t>
      </w:r>
      <w:r>
        <w:rPr/>
        <w:t>to a different area where the detection rate without fox control is 10% (=0.111 odds), we would expect a 40% (=0.666 odds) chance of detection at a fox-control site.</w:t>
      </w:r>
    </w:p>
    <w:p>
      <w:pPr>
        <w:spacing w:before="120"/>
        <w:ind w:left="1132" w:right="0" w:firstLine="0"/>
        <w:jc w:val="left"/>
        <w:rPr>
          <w:b/>
          <w:sz w:val="20"/>
        </w:rPr>
      </w:pPr>
      <w:r>
        <w:rPr>
          <w:b/>
          <w:sz w:val="20"/>
        </w:rPr>
        <w:t>Growth</w:t>
      </w:r>
      <w:r>
        <w:rPr>
          <w:b/>
          <w:spacing w:val="-7"/>
          <w:sz w:val="20"/>
        </w:rPr>
        <w:t> </w:t>
      </w:r>
      <w:r>
        <w:rPr>
          <w:b/>
          <w:spacing w:val="-4"/>
          <w:sz w:val="20"/>
        </w:rPr>
        <w:t>rate</w:t>
      </w:r>
    </w:p>
    <w:p>
      <w:pPr>
        <w:pStyle w:val="BodyText"/>
        <w:spacing w:before="121"/>
        <w:ind w:left="1132" w:right="1204"/>
      </w:pPr>
      <w:r>
        <w:rPr/>
        <w:t>We</w:t>
      </w:r>
      <w:r>
        <w:rPr>
          <w:spacing w:val="-1"/>
        </w:rPr>
        <w:t> </w:t>
      </w:r>
      <w:r>
        <w:rPr/>
        <w:t>derived</w:t>
      </w:r>
      <w:r>
        <w:rPr>
          <w:spacing w:val="-3"/>
        </w:rPr>
        <w:t> </w:t>
      </w:r>
      <w:r>
        <w:rPr/>
        <w:t>the</w:t>
      </w:r>
      <w:r>
        <w:rPr>
          <w:spacing w:val="-3"/>
        </w:rPr>
        <w:t> </w:t>
      </w:r>
      <w:r>
        <w:rPr/>
        <w:t>growth</w:t>
      </w:r>
      <w:r>
        <w:rPr>
          <w:spacing w:val="-3"/>
        </w:rPr>
        <w:t> </w:t>
      </w:r>
      <w:r>
        <w:rPr/>
        <w:t>rate</w:t>
      </w:r>
      <w:r>
        <w:rPr>
          <w:spacing w:val="-1"/>
        </w:rPr>
        <w:t> </w:t>
      </w:r>
      <w:r>
        <w:rPr/>
        <w:t>from</w:t>
      </w:r>
      <w:r>
        <w:rPr>
          <w:spacing w:val="-3"/>
        </w:rPr>
        <w:t> </w:t>
      </w:r>
      <w:r>
        <w:rPr/>
        <w:t>the</w:t>
      </w:r>
      <w:r>
        <w:rPr>
          <w:spacing w:val="-3"/>
        </w:rPr>
        <w:t> </w:t>
      </w:r>
      <w:r>
        <w:rPr/>
        <w:t>posterior distributions</w:t>
      </w:r>
      <w:r>
        <w:rPr>
          <w:spacing w:val="-2"/>
        </w:rPr>
        <w:t> </w:t>
      </w:r>
      <w:r>
        <w:rPr/>
        <w:t>for</w:t>
      </w:r>
      <w:r>
        <w:rPr>
          <w:spacing w:val="-2"/>
        </w:rPr>
        <w:t> </w:t>
      </w:r>
      <w:r>
        <w:rPr/>
        <w:t>the</w:t>
      </w:r>
      <w:r>
        <w:rPr>
          <w:spacing w:val="-3"/>
        </w:rPr>
        <w:t> </w:t>
      </w:r>
      <w:r>
        <w:rPr/>
        <w:t>number</w:t>
      </w:r>
      <w:r>
        <w:rPr>
          <w:spacing w:val="-3"/>
        </w:rPr>
        <w:t> </w:t>
      </w:r>
      <w:r>
        <w:rPr/>
        <w:t>of</w:t>
      </w:r>
      <w:r>
        <w:rPr>
          <w:spacing w:val="-1"/>
        </w:rPr>
        <w:t> </w:t>
      </w:r>
      <w:r>
        <w:rPr/>
        <w:t>occupied</w:t>
      </w:r>
      <w:r>
        <w:rPr>
          <w:spacing w:val="-3"/>
        </w:rPr>
        <w:t> </w:t>
      </w:r>
      <w:r>
        <w:rPr/>
        <w:t>sites.</w:t>
      </w:r>
      <w:r>
        <w:rPr>
          <w:spacing w:val="-3"/>
        </w:rPr>
        <w:t> </w:t>
      </w:r>
      <w:r>
        <w:rPr/>
        <w:t>The</w:t>
      </w:r>
      <w:r>
        <w:rPr>
          <w:spacing w:val="-4"/>
        </w:rPr>
        <w:t> </w:t>
      </w:r>
      <w:r>
        <w:rPr/>
        <w:t>growth</w:t>
      </w:r>
      <w:r>
        <w:rPr>
          <w:spacing w:val="-4"/>
        </w:rPr>
        <w:t> </w:t>
      </w:r>
      <w:r>
        <w:rPr/>
        <w:t>rate compares the current occupancy rate with the previous season's rate:</w:t>
      </w:r>
    </w:p>
    <w:p>
      <w:pPr>
        <w:pStyle w:val="BodyText"/>
        <w:spacing w:after="0"/>
        <w:sectPr>
          <w:footerReference w:type="default" r:id="rId34"/>
          <w:pgSz w:w="11910" w:h="16850"/>
          <w:pgMar w:header="0" w:footer="688" w:top="1060" w:bottom="880" w:left="0" w:right="0"/>
        </w:sectPr>
      </w:pPr>
    </w:p>
    <w:p>
      <w:pPr>
        <w:pStyle w:val="BodyText"/>
        <w:spacing w:before="61"/>
      </w:pPr>
    </w:p>
    <w:p>
      <w:pPr>
        <w:spacing w:before="0"/>
        <w:ind w:left="0" w:right="0" w:firstLine="0"/>
        <w:jc w:val="right"/>
        <w:rPr>
          <w:rFonts w:ascii="Cambria Math" w:eastAsia="Cambria Math"/>
          <w:position w:val="-4"/>
          <w:sz w:val="14"/>
        </w:rPr>
      </w:pPr>
      <w:r>
        <w:rPr>
          <w:i/>
          <w:spacing w:val="-2"/>
          <w:sz w:val="20"/>
        </w:rPr>
        <w:t>Growth</w:t>
      </w:r>
      <w:r>
        <w:rPr>
          <w:rFonts w:ascii="Cambria Math" w:eastAsia="Cambria Math"/>
          <w:spacing w:val="-2"/>
          <w:position w:val="-4"/>
          <w:sz w:val="14"/>
        </w:rPr>
        <w:t>𝑡</w:t>
      </w:r>
    </w:p>
    <w:p>
      <w:pPr>
        <w:spacing w:line="245" w:lineRule="exact" w:before="99"/>
        <w:ind w:left="346" w:right="0" w:firstLine="0"/>
        <w:jc w:val="left"/>
        <w:rPr>
          <w:rFonts w:ascii="Cambria Math" w:eastAsia="Cambria Math"/>
          <w:position w:val="-7"/>
          <w:sz w:val="14"/>
        </w:rPr>
      </w:pPr>
      <w:r>
        <w:rPr/>
        <w:br w:type="column"/>
      </w:r>
      <w:r>
        <w:rPr>
          <w:rFonts w:ascii="Cambria Math" w:eastAsia="Cambria Math"/>
          <w:spacing w:val="-5"/>
          <w:sz w:val="20"/>
        </w:rPr>
        <w:t>𝜓</w:t>
      </w:r>
      <w:r>
        <w:rPr>
          <w:rFonts w:ascii="Cambria Math" w:eastAsia="Cambria Math"/>
          <w:spacing w:val="-5"/>
          <w:position w:val="-7"/>
          <w:sz w:val="14"/>
        </w:rPr>
        <w:t>𝑡</w:t>
      </w:r>
    </w:p>
    <w:p>
      <w:pPr>
        <w:spacing w:line="141" w:lineRule="exact" w:before="0"/>
        <w:ind w:left="39" w:right="0" w:firstLine="0"/>
        <w:jc w:val="left"/>
        <w:rPr>
          <w:rFonts w:ascii="Cambria Math"/>
          <w:sz w:val="20"/>
        </w:rPr>
      </w:pPr>
      <w:r>
        <w:rPr>
          <w:rFonts w:ascii="Cambria Math"/>
          <w:sz w:val="20"/>
        </w:rPr>
        <mc:AlternateContent>
          <mc:Choice Requires="wps">
            <w:drawing>
              <wp:anchor distT="0" distB="0" distL="0" distR="0" allowOverlap="1" layoutInCell="1" locked="0" behindDoc="0" simplePos="0" relativeHeight="15736320">
                <wp:simplePos x="0" y="0"/>
                <wp:positionH relativeFrom="page">
                  <wp:posOffset>3972178</wp:posOffset>
                </wp:positionH>
                <wp:positionV relativeFrom="paragraph">
                  <wp:posOffset>36944</wp:posOffset>
                </wp:positionV>
                <wp:extent cx="247015" cy="10795"/>
                <wp:effectExtent l="0" t="0" r="0" b="0"/>
                <wp:wrapNone/>
                <wp:docPr id="74" name="Graphic 74"/>
                <wp:cNvGraphicFramePr>
                  <a:graphicFrameLocks/>
                </wp:cNvGraphicFramePr>
                <a:graphic>
                  <a:graphicData uri="http://schemas.microsoft.com/office/word/2010/wordprocessingShape">
                    <wps:wsp>
                      <wps:cNvPr id="74" name="Graphic 74"/>
                      <wps:cNvSpPr/>
                      <wps:spPr>
                        <a:xfrm>
                          <a:off x="0" y="0"/>
                          <a:ext cx="247015" cy="10795"/>
                        </a:xfrm>
                        <a:custGeom>
                          <a:avLst/>
                          <a:gdLst/>
                          <a:ahLst/>
                          <a:cxnLst/>
                          <a:rect l="l" t="t" r="r" b="b"/>
                          <a:pathLst>
                            <a:path w="247015" h="10795">
                              <a:moveTo>
                                <a:pt x="246887" y="0"/>
                              </a:moveTo>
                              <a:lnTo>
                                <a:pt x="0" y="0"/>
                              </a:lnTo>
                              <a:lnTo>
                                <a:pt x="0" y="10668"/>
                              </a:lnTo>
                              <a:lnTo>
                                <a:pt x="246887" y="10668"/>
                              </a:lnTo>
                              <a:lnTo>
                                <a:pt x="24688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12.769989pt;margin-top:2.908993pt;width:19.440pt;height:.84pt;mso-position-horizontal-relative:page;mso-position-vertical-relative:paragraph;z-index:15736320" id="docshape64" filled="true" fillcolor="#000000" stroked="false">
                <v:fill type="solid"/>
                <w10:wrap type="none"/>
              </v:rect>
            </w:pict>
          </mc:Fallback>
        </mc:AlternateContent>
      </w:r>
      <w:r>
        <w:rPr>
          <w:rFonts w:ascii="Cambria Math"/>
          <w:spacing w:val="-10"/>
          <w:sz w:val="20"/>
        </w:rPr>
        <w:t>=</w:t>
      </w:r>
    </w:p>
    <w:p>
      <w:pPr>
        <w:spacing w:line="264" w:lineRule="exact" w:before="0"/>
        <w:ind w:left="255" w:right="0" w:firstLine="0"/>
        <w:jc w:val="left"/>
        <w:rPr>
          <w:rFonts w:ascii="Cambria Math" w:hAnsi="Cambria Math" w:eastAsia="Cambria Math"/>
          <w:sz w:val="14"/>
        </w:rPr>
      </w:pPr>
      <w:r>
        <w:rPr>
          <w:rFonts w:ascii="Cambria Math" w:hAnsi="Cambria Math" w:eastAsia="Cambria Math"/>
          <w:spacing w:val="-4"/>
          <w:position w:val="8"/>
          <w:sz w:val="20"/>
        </w:rPr>
        <w:t>𝜓</w:t>
      </w:r>
      <w:r>
        <w:rPr>
          <w:rFonts w:ascii="Cambria Math" w:hAnsi="Cambria Math" w:eastAsia="Cambria Math"/>
          <w:spacing w:val="-4"/>
          <w:sz w:val="14"/>
        </w:rPr>
        <w:t>𝑡−1</w:t>
      </w:r>
    </w:p>
    <w:p>
      <w:pPr>
        <w:spacing w:after="0" w:line="264" w:lineRule="exact"/>
        <w:jc w:val="left"/>
        <w:rPr>
          <w:rFonts w:ascii="Cambria Math" w:hAnsi="Cambria Math" w:eastAsia="Cambria Math"/>
          <w:sz w:val="14"/>
        </w:rPr>
        <w:sectPr>
          <w:type w:val="continuous"/>
          <w:pgSz w:w="11910" w:h="16850"/>
          <w:pgMar w:header="0" w:footer="688" w:top="1120" w:bottom="0" w:left="0" w:right="0"/>
          <w:cols w:num="2" w:equalWidth="0">
            <w:col w:w="5960" w:space="40"/>
            <w:col w:w="5910"/>
          </w:cols>
        </w:sectPr>
      </w:pPr>
    </w:p>
    <w:p>
      <w:pPr>
        <w:pStyle w:val="BodyText"/>
        <w:spacing w:before="132"/>
        <w:ind w:left="1132" w:right="1195"/>
      </w:pPr>
      <w:r>
        <w:rPr/>
        <w:t>A growth rate greater than 1 indicates increasing occupancy, while a rate less than 1 indicates decreasing occupancy. A</w:t>
      </w:r>
      <w:r>
        <w:rPr>
          <w:spacing w:val="-1"/>
        </w:rPr>
        <w:t> </w:t>
      </w:r>
      <w:r>
        <w:rPr/>
        <w:t>rate of 1 shows no</w:t>
      </w:r>
      <w:r>
        <w:rPr>
          <w:spacing w:val="-1"/>
        </w:rPr>
        <w:t> </w:t>
      </w:r>
      <w:r>
        <w:rPr/>
        <w:t>change. To assess the</w:t>
      </w:r>
      <w:r>
        <w:rPr>
          <w:spacing w:val="-1"/>
        </w:rPr>
        <w:t> </w:t>
      </w:r>
      <w:r>
        <w:rPr/>
        <w:t>impact of fox control</w:t>
      </w:r>
      <w:r>
        <w:rPr>
          <w:spacing w:val="-1"/>
        </w:rPr>
        <w:t> </w:t>
      </w:r>
      <w:r>
        <w:rPr/>
        <w:t>on growth rates, we converted the average growth rate to a percentage and calculated the difference between locations with and without</w:t>
      </w:r>
      <w:r>
        <w:rPr/>
        <w:t> fox control. For instance, if the annual growth rates at a fox control location were 110%, 120%, 110%, 90%, 100%,</w:t>
      </w:r>
      <w:r>
        <w:rPr>
          <w:spacing w:val="-1"/>
        </w:rPr>
        <w:t> </w:t>
      </w:r>
      <w:r>
        <w:rPr/>
        <w:t>and</w:t>
      </w:r>
      <w:r>
        <w:rPr>
          <w:spacing w:val="-3"/>
        </w:rPr>
        <w:t> </w:t>
      </w:r>
      <w:r>
        <w:rPr/>
        <w:t>110%,</w:t>
      </w:r>
      <w:r>
        <w:rPr>
          <w:spacing w:val="-3"/>
        </w:rPr>
        <w:t> </w:t>
      </w:r>
      <w:r>
        <w:rPr/>
        <w:t>the</w:t>
      </w:r>
      <w:r>
        <w:rPr>
          <w:spacing w:val="-4"/>
        </w:rPr>
        <w:t> </w:t>
      </w:r>
      <w:r>
        <w:rPr/>
        <w:t>net</w:t>
      </w:r>
      <w:r>
        <w:rPr>
          <w:spacing w:val="-3"/>
        </w:rPr>
        <w:t> </w:t>
      </w:r>
      <w:r>
        <w:rPr/>
        <w:t>change</w:t>
      </w:r>
      <w:r>
        <w:rPr>
          <w:spacing w:val="-3"/>
        </w:rPr>
        <w:t> </w:t>
      </w:r>
      <w:r>
        <w:rPr/>
        <w:t>would</w:t>
      </w:r>
      <w:r>
        <w:rPr>
          <w:spacing w:val="-3"/>
        </w:rPr>
        <w:t> </w:t>
      </w:r>
      <w:r>
        <w:rPr/>
        <w:t>be</w:t>
      </w:r>
      <w:r>
        <w:rPr>
          <w:spacing w:val="-3"/>
        </w:rPr>
        <w:t> </w:t>
      </w:r>
      <w:r>
        <w:rPr/>
        <w:t>144%,</w:t>
      </w:r>
      <w:r>
        <w:rPr>
          <w:spacing w:val="-3"/>
        </w:rPr>
        <w:t> </w:t>
      </w:r>
      <w:r>
        <w:rPr/>
        <w:t>with</w:t>
      </w:r>
      <w:r>
        <w:rPr>
          <w:spacing w:val="-1"/>
        </w:rPr>
        <w:t> </w:t>
      </w:r>
      <w:r>
        <w:rPr/>
        <w:t>a</w:t>
      </w:r>
      <w:r>
        <w:rPr>
          <w:spacing w:val="-4"/>
        </w:rPr>
        <w:t> </w:t>
      </w:r>
      <w:r>
        <w:rPr/>
        <w:t>geometric</w:t>
      </w:r>
      <w:r>
        <w:rPr>
          <w:spacing w:val="-2"/>
        </w:rPr>
        <w:t> </w:t>
      </w:r>
      <w:r>
        <w:rPr/>
        <w:t>mean</w:t>
      </w:r>
      <w:r>
        <w:rPr>
          <w:spacing w:val="-2"/>
        </w:rPr>
        <w:t> </w:t>
      </w:r>
      <w:r>
        <w:rPr/>
        <w:t>of</w:t>
      </w:r>
      <w:r>
        <w:rPr>
          <w:spacing w:val="-3"/>
        </w:rPr>
        <w:t> </w:t>
      </w:r>
      <w:r>
        <w:rPr/>
        <w:t>106.2%,</w:t>
      </w:r>
      <w:r>
        <w:rPr>
          <w:spacing w:val="-3"/>
        </w:rPr>
        <w:t> </w:t>
      </w:r>
      <w:r>
        <w:rPr/>
        <w:t>indicating</w:t>
      </w:r>
      <w:r>
        <w:rPr>
          <w:spacing w:val="-3"/>
        </w:rPr>
        <w:t> </w:t>
      </w:r>
      <w:r>
        <w:rPr/>
        <w:t>a</w:t>
      </w:r>
      <w:r>
        <w:rPr>
          <w:spacing w:val="-2"/>
        </w:rPr>
        <w:t> </w:t>
      </w:r>
      <w:r>
        <w:rPr/>
        <w:t>6%</w:t>
      </w:r>
      <w:r>
        <w:rPr>
          <w:spacing w:val="-3"/>
        </w:rPr>
        <w:t> </w:t>
      </w:r>
      <w:r>
        <w:rPr/>
        <w:t>annual increase in site occupancy.</w:t>
      </w:r>
    </w:p>
    <w:p>
      <w:pPr>
        <w:pStyle w:val="BodyText"/>
        <w:spacing w:before="120"/>
        <w:ind w:left="1132" w:right="1172"/>
      </w:pPr>
      <w:r>
        <w:rPr/>
        <w:t>The models were constructed in JAGS (Plummer 2003) via R (R Core Team 2022) using the package</w:t>
      </w:r>
      <w:r>
        <w:rPr/>
        <w:t> R2jags (Su and Yajima 2015). Convergence was achieved when the Gelman-Rubin convergence diagnostic (scale reduction factor) was less than 1.05 for all parameters (Gelman et al. 2004). Model selection involved running</w:t>
      </w:r>
      <w:r>
        <w:rPr>
          <w:spacing w:val="-3"/>
        </w:rPr>
        <w:t> </w:t>
      </w:r>
      <w:r>
        <w:rPr/>
        <w:t>models</w:t>
      </w:r>
      <w:r>
        <w:rPr>
          <w:spacing w:val="-3"/>
        </w:rPr>
        <w:t> </w:t>
      </w:r>
      <w:r>
        <w:rPr/>
        <w:t>with</w:t>
      </w:r>
      <w:r>
        <w:rPr>
          <w:spacing w:val="-2"/>
        </w:rPr>
        <w:t> </w:t>
      </w:r>
      <w:r>
        <w:rPr/>
        <w:t>each</w:t>
      </w:r>
      <w:r>
        <w:rPr>
          <w:spacing w:val="-3"/>
        </w:rPr>
        <w:t> </w:t>
      </w:r>
      <w:r>
        <w:rPr/>
        <w:t>variable</w:t>
      </w:r>
      <w:r>
        <w:rPr>
          <w:spacing w:val="-3"/>
        </w:rPr>
        <w:t> </w:t>
      </w:r>
      <w:r>
        <w:rPr/>
        <w:t>separately</w:t>
      </w:r>
      <w:r>
        <w:rPr>
          <w:spacing w:val="-3"/>
        </w:rPr>
        <w:t> </w:t>
      </w:r>
      <w:r>
        <w:rPr/>
        <w:t>and</w:t>
      </w:r>
      <w:r>
        <w:rPr>
          <w:spacing w:val="-3"/>
        </w:rPr>
        <w:t> </w:t>
      </w:r>
      <w:r>
        <w:rPr/>
        <w:t>including</w:t>
      </w:r>
      <w:r>
        <w:rPr>
          <w:spacing w:val="-3"/>
        </w:rPr>
        <w:t> </w:t>
      </w:r>
      <w:r>
        <w:rPr/>
        <w:t>a</w:t>
      </w:r>
      <w:r>
        <w:rPr>
          <w:spacing w:val="-4"/>
        </w:rPr>
        <w:t> </w:t>
      </w:r>
      <w:r>
        <w:rPr/>
        <w:t>variable</w:t>
      </w:r>
      <w:r>
        <w:rPr>
          <w:spacing w:val="-2"/>
        </w:rPr>
        <w:t> </w:t>
      </w:r>
      <w:r>
        <w:rPr/>
        <w:t>in</w:t>
      </w:r>
      <w:r>
        <w:rPr>
          <w:spacing w:val="-3"/>
        </w:rPr>
        <w:t> </w:t>
      </w:r>
      <w:r>
        <w:rPr/>
        <w:t>the</w:t>
      </w:r>
      <w:r>
        <w:rPr>
          <w:spacing w:val="-4"/>
        </w:rPr>
        <w:t> </w:t>
      </w:r>
      <w:r>
        <w:rPr/>
        <w:t>final</w:t>
      </w:r>
      <w:r>
        <w:rPr>
          <w:spacing w:val="-3"/>
        </w:rPr>
        <w:t> </w:t>
      </w:r>
      <w:r>
        <w:rPr/>
        <w:t>model</w:t>
      </w:r>
      <w:r>
        <w:rPr>
          <w:spacing w:val="-3"/>
        </w:rPr>
        <w:t> </w:t>
      </w:r>
      <w:r>
        <w:rPr/>
        <w:t>if</w:t>
      </w:r>
      <w:r>
        <w:rPr>
          <w:spacing w:val="-3"/>
        </w:rPr>
        <w:t> </w:t>
      </w:r>
      <w:r>
        <w:rPr/>
        <w:t>its</w:t>
      </w:r>
      <w:r>
        <w:rPr>
          <w:spacing w:val="-3"/>
        </w:rPr>
        <w:t> </w:t>
      </w:r>
      <w:r>
        <w:rPr/>
        <w:t>95%</w:t>
      </w:r>
      <w:r>
        <w:rPr>
          <w:spacing w:val="-3"/>
        </w:rPr>
        <w:t> </w:t>
      </w:r>
      <w:r>
        <w:rPr/>
        <w:t>confidence interval excluded 0, indicating its importance.</w:t>
      </w:r>
    </w:p>
    <w:p>
      <w:pPr>
        <w:pStyle w:val="BodyText"/>
        <w:spacing w:before="155"/>
      </w:pPr>
    </w:p>
    <w:p>
      <w:pPr>
        <w:pStyle w:val="Heading3"/>
        <w:numPr>
          <w:ilvl w:val="1"/>
          <w:numId w:val="5"/>
        </w:numPr>
        <w:tabs>
          <w:tab w:pos="1699" w:val="left" w:leader="none"/>
        </w:tabs>
        <w:spacing w:line="240" w:lineRule="auto" w:before="0" w:after="0"/>
        <w:ind w:left="1699" w:right="0" w:hanging="567"/>
        <w:jc w:val="left"/>
      </w:pPr>
      <w:bookmarkStart w:name="_TOC_250012" w:id="12"/>
      <w:r>
        <w:rPr>
          <w:color w:val="2D1E66"/>
        </w:rPr>
        <w:t>Fox</w:t>
      </w:r>
      <w:r>
        <w:rPr>
          <w:color w:val="2D1E66"/>
          <w:spacing w:val="-2"/>
        </w:rPr>
        <w:t> </w:t>
      </w:r>
      <w:r>
        <w:rPr>
          <w:color w:val="2D1E66"/>
        </w:rPr>
        <w:t>and</w:t>
      </w:r>
      <w:r>
        <w:rPr>
          <w:color w:val="2D1E66"/>
          <w:spacing w:val="-2"/>
        </w:rPr>
        <w:t> </w:t>
      </w:r>
      <w:r>
        <w:rPr>
          <w:color w:val="2D1E66"/>
        </w:rPr>
        <w:t>feral</w:t>
      </w:r>
      <w:r>
        <w:rPr>
          <w:color w:val="2D1E66"/>
          <w:spacing w:val="-2"/>
        </w:rPr>
        <w:t> </w:t>
      </w:r>
      <w:r>
        <w:rPr>
          <w:color w:val="2D1E66"/>
        </w:rPr>
        <w:t>cat</w:t>
      </w:r>
      <w:r>
        <w:rPr>
          <w:color w:val="2D1E66"/>
          <w:spacing w:val="-1"/>
        </w:rPr>
        <w:t> </w:t>
      </w:r>
      <w:bookmarkEnd w:id="12"/>
      <w:r>
        <w:rPr>
          <w:color w:val="2D1E66"/>
          <w:spacing w:val="-2"/>
        </w:rPr>
        <w:t>activity</w:t>
      </w:r>
    </w:p>
    <w:p>
      <w:pPr>
        <w:pStyle w:val="BodyText"/>
        <w:spacing w:before="112"/>
        <w:ind w:left="1132" w:right="1204"/>
      </w:pPr>
      <w:r>
        <w:rPr/>
        <w:t>From 2013 to 2023, we used presence and absence data from 40 camera traps in three fox-controlled (FCMLs)</w:t>
      </w:r>
      <w:r>
        <w:rPr>
          <w:spacing w:val="-4"/>
        </w:rPr>
        <w:t> </w:t>
      </w:r>
      <w:r>
        <w:rPr/>
        <w:t>and</w:t>
      </w:r>
      <w:r>
        <w:rPr>
          <w:spacing w:val="-3"/>
        </w:rPr>
        <w:t> </w:t>
      </w:r>
      <w:r>
        <w:rPr/>
        <w:t>three</w:t>
      </w:r>
      <w:r>
        <w:rPr>
          <w:spacing w:val="-3"/>
        </w:rPr>
        <w:t> </w:t>
      </w:r>
      <w:r>
        <w:rPr/>
        <w:t>non-fox-controlled</w:t>
      </w:r>
      <w:r>
        <w:rPr>
          <w:spacing w:val="-4"/>
        </w:rPr>
        <w:t> </w:t>
      </w:r>
      <w:r>
        <w:rPr/>
        <w:t>monitoring</w:t>
      </w:r>
      <w:r>
        <w:rPr>
          <w:spacing w:val="-3"/>
        </w:rPr>
        <w:t> </w:t>
      </w:r>
      <w:r>
        <w:rPr/>
        <w:t>locations</w:t>
      </w:r>
      <w:r>
        <w:rPr>
          <w:spacing w:val="-4"/>
        </w:rPr>
        <w:t> </w:t>
      </w:r>
      <w:r>
        <w:rPr/>
        <w:t>(NFCMLs)</w:t>
      </w:r>
      <w:r>
        <w:rPr>
          <w:spacing w:val="-4"/>
        </w:rPr>
        <w:t> </w:t>
      </w:r>
      <w:r>
        <w:rPr/>
        <w:t>to</w:t>
      </w:r>
      <w:r>
        <w:rPr>
          <w:spacing w:val="-3"/>
        </w:rPr>
        <w:t> </w:t>
      </w:r>
      <w:r>
        <w:rPr/>
        <w:t>calculate</w:t>
      </w:r>
      <w:r>
        <w:rPr>
          <w:spacing w:val="-1"/>
        </w:rPr>
        <w:t> </w:t>
      </w:r>
      <w:r>
        <w:rPr/>
        <w:t>an</w:t>
      </w:r>
      <w:r>
        <w:rPr>
          <w:spacing w:val="-6"/>
        </w:rPr>
        <w:t> </w:t>
      </w:r>
      <w:r>
        <w:rPr/>
        <w:t>activity</w:t>
      </w:r>
      <w:r>
        <w:rPr>
          <w:spacing w:val="-4"/>
        </w:rPr>
        <w:t> </w:t>
      </w:r>
      <w:r>
        <w:rPr/>
        <w:t>index</w:t>
      </w:r>
      <w:r>
        <w:rPr>
          <w:spacing w:val="-4"/>
        </w:rPr>
        <w:t> </w:t>
      </w:r>
      <w:r>
        <w:rPr/>
        <w:t>for</w:t>
      </w:r>
      <w:r>
        <w:rPr>
          <w:spacing w:val="-5"/>
        </w:rPr>
        <w:t> </w:t>
      </w:r>
      <w:r>
        <w:rPr/>
        <w:t>foxes and feral cats.</w:t>
      </w:r>
    </w:p>
    <w:p>
      <w:pPr>
        <w:pStyle w:val="BodyText"/>
        <w:spacing w:before="121"/>
        <w:ind w:left="1132" w:right="1204"/>
      </w:pPr>
      <w:r>
        <w:rPr/>
        <w:t>The</w:t>
      </w:r>
      <w:r>
        <w:rPr>
          <w:spacing w:val="-5"/>
        </w:rPr>
        <w:t> </w:t>
      </w:r>
      <w:r>
        <w:rPr/>
        <w:t>annual</w:t>
      </w:r>
      <w:r>
        <w:rPr>
          <w:spacing w:val="-3"/>
        </w:rPr>
        <w:t> </w:t>
      </w:r>
      <w:r>
        <w:rPr/>
        <w:t>activity</w:t>
      </w:r>
      <w:r>
        <w:rPr>
          <w:spacing w:val="-1"/>
        </w:rPr>
        <w:t> </w:t>
      </w:r>
      <w:r>
        <w:rPr/>
        <w:t>index</w:t>
      </w:r>
      <w:r>
        <w:rPr>
          <w:spacing w:val="-3"/>
        </w:rPr>
        <w:t> </w:t>
      </w:r>
      <w:r>
        <w:rPr/>
        <w:t>was</w:t>
      </w:r>
      <w:r>
        <w:rPr>
          <w:spacing w:val="-3"/>
        </w:rPr>
        <w:t> </w:t>
      </w:r>
      <w:r>
        <w:rPr/>
        <w:t>scaled</w:t>
      </w:r>
      <w:r>
        <w:rPr>
          <w:spacing w:val="-5"/>
        </w:rPr>
        <w:t> </w:t>
      </w:r>
      <w:r>
        <w:rPr/>
        <w:t>to</w:t>
      </w:r>
      <w:r>
        <w:rPr>
          <w:spacing w:val="-4"/>
        </w:rPr>
        <w:t> </w:t>
      </w:r>
      <w:r>
        <w:rPr/>
        <w:t>a</w:t>
      </w:r>
      <w:r>
        <w:rPr>
          <w:spacing w:val="-3"/>
        </w:rPr>
        <w:t> </w:t>
      </w:r>
      <w:r>
        <w:rPr/>
        <w:t>per</w:t>
      </w:r>
      <w:r>
        <w:rPr>
          <w:spacing w:val="-3"/>
        </w:rPr>
        <w:t> </w:t>
      </w:r>
      <w:r>
        <w:rPr/>
        <w:t>1500</w:t>
      </w:r>
      <w:r>
        <w:rPr>
          <w:spacing w:val="-2"/>
        </w:rPr>
        <w:t> </w:t>
      </w:r>
      <w:r>
        <w:rPr/>
        <w:t>camera</w:t>
      </w:r>
      <w:r>
        <w:rPr>
          <w:spacing w:val="-4"/>
        </w:rPr>
        <w:t> </w:t>
      </w:r>
      <w:r>
        <w:rPr/>
        <w:t>nights</w:t>
      </w:r>
      <w:r>
        <w:rPr>
          <w:spacing w:val="-3"/>
        </w:rPr>
        <w:t> </w:t>
      </w:r>
      <w:r>
        <w:rPr/>
        <w:t>basis</w:t>
      </w:r>
      <w:r>
        <w:rPr>
          <w:spacing w:val="-1"/>
        </w:rPr>
        <w:t> </w:t>
      </w:r>
      <w:r>
        <w:rPr/>
        <w:t>and</w:t>
      </w:r>
      <w:r>
        <w:rPr>
          <w:spacing w:val="-2"/>
        </w:rPr>
        <w:t> </w:t>
      </w:r>
      <w:r>
        <w:rPr/>
        <w:t>analysed</w:t>
      </w:r>
      <w:r>
        <w:rPr>
          <w:spacing w:val="-5"/>
        </w:rPr>
        <w:t> </w:t>
      </w:r>
      <w:r>
        <w:rPr/>
        <w:t>using</w:t>
      </w:r>
      <w:r>
        <w:rPr>
          <w:spacing w:val="-2"/>
        </w:rPr>
        <w:t> </w:t>
      </w:r>
      <w:r>
        <w:rPr/>
        <w:t>a</w:t>
      </w:r>
      <w:r>
        <w:rPr>
          <w:spacing w:val="-5"/>
        </w:rPr>
        <w:t> </w:t>
      </w:r>
      <w:r>
        <w:rPr/>
        <w:t>negative binomial regression within a Bayesian framework (McCarthy, 2007; Hilbe, 2011). Five models were developed to explore differences between locations and temporal changes.</w:t>
      </w:r>
    </w:p>
    <w:p>
      <w:pPr>
        <w:pStyle w:val="ListParagraph"/>
        <w:numPr>
          <w:ilvl w:val="0"/>
          <w:numId w:val="8"/>
        </w:numPr>
        <w:tabs>
          <w:tab w:pos="1851" w:val="left" w:leader="none"/>
        </w:tabs>
        <w:spacing w:line="240" w:lineRule="auto" w:before="150" w:after="0"/>
        <w:ind w:left="1851" w:right="0" w:hanging="358"/>
        <w:jc w:val="left"/>
        <w:rPr>
          <w:sz w:val="20"/>
        </w:rPr>
      </w:pPr>
      <w:r>
        <w:rPr>
          <w:sz w:val="20"/>
        </w:rPr>
        <w:t>Null</w:t>
      </w:r>
      <w:r>
        <w:rPr>
          <w:spacing w:val="-9"/>
          <w:sz w:val="20"/>
        </w:rPr>
        <w:t> </w:t>
      </w:r>
      <w:r>
        <w:rPr>
          <w:sz w:val="20"/>
        </w:rPr>
        <w:t>Model:</w:t>
      </w:r>
      <w:r>
        <w:rPr>
          <w:spacing w:val="-5"/>
          <w:sz w:val="20"/>
        </w:rPr>
        <w:t> </w:t>
      </w:r>
      <w:r>
        <w:rPr>
          <w:sz w:val="20"/>
        </w:rPr>
        <w:t>Assumes</w:t>
      </w:r>
      <w:r>
        <w:rPr>
          <w:spacing w:val="-7"/>
          <w:sz w:val="20"/>
        </w:rPr>
        <w:t> </w:t>
      </w:r>
      <w:r>
        <w:rPr>
          <w:sz w:val="20"/>
        </w:rPr>
        <w:t>the</w:t>
      </w:r>
      <w:r>
        <w:rPr>
          <w:spacing w:val="-7"/>
          <w:sz w:val="20"/>
        </w:rPr>
        <w:t> </w:t>
      </w:r>
      <w:r>
        <w:rPr>
          <w:sz w:val="20"/>
        </w:rPr>
        <w:t>activity</w:t>
      </w:r>
      <w:r>
        <w:rPr>
          <w:spacing w:val="-7"/>
          <w:sz w:val="20"/>
        </w:rPr>
        <w:t> </w:t>
      </w:r>
      <w:r>
        <w:rPr>
          <w:sz w:val="20"/>
        </w:rPr>
        <w:t>index</w:t>
      </w:r>
      <w:r>
        <w:rPr>
          <w:spacing w:val="-6"/>
          <w:sz w:val="20"/>
        </w:rPr>
        <w:t> </w:t>
      </w:r>
      <w:r>
        <w:rPr>
          <w:sz w:val="20"/>
        </w:rPr>
        <w:t>is</w:t>
      </w:r>
      <w:r>
        <w:rPr>
          <w:spacing w:val="-7"/>
          <w:sz w:val="20"/>
        </w:rPr>
        <w:t> </w:t>
      </w:r>
      <w:r>
        <w:rPr>
          <w:sz w:val="20"/>
        </w:rPr>
        <w:t>constant</w:t>
      </w:r>
      <w:r>
        <w:rPr>
          <w:spacing w:val="-5"/>
          <w:sz w:val="20"/>
        </w:rPr>
        <w:t> </w:t>
      </w:r>
      <w:r>
        <w:rPr>
          <w:sz w:val="20"/>
        </w:rPr>
        <w:t>across</w:t>
      </w:r>
      <w:r>
        <w:rPr>
          <w:spacing w:val="-7"/>
          <w:sz w:val="20"/>
        </w:rPr>
        <w:t> </w:t>
      </w:r>
      <w:r>
        <w:rPr>
          <w:sz w:val="20"/>
        </w:rPr>
        <w:t>all</w:t>
      </w:r>
      <w:r>
        <w:rPr>
          <w:spacing w:val="-6"/>
          <w:sz w:val="20"/>
        </w:rPr>
        <w:t> </w:t>
      </w:r>
      <w:r>
        <w:rPr>
          <w:sz w:val="20"/>
        </w:rPr>
        <w:t>locations</w:t>
      </w:r>
      <w:r>
        <w:rPr>
          <w:spacing w:val="-7"/>
          <w:sz w:val="20"/>
        </w:rPr>
        <w:t> </w:t>
      </w:r>
      <w:r>
        <w:rPr>
          <w:sz w:val="20"/>
        </w:rPr>
        <w:t>and</w:t>
      </w:r>
      <w:r>
        <w:rPr>
          <w:spacing w:val="-7"/>
          <w:sz w:val="20"/>
        </w:rPr>
        <w:t> </w:t>
      </w:r>
      <w:r>
        <w:rPr>
          <w:spacing w:val="-2"/>
          <w:sz w:val="20"/>
        </w:rPr>
        <w:t>years.</w:t>
      </w:r>
    </w:p>
    <w:p>
      <w:pPr>
        <w:pStyle w:val="ListParagraph"/>
        <w:numPr>
          <w:ilvl w:val="0"/>
          <w:numId w:val="8"/>
        </w:numPr>
        <w:tabs>
          <w:tab w:pos="1851" w:val="left" w:leader="none"/>
        </w:tabs>
        <w:spacing w:line="240" w:lineRule="auto" w:before="39" w:after="0"/>
        <w:ind w:left="1851" w:right="0" w:hanging="358"/>
        <w:jc w:val="left"/>
        <w:rPr>
          <w:sz w:val="20"/>
        </w:rPr>
      </w:pPr>
      <w:r>
        <w:rPr>
          <w:sz w:val="20"/>
        </w:rPr>
        <w:t>Location</w:t>
      </w:r>
      <w:r>
        <w:rPr>
          <w:spacing w:val="-7"/>
          <w:sz w:val="20"/>
        </w:rPr>
        <w:t> </w:t>
      </w:r>
      <w:r>
        <w:rPr>
          <w:sz w:val="20"/>
        </w:rPr>
        <w:t>Model:</w:t>
      </w:r>
      <w:r>
        <w:rPr>
          <w:spacing w:val="-5"/>
          <w:sz w:val="20"/>
        </w:rPr>
        <w:t> </w:t>
      </w:r>
      <w:r>
        <w:rPr>
          <w:sz w:val="20"/>
        </w:rPr>
        <w:t>Assumes</w:t>
      </w:r>
      <w:r>
        <w:rPr>
          <w:spacing w:val="-6"/>
          <w:sz w:val="20"/>
        </w:rPr>
        <w:t> </w:t>
      </w:r>
      <w:r>
        <w:rPr>
          <w:sz w:val="20"/>
        </w:rPr>
        <w:t>the</w:t>
      </w:r>
      <w:r>
        <w:rPr>
          <w:spacing w:val="-8"/>
          <w:sz w:val="20"/>
        </w:rPr>
        <w:t> </w:t>
      </w:r>
      <w:r>
        <w:rPr>
          <w:sz w:val="20"/>
        </w:rPr>
        <w:t>activity</w:t>
      </w:r>
      <w:r>
        <w:rPr>
          <w:spacing w:val="-7"/>
          <w:sz w:val="20"/>
        </w:rPr>
        <w:t> </w:t>
      </w:r>
      <w:r>
        <w:rPr>
          <w:sz w:val="20"/>
        </w:rPr>
        <w:t>index</w:t>
      </w:r>
      <w:r>
        <w:rPr>
          <w:spacing w:val="-6"/>
          <w:sz w:val="20"/>
        </w:rPr>
        <w:t> </w:t>
      </w:r>
      <w:r>
        <w:rPr>
          <w:sz w:val="20"/>
        </w:rPr>
        <w:t>varies</w:t>
      </w:r>
      <w:r>
        <w:rPr>
          <w:spacing w:val="-6"/>
          <w:sz w:val="20"/>
        </w:rPr>
        <w:t> </w:t>
      </w:r>
      <w:r>
        <w:rPr>
          <w:sz w:val="20"/>
        </w:rPr>
        <w:t>by</w:t>
      </w:r>
      <w:r>
        <w:rPr>
          <w:spacing w:val="-7"/>
          <w:sz w:val="20"/>
        </w:rPr>
        <w:t> </w:t>
      </w:r>
      <w:r>
        <w:rPr>
          <w:sz w:val="20"/>
        </w:rPr>
        <w:t>location</w:t>
      </w:r>
      <w:r>
        <w:rPr>
          <w:spacing w:val="-7"/>
          <w:sz w:val="20"/>
        </w:rPr>
        <w:t> </w:t>
      </w:r>
      <w:r>
        <w:rPr>
          <w:sz w:val="20"/>
        </w:rPr>
        <w:t>but</w:t>
      </w:r>
      <w:r>
        <w:rPr>
          <w:spacing w:val="-7"/>
          <w:sz w:val="20"/>
        </w:rPr>
        <w:t> </w:t>
      </w:r>
      <w:r>
        <w:rPr>
          <w:sz w:val="20"/>
        </w:rPr>
        <w:t>is</w:t>
      </w:r>
      <w:r>
        <w:rPr>
          <w:spacing w:val="-6"/>
          <w:sz w:val="20"/>
        </w:rPr>
        <w:t> </w:t>
      </w:r>
      <w:r>
        <w:rPr>
          <w:sz w:val="20"/>
        </w:rPr>
        <w:t>constant</w:t>
      </w:r>
      <w:r>
        <w:rPr>
          <w:spacing w:val="-5"/>
          <w:sz w:val="20"/>
        </w:rPr>
        <w:t> </w:t>
      </w:r>
      <w:r>
        <w:rPr>
          <w:sz w:val="20"/>
        </w:rPr>
        <w:t>over</w:t>
      </w:r>
      <w:r>
        <w:rPr>
          <w:spacing w:val="-5"/>
          <w:sz w:val="20"/>
        </w:rPr>
        <w:t> </w:t>
      </w:r>
      <w:r>
        <w:rPr>
          <w:spacing w:val="-2"/>
          <w:sz w:val="20"/>
        </w:rPr>
        <w:t>years.</w:t>
      </w:r>
    </w:p>
    <w:p>
      <w:pPr>
        <w:pStyle w:val="ListParagraph"/>
        <w:numPr>
          <w:ilvl w:val="0"/>
          <w:numId w:val="8"/>
        </w:numPr>
        <w:tabs>
          <w:tab w:pos="1851" w:val="left" w:leader="none"/>
          <w:tab w:pos="1853" w:val="left" w:leader="none"/>
        </w:tabs>
        <w:spacing w:line="280" w:lineRule="auto" w:before="42" w:after="0"/>
        <w:ind w:left="1853" w:right="1667" w:hanging="360"/>
        <w:jc w:val="left"/>
        <w:rPr>
          <w:sz w:val="20"/>
        </w:rPr>
      </w:pPr>
      <w:r>
        <w:rPr>
          <w:sz w:val="20"/>
        </w:rPr>
        <w:t>Independent</w:t>
      </w:r>
      <w:r>
        <w:rPr>
          <w:spacing w:val="-4"/>
          <w:sz w:val="20"/>
        </w:rPr>
        <w:t> </w:t>
      </w:r>
      <w:r>
        <w:rPr>
          <w:sz w:val="20"/>
        </w:rPr>
        <w:t>Location</w:t>
      </w:r>
      <w:r>
        <w:rPr>
          <w:spacing w:val="-6"/>
          <w:sz w:val="20"/>
        </w:rPr>
        <w:t> </w:t>
      </w:r>
      <w:r>
        <w:rPr>
          <w:sz w:val="20"/>
        </w:rPr>
        <w:t>and</w:t>
      </w:r>
      <w:r>
        <w:rPr>
          <w:spacing w:val="-5"/>
          <w:sz w:val="20"/>
        </w:rPr>
        <w:t> </w:t>
      </w:r>
      <w:r>
        <w:rPr>
          <w:sz w:val="20"/>
        </w:rPr>
        <w:t>Year</w:t>
      </w:r>
      <w:r>
        <w:rPr>
          <w:spacing w:val="-3"/>
          <w:sz w:val="20"/>
        </w:rPr>
        <w:t> </w:t>
      </w:r>
      <w:r>
        <w:rPr>
          <w:sz w:val="20"/>
        </w:rPr>
        <w:t>Model:</w:t>
      </w:r>
      <w:r>
        <w:rPr>
          <w:spacing w:val="-4"/>
          <w:sz w:val="20"/>
        </w:rPr>
        <w:t> </w:t>
      </w:r>
      <w:r>
        <w:rPr>
          <w:sz w:val="20"/>
        </w:rPr>
        <w:t>Assumes</w:t>
      </w:r>
      <w:r>
        <w:rPr>
          <w:spacing w:val="-5"/>
          <w:sz w:val="20"/>
        </w:rPr>
        <w:t> </w:t>
      </w:r>
      <w:r>
        <w:rPr>
          <w:sz w:val="20"/>
        </w:rPr>
        <w:t>the</w:t>
      </w:r>
      <w:r>
        <w:rPr>
          <w:spacing w:val="-4"/>
          <w:sz w:val="20"/>
        </w:rPr>
        <w:t> </w:t>
      </w:r>
      <w:r>
        <w:rPr>
          <w:sz w:val="20"/>
        </w:rPr>
        <w:t>activity</w:t>
      </w:r>
      <w:r>
        <w:rPr>
          <w:spacing w:val="-5"/>
          <w:sz w:val="20"/>
        </w:rPr>
        <w:t> </w:t>
      </w:r>
      <w:r>
        <w:rPr>
          <w:sz w:val="20"/>
        </w:rPr>
        <w:t>index</w:t>
      </w:r>
      <w:r>
        <w:rPr>
          <w:spacing w:val="-5"/>
          <w:sz w:val="20"/>
        </w:rPr>
        <w:t> </w:t>
      </w:r>
      <w:r>
        <w:rPr>
          <w:sz w:val="20"/>
        </w:rPr>
        <w:t>varies</w:t>
      </w:r>
      <w:r>
        <w:rPr>
          <w:spacing w:val="-5"/>
          <w:sz w:val="20"/>
        </w:rPr>
        <w:t> </w:t>
      </w:r>
      <w:r>
        <w:rPr>
          <w:sz w:val="20"/>
        </w:rPr>
        <w:t>independently</w:t>
      </w:r>
      <w:r>
        <w:rPr>
          <w:spacing w:val="-5"/>
          <w:sz w:val="20"/>
        </w:rPr>
        <w:t> </w:t>
      </w:r>
      <w:r>
        <w:rPr>
          <w:sz w:val="20"/>
        </w:rPr>
        <w:t>across locations and years.</w:t>
      </w:r>
    </w:p>
    <w:p>
      <w:pPr>
        <w:pStyle w:val="ListParagraph"/>
        <w:numPr>
          <w:ilvl w:val="0"/>
          <w:numId w:val="8"/>
        </w:numPr>
        <w:tabs>
          <w:tab w:pos="1851" w:val="left" w:leader="none"/>
          <w:tab w:pos="1853" w:val="left" w:leader="none"/>
        </w:tabs>
        <w:spacing w:line="280" w:lineRule="auto" w:before="2" w:after="0"/>
        <w:ind w:left="1853" w:right="1554" w:hanging="360"/>
        <w:jc w:val="left"/>
        <w:rPr>
          <w:sz w:val="20"/>
        </w:rPr>
      </w:pPr>
      <w:r>
        <w:rPr>
          <w:sz w:val="20"/>
        </w:rPr>
        <w:t>Interacting</w:t>
      </w:r>
      <w:r>
        <w:rPr>
          <w:spacing w:val="-4"/>
          <w:sz w:val="20"/>
        </w:rPr>
        <w:t> </w:t>
      </w:r>
      <w:r>
        <w:rPr>
          <w:sz w:val="20"/>
        </w:rPr>
        <w:t>Location</w:t>
      </w:r>
      <w:r>
        <w:rPr>
          <w:spacing w:val="-3"/>
          <w:sz w:val="20"/>
        </w:rPr>
        <w:t> </w:t>
      </w:r>
      <w:r>
        <w:rPr>
          <w:sz w:val="20"/>
        </w:rPr>
        <w:t>and</w:t>
      </w:r>
      <w:r>
        <w:rPr>
          <w:spacing w:val="-4"/>
          <w:sz w:val="20"/>
        </w:rPr>
        <w:t> </w:t>
      </w:r>
      <w:r>
        <w:rPr>
          <w:sz w:val="20"/>
        </w:rPr>
        <w:t>Year</w:t>
      </w:r>
      <w:r>
        <w:rPr>
          <w:spacing w:val="-4"/>
          <w:sz w:val="20"/>
        </w:rPr>
        <w:t> </w:t>
      </w:r>
      <w:r>
        <w:rPr>
          <w:sz w:val="20"/>
        </w:rPr>
        <w:t>Model:</w:t>
      </w:r>
      <w:r>
        <w:rPr>
          <w:spacing w:val="-3"/>
          <w:sz w:val="20"/>
        </w:rPr>
        <w:t> </w:t>
      </w:r>
      <w:r>
        <w:rPr>
          <w:sz w:val="20"/>
        </w:rPr>
        <w:t>Assumes</w:t>
      </w:r>
      <w:r>
        <w:rPr>
          <w:spacing w:val="-4"/>
          <w:sz w:val="20"/>
        </w:rPr>
        <w:t> </w:t>
      </w:r>
      <w:r>
        <w:rPr>
          <w:sz w:val="20"/>
        </w:rPr>
        <w:t>the</w:t>
      </w:r>
      <w:r>
        <w:rPr>
          <w:spacing w:val="-3"/>
          <w:sz w:val="20"/>
        </w:rPr>
        <w:t> </w:t>
      </w:r>
      <w:r>
        <w:rPr>
          <w:sz w:val="20"/>
        </w:rPr>
        <w:t>activity</w:t>
      </w:r>
      <w:r>
        <w:rPr>
          <w:spacing w:val="-4"/>
          <w:sz w:val="20"/>
        </w:rPr>
        <w:t> </w:t>
      </w:r>
      <w:r>
        <w:rPr>
          <w:sz w:val="20"/>
        </w:rPr>
        <w:t>index</w:t>
      </w:r>
      <w:r>
        <w:rPr>
          <w:spacing w:val="-4"/>
          <w:sz w:val="20"/>
        </w:rPr>
        <w:t> </w:t>
      </w:r>
      <w:r>
        <w:rPr>
          <w:sz w:val="20"/>
        </w:rPr>
        <w:t>varies</w:t>
      </w:r>
      <w:r>
        <w:rPr>
          <w:spacing w:val="-4"/>
          <w:sz w:val="20"/>
        </w:rPr>
        <w:t> </w:t>
      </w:r>
      <w:r>
        <w:rPr>
          <w:sz w:val="20"/>
        </w:rPr>
        <w:t>by</w:t>
      </w:r>
      <w:r>
        <w:rPr>
          <w:spacing w:val="-4"/>
          <w:sz w:val="20"/>
        </w:rPr>
        <w:t> </w:t>
      </w:r>
      <w:r>
        <w:rPr>
          <w:sz w:val="20"/>
        </w:rPr>
        <w:t>year</w:t>
      </w:r>
      <w:r>
        <w:rPr>
          <w:spacing w:val="-4"/>
          <w:sz w:val="20"/>
        </w:rPr>
        <w:t> </w:t>
      </w:r>
      <w:r>
        <w:rPr>
          <w:sz w:val="20"/>
        </w:rPr>
        <w:t>for</w:t>
      </w:r>
      <w:r>
        <w:rPr>
          <w:spacing w:val="-2"/>
          <w:sz w:val="20"/>
        </w:rPr>
        <w:t> </w:t>
      </w:r>
      <w:r>
        <w:rPr>
          <w:sz w:val="20"/>
        </w:rPr>
        <w:t>each</w:t>
      </w:r>
      <w:r>
        <w:rPr>
          <w:spacing w:val="-3"/>
          <w:sz w:val="20"/>
        </w:rPr>
        <w:t> </w:t>
      </w:r>
      <w:r>
        <w:rPr>
          <w:sz w:val="20"/>
        </w:rPr>
        <w:t>location </w:t>
      </w:r>
      <w:r>
        <w:rPr>
          <w:spacing w:val="-2"/>
          <w:sz w:val="20"/>
        </w:rPr>
        <w:t>separately.</w:t>
      </w:r>
    </w:p>
    <w:p>
      <w:pPr>
        <w:pStyle w:val="ListParagraph"/>
        <w:numPr>
          <w:ilvl w:val="0"/>
          <w:numId w:val="8"/>
        </w:numPr>
        <w:tabs>
          <w:tab w:pos="1851" w:val="left" w:leader="none"/>
          <w:tab w:pos="1853" w:val="left" w:leader="none"/>
        </w:tabs>
        <w:spacing w:line="283" w:lineRule="auto" w:before="2" w:after="0"/>
        <w:ind w:left="1853" w:right="1158" w:hanging="360"/>
        <w:jc w:val="left"/>
        <w:rPr>
          <w:sz w:val="20"/>
        </w:rPr>
      </w:pPr>
      <w:r>
        <w:rPr>
          <w:sz w:val="20"/>
        </w:rPr>
        <w:t>Location</w:t>
      </w:r>
      <w:r>
        <w:rPr>
          <w:spacing w:val="-3"/>
          <w:sz w:val="20"/>
        </w:rPr>
        <w:t> </w:t>
      </w:r>
      <w:r>
        <w:rPr>
          <w:sz w:val="20"/>
        </w:rPr>
        <w:t>and</w:t>
      </w:r>
      <w:r>
        <w:rPr>
          <w:spacing w:val="-2"/>
          <w:sz w:val="20"/>
        </w:rPr>
        <w:t> </w:t>
      </w:r>
      <w:r>
        <w:rPr>
          <w:sz w:val="20"/>
        </w:rPr>
        <w:t>Year</w:t>
      </w:r>
      <w:r>
        <w:rPr>
          <w:spacing w:val="-4"/>
          <w:sz w:val="20"/>
        </w:rPr>
        <w:t> </w:t>
      </w:r>
      <w:r>
        <w:rPr>
          <w:sz w:val="20"/>
        </w:rPr>
        <w:t>Model:</w:t>
      </w:r>
      <w:r>
        <w:rPr>
          <w:spacing w:val="-2"/>
          <w:sz w:val="20"/>
        </w:rPr>
        <w:t> </w:t>
      </w:r>
      <w:r>
        <w:rPr>
          <w:sz w:val="20"/>
        </w:rPr>
        <w:t>Assumes that</w:t>
      </w:r>
      <w:r>
        <w:rPr>
          <w:spacing w:val="-4"/>
          <w:sz w:val="20"/>
        </w:rPr>
        <w:t> </w:t>
      </w:r>
      <w:r>
        <w:rPr>
          <w:sz w:val="20"/>
        </w:rPr>
        <w:t>there</w:t>
      </w:r>
      <w:r>
        <w:rPr>
          <w:spacing w:val="-2"/>
          <w:sz w:val="20"/>
        </w:rPr>
        <w:t> </w:t>
      </w:r>
      <w:r>
        <w:rPr>
          <w:sz w:val="20"/>
        </w:rPr>
        <w:t>is</w:t>
      </w:r>
      <w:r>
        <w:rPr>
          <w:spacing w:val="-3"/>
          <w:sz w:val="20"/>
        </w:rPr>
        <w:t> </w:t>
      </w:r>
      <w:r>
        <w:rPr>
          <w:sz w:val="20"/>
        </w:rPr>
        <w:t>no</w:t>
      </w:r>
      <w:r>
        <w:rPr>
          <w:spacing w:val="-1"/>
          <w:sz w:val="20"/>
        </w:rPr>
        <w:t> </w:t>
      </w:r>
      <w:r>
        <w:rPr>
          <w:sz w:val="20"/>
        </w:rPr>
        <w:t>interaction</w:t>
      </w:r>
      <w:r>
        <w:rPr>
          <w:spacing w:val="-4"/>
          <w:sz w:val="20"/>
        </w:rPr>
        <w:t> </w:t>
      </w:r>
      <w:r>
        <w:rPr>
          <w:sz w:val="20"/>
        </w:rPr>
        <w:t>between</w:t>
      </w:r>
      <w:r>
        <w:rPr>
          <w:spacing w:val="-5"/>
          <w:sz w:val="20"/>
        </w:rPr>
        <w:t> </w:t>
      </w:r>
      <w:r>
        <w:rPr>
          <w:sz w:val="20"/>
        </w:rPr>
        <w:t>years</w:t>
      </w:r>
      <w:r>
        <w:rPr>
          <w:spacing w:val="-3"/>
          <w:sz w:val="20"/>
        </w:rPr>
        <w:t> </w:t>
      </w:r>
      <w:r>
        <w:rPr>
          <w:sz w:val="20"/>
        </w:rPr>
        <w:t>and</w:t>
      </w:r>
      <w:r>
        <w:rPr>
          <w:spacing w:val="-4"/>
          <w:sz w:val="20"/>
        </w:rPr>
        <w:t> </w:t>
      </w:r>
      <w:r>
        <w:rPr>
          <w:sz w:val="20"/>
        </w:rPr>
        <w:t>fox-control</w:t>
      </w:r>
      <w:r>
        <w:rPr>
          <w:spacing w:val="-5"/>
          <w:sz w:val="20"/>
        </w:rPr>
        <w:t> </w:t>
      </w:r>
      <w:r>
        <w:rPr>
          <w:sz w:val="20"/>
        </w:rPr>
        <w:t>status, with the activity index varying independently across locations and years.</w:t>
      </w:r>
    </w:p>
    <w:p>
      <w:pPr>
        <w:pStyle w:val="BodyText"/>
        <w:spacing w:before="86"/>
        <w:ind w:left="1132" w:right="1204"/>
      </w:pPr>
      <w:r>
        <w:rPr/>
        <w:t>Model comparison was done using leave-one-out cross-validation, with significance determined by 95% credible intervals excluding zero. Bayesian models were constructed in STAN using</w:t>
      </w:r>
      <w:r>
        <w:rPr>
          <w:spacing w:val="-1"/>
        </w:rPr>
        <w:t> </w:t>
      </w:r>
      <w:r>
        <w:rPr/>
        <w:t>(Carpenter et al. 2017) the brms package (Bürkner 2017) in R (R Core Team, 2021), with non-informative priors and No-U-Turn sampling.</w:t>
      </w:r>
      <w:r>
        <w:rPr>
          <w:spacing w:val="-5"/>
        </w:rPr>
        <w:t> </w:t>
      </w:r>
      <w:r>
        <w:rPr/>
        <w:t>Convergence</w:t>
      </w:r>
      <w:r>
        <w:rPr>
          <w:spacing w:val="-5"/>
        </w:rPr>
        <w:t> </w:t>
      </w:r>
      <w:r>
        <w:rPr/>
        <w:t>was</w:t>
      </w:r>
      <w:r>
        <w:rPr>
          <w:spacing w:val="-4"/>
        </w:rPr>
        <w:t> </w:t>
      </w:r>
      <w:r>
        <w:rPr/>
        <w:t>confirmed</w:t>
      </w:r>
      <w:r>
        <w:rPr>
          <w:spacing w:val="-5"/>
        </w:rPr>
        <w:t> </w:t>
      </w:r>
      <w:r>
        <w:rPr/>
        <w:t>visually</w:t>
      </w:r>
      <w:r>
        <w:rPr>
          <w:spacing w:val="-2"/>
        </w:rPr>
        <w:t> </w:t>
      </w:r>
      <w:r>
        <w:rPr/>
        <w:t>and</w:t>
      </w:r>
      <w:r>
        <w:rPr>
          <w:spacing w:val="-3"/>
        </w:rPr>
        <w:t> </w:t>
      </w:r>
      <w:r>
        <w:rPr/>
        <w:t>with the</w:t>
      </w:r>
      <w:r>
        <w:rPr>
          <w:spacing w:val="-3"/>
        </w:rPr>
        <w:t> </w:t>
      </w:r>
      <w:r>
        <w:rPr/>
        <w:t>Gelman-Rubin</w:t>
      </w:r>
      <w:r>
        <w:rPr>
          <w:spacing w:val="-5"/>
        </w:rPr>
        <w:t> </w:t>
      </w:r>
      <w:r>
        <w:rPr/>
        <w:t>diagnostic</w:t>
      </w:r>
      <w:r>
        <w:rPr>
          <w:spacing w:val="-2"/>
        </w:rPr>
        <w:t> </w:t>
      </w:r>
      <w:r>
        <w:rPr/>
        <w:t>(Gelman</w:t>
      </w:r>
      <w:r>
        <w:rPr>
          <w:spacing w:val="-4"/>
        </w:rPr>
        <w:t> </w:t>
      </w:r>
      <w:r>
        <w:rPr/>
        <w:t>et</w:t>
      </w:r>
      <w:r>
        <w:rPr>
          <w:spacing w:val="-3"/>
        </w:rPr>
        <w:t> </w:t>
      </w:r>
      <w:r>
        <w:rPr/>
        <w:t>al.</w:t>
      </w:r>
      <w:r>
        <w:rPr>
          <w:spacing w:val="-5"/>
        </w:rPr>
        <w:t> </w:t>
      </w:r>
      <w:r>
        <w:rPr/>
        <w:t>2004), ensuring model adequacy through residual plots and posterior predictive checks.</w:t>
      </w:r>
    </w:p>
    <w:p>
      <w:pPr>
        <w:pStyle w:val="BodyText"/>
        <w:spacing w:after="0"/>
        <w:sectPr>
          <w:type w:val="continuous"/>
          <w:pgSz w:w="11910" w:h="16850"/>
          <w:pgMar w:header="0" w:footer="688" w:top="1120" w:bottom="0" w:left="0" w:right="0"/>
        </w:sectPr>
      </w:pPr>
    </w:p>
    <w:p>
      <w:pPr>
        <w:pStyle w:val="Heading2"/>
        <w:numPr>
          <w:ilvl w:val="0"/>
          <w:numId w:val="5"/>
        </w:numPr>
        <w:tabs>
          <w:tab w:pos="1565" w:val="left" w:leader="none"/>
        </w:tabs>
        <w:spacing w:line="240" w:lineRule="auto" w:before="61" w:after="0"/>
        <w:ind w:left="1565" w:right="0" w:hanging="433"/>
        <w:jc w:val="left"/>
      </w:pPr>
      <w:bookmarkStart w:name="_TOC_250011" w:id="13"/>
      <w:bookmarkEnd w:id="13"/>
      <w:r>
        <w:rPr>
          <w:color w:val="001F5F"/>
          <w:spacing w:val="-2"/>
        </w:rPr>
        <w:t>Results</w:t>
      </w:r>
    </w:p>
    <w:p>
      <w:pPr>
        <w:pStyle w:val="BodyText"/>
        <w:spacing w:before="280"/>
        <w:rPr>
          <w:b/>
          <w:sz w:val="32"/>
        </w:rPr>
      </w:pPr>
    </w:p>
    <w:p>
      <w:pPr>
        <w:pStyle w:val="Heading3"/>
        <w:numPr>
          <w:ilvl w:val="1"/>
          <w:numId w:val="5"/>
        </w:numPr>
        <w:tabs>
          <w:tab w:pos="1709" w:val="left" w:leader="none"/>
        </w:tabs>
        <w:spacing w:line="240" w:lineRule="auto" w:before="0" w:after="0"/>
        <w:ind w:left="1709" w:right="0" w:hanging="577"/>
        <w:jc w:val="left"/>
      </w:pPr>
      <w:bookmarkStart w:name="_TOC_250010" w:id="14"/>
      <w:r>
        <w:rPr>
          <w:color w:val="2D1E66"/>
        </w:rPr>
        <w:t>Initial</w:t>
      </w:r>
      <w:r>
        <w:rPr>
          <w:color w:val="2D1E66"/>
          <w:spacing w:val="-7"/>
        </w:rPr>
        <w:t> </w:t>
      </w:r>
      <w:r>
        <w:rPr>
          <w:color w:val="2D1E66"/>
        </w:rPr>
        <w:t>occupancy,</w:t>
      </w:r>
      <w:r>
        <w:rPr>
          <w:color w:val="2D1E66"/>
          <w:spacing w:val="-2"/>
        </w:rPr>
        <w:t> </w:t>
      </w:r>
      <w:r>
        <w:rPr>
          <w:color w:val="2D1E66"/>
        </w:rPr>
        <w:t>survival,</w:t>
      </w:r>
      <w:r>
        <w:rPr>
          <w:color w:val="2D1E66"/>
          <w:spacing w:val="-5"/>
        </w:rPr>
        <w:t> </w:t>
      </w:r>
      <w:r>
        <w:rPr>
          <w:color w:val="2D1E66"/>
        </w:rPr>
        <w:t>colonisation,</w:t>
      </w:r>
      <w:r>
        <w:rPr>
          <w:color w:val="2D1E66"/>
          <w:spacing w:val="-7"/>
        </w:rPr>
        <w:t> </w:t>
      </w:r>
      <w:r>
        <w:rPr>
          <w:color w:val="2D1E66"/>
        </w:rPr>
        <w:t>and</w:t>
      </w:r>
      <w:r>
        <w:rPr>
          <w:color w:val="2D1E66"/>
          <w:spacing w:val="-4"/>
        </w:rPr>
        <w:t> </w:t>
      </w:r>
      <w:r>
        <w:rPr>
          <w:color w:val="2D1E66"/>
        </w:rPr>
        <w:t>growth</w:t>
      </w:r>
      <w:r>
        <w:rPr>
          <w:color w:val="2D1E66"/>
          <w:spacing w:val="-4"/>
        </w:rPr>
        <w:t> </w:t>
      </w:r>
      <w:bookmarkEnd w:id="14"/>
      <w:r>
        <w:rPr>
          <w:color w:val="2D1E66"/>
          <w:spacing w:val="-2"/>
        </w:rPr>
        <w:t>rates</w:t>
      </w:r>
    </w:p>
    <w:p>
      <w:pPr>
        <w:pStyle w:val="BodyText"/>
        <w:spacing w:before="112"/>
        <w:ind w:left="1132" w:right="1164"/>
      </w:pPr>
      <w:r>
        <w:rPr/>
        <w:t>Several</w:t>
      </w:r>
      <w:r>
        <w:rPr>
          <w:spacing w:val="-4"/>
        </w:rPr>
        <w:t> </w:t>
      </w:r>
      <w:r>
        <w:rPr/>
        <w:t>environmental</w:t>
      </w:r>
      <w:r>
        <w:rPr>
          <w:spacing w:val="-4"/>
        </w:rPr>
        <w:t> </w:t>
      </w:r>
      <w:r>
        <w:rPr/>
        <w:t>variables</w:t>
      </w:r>
      <w:r>
        <w:rPr>
          <w:spacing w:val="-2"/>
        </w:rPr>
        <w:t> </w:t>
      </w:r>
      <w:r>
        <w:rPr/>
        <w:t>were</w:t>
      </w:r>
      <w:r>
        <w:rPr>
          <w:spacing w:val="-2"/>
        </w:rPr>
        <w:t> </w:t>
      </w:r>
      <w:r>
        <w:rPr/>
        <w:t>included</w:t>
      </w:r>
      <w:r>
        <w:rPr>
          <w:spacing w:val="-3"/>
        </w:rPr>
        <w:t> </w:t>
      </w:r>
      <w:r>
        <w:rPr/>
        <w:t>in</w:t>
      </w:r>
      <w:r>
        <w:rPr>
          <w:spacing w:val="-3"/>
        </w:rPr>
        <w:t> </w:t>
      </w:r>
      <w:r>
        <w:rPr/>
        <w:t>the</w:t>
      </w:r>
      <w:r>
        <w:rPr>
          <w:spacing w:val="-3"/>
        </w:rPr>
        <w:t> </w:t>
      </w:r>
      <w:r>
        <w:rPr/>
        <w:t>final</w:t>
      </w:r>
      <w:r>
        <w:rPr>
          <w:spacing w:val="-4"/>
        </w:rPr>
        <w:t> </w:t>
      </w:r>
      <w:r>
        <w:rPr/>
        <w:t>model for</w:t>
      </w:r>
      <w:r>
        <w:rPr>
          <w:spacing w:val="-2"/>
        </w:rPr>
        <w:t> </w:t>
      </w:r>
      <w:r>
        <w:rPr/>
        <w:t>the</w:t>
      </w:r>
      <w:r>
        <w:rPr>
          <w:spacing w:val="-2"/>
        </w:rPr>
        <w:t> </w:t>
      </w:r>
      <w:r>
        <w:rPr/>
        <w:t>three</w:t>
      </w:r>
      <w:r>
        <w:rPr>
          <w:spacing w:val="-2"/>
        </w:rPr>
        <w:t> </w:t>
      </w:r>
      <w:r>
        <w:rPr/>
        <w:t>target</w:t>
      </w:r>
      <w:r>
        <w:rPr>
          <w:spacing w:val="-3"/>
        </w:rPr>
        <w:t> </w:t>
      </w:r>
      <w:r>
        <w:rPr/>
        <w:t>native</w:t>
      </w:r>
      <w:r>
        <w:rPr>
          <w:spacing w:val="-2"/>
        </w:rPr>
        <w:t> </w:t>
      </w:r>
      <w:r>
        <w:rPr/>
        <w:t>mammal</w:t>
      </w:r>
      <w:r>
        <w:rPr>
          <w:spacing w:val="-2"/>
        </w:rPr>
        <w:t> </w:t>
      </w:r>
      <w:r>
        <w:rPr/>
        <w:t>species. There was no</w:t>
      </w:r>
      <w:r>
        <w:rPr>
          <w:spacing w:val="-1"/>
        </w:rPr>
        <w:t> </w:t>
      </w:r>
      <w:r>
        <w:rPr/>
        <w:t>single or set of common environmental variables that consistently explained relationships with the</w:t>
      </w:r>
      <w:r>
        <w:rPr>
          <w:spacing w:val="-3"/>
        </w:rPr>
        <w:t> </w:t>
      </w:r>
      <w:r>
        <w:rPr/>
        <w:t>odds</w:t>
      </w:r>
      <w:r>
        <w:rPr>
          <w:spacing w:val="-1"/>
        </w:rPr>
        <w:t> </w:t>
      </w:r>
      <w:r>
        <w:rPr/>
        <w:t>of a</w:t>
      </w:r>
      <w:r>
        <w:rPr>
          <w:spacing w:val="-3"/>
        </w:rPr>
        <w:t> </w:t>
      </w:r>
      <w:r>
        <w:rPr/>
        <w:t>site</w:t>
      </w:r>
      <w:r>
        <w:rPr>
          <w:spacing w:val="-2"/>
        </w:rPr>
        <w:t> </w:t>
      </w:r>
      <w:r>
        <w:rPr/>
        <w:t>being</w:t>
      </w:r>
      <w:r>
        <w:rPr>
          <w:spacing w:val="-2"/>
        </w:rPr>
        <w:t> </w:t>
      </w:r>
      <w:r>
        <w:rPr/>
        <w:t>occupied, surviving, or</w:t>
      </w:r>
      <w:r>
        <w:rPr>
          <w:spacing w:val="-1"/>
        </w:rPr>
        <w:t> </w:t>
      </w:r>
      <w:r>
        <w:rPr/>
        <w:t>being</w:t>
      </w:r>
      <w:r>
        <w:rPr>
          <w:spacing w:val="-2"/>
        </w:rPr>
        <w:t> </w:t>
      </w:r>
      <w:r>
        <w:rPr/>
        <w:t>colonised for</w:t>
      </w:r>
      <w:r>
        <w:rPr>
          <w:spacing w:val="-2"/>
        </w:rPr>
        <w:t> </w:t>
      </w:r>
      <w:r>
        <w:rPr/>
        <w:t>any</w:t>
      </w:r>
      <w:r>
        <w:rPr>
          <w:spacing w:val="-1"/>
        </w:rPr>
        <w:t> </w:t>
      </w:r>
      <w:r>
        <w:rPr/>
        <w:t>of</w:t>
      </w:r>
      <w:r>
        <w:rPr>
          <w:spacing w:val="-2"/>
        </w:rPr>
        <w:t> </w:t>
      </w:r>
      <w:r>
        <w:rPr/>
        <w:t>the</w:t>
      </w:r>
      <w:r>
        <w:rPr>
          <w:spacing w:val="-3"/>
        </w:rPr>
        <w:t> </w:t>
      </w:r>
      <w:r>
        <w:rPr/>
        <w:t>three</w:t>
      </w:r>
      <w:r>
        <w:rPr>
          <w:spacing w:val="-2"/>
        </w:rPr>
        <w:t> </w:t>
      </w:r>
      <w:r>
        <w:rPr/>
        <w:t>species.</w:t>
      </w:r>
      <w:r>
        <w:rPr>
          <w:spacing w:val="-2"/>
        </w:rPr>
        <w:t> </w:t>
      </w:r>
      <w:r>
        <w:rPr/>
        <w:t>The</w:t>
      </w:r>
      <w:r>
        <w:rPr>
          <w:spacing w:val="-3"/>
        </w:rPr>
        <w:t> </w:t>
      </w:r>
      <w:r>
        <w:rPr/>
        <w:t>presence</w:t>
      </w:r>
      <w:r>
        <w:rPr>
          <w:spacing w:val="-2"/>
        </w:rPr>
        <w:t> </w:t>
      </w:r>
      <w:r>
        <w:rPr/>
        <w:t>of fox control at locations was positively associated with the odds a site was both colonised and endured for Long-nosed Potoroos and Southern Brown</w:t>
      </w:r>
      <w:r>
        <w:rPr>
          <w:spacing w:val="-1"/>
        </w:rPr>
        <w:t> </w:t>
      </w:r>
      <w:r>
        <w:rPr/>
        <w:t>Bandicoots, and in</w:t>
      </w:r>
      <w:r>
        <w:rPr>
          <w:spacing w:val="-1"/>
        </w:rPr>
        <w:t> </w:t>
      </w:r>
      <w:r>
        <w:rPr/>
        <w:t>combination</w:t>
      </w:r>
      <w:r>
        <w:rPr>
          <w:spacing w:val="-1"/>
        </w:rPr>
        <w:t> </w:t>
      </w:r>
      <w:r>
        <w:rPr/>
        <w:t>with other</w:t>
      </w:r>
      <w:r>
        <w:rPr>
          <w:spacing w:val="-1"/>
        </w:rPr>
        <w:t> </w:t>
      </w:r>
      <w:r>
        <w:rPr/>
        <w:t>variables for</w:t>
      </w:r>
      <w:r>
        <w:rPr>
          <w:spacing w:val="-1"/>
        </w:rPr>
        <w:t> </w:t>
      </w:r>
      <w:r>
        <w:rPr/>
        <w:t>Common Brush-tailed Possums.</w:t>
      </w:r>
    </w:p>
    <w:p>
      <w:pPr>
        <w:pStyle w:val="Heading4"/>
        <w:numPr>
          <w:ilvl w:val="2"/>
          <w:numId w:val="5"/>
        </w:numPr>
        <w:tabs>
          <w:tab w:pos="1853" w:val="left" w:leader="none"/>
        </w:tabs>
        <w:spacing w:line="240" w:lineRule="auto" w:before="140" w:after="0"/>
        <w:ind w:left="1853" w:right="0" w:hanging="721"/>
        <w:jc w:val="left"/>
      </w:pPr>
      <w:bookmarkStart w:name="_TOC_250009" w:id="15"/>
      <w:r>
        <w:rPr/>
        <w:t>Common</w:t>
      </w:r>
      <w:r>
        <w:rPr>
          <w:spacing w:val="-6"/>
        </w:rPr>
        <w:t> </w:t>
      </w:r>
      <w:r>
        <w:rPr/>
        <w:t>Brushtail</w:t>
      </w:r>
      <w:r>
        <w:rPr>
          <w:spacing w:val="-5"/>
        </w:rPr>
        <w:t> </w:t>
      </w:r>
      <w:bookmarkEnd w:id="15"/>
      <w:r>
        <w:rPr>
          <w:spacing w:val="-2"/>
        </w:rPr>
        <w:t>Possum</w:t>
      </w:r>
    </w:p>
    <w:p>
      <w:pPr>
        <w:pStyle w:val="Heading6"/>
        <w:spacing w:before="59"/>
        <w:rPr>
          <w:i/>
        </w:rPr>
      </w:pPr>
      <w:r>
        <w:rPr>
          <w:i/>
          <w:spacing w:val="-2"/>
        </w:rPr>
        <w:t>Occupancy</w:t>
      </w:r>
    </w:p>
    <w:p>
      <w:pPr>
        <w:pStyle w:val="BodyText"/>
        <w:spacing w:before="118"/>
        <w:ind w:left="1132" w:right="1457"/>
      </w:pPr>
      <w:r>
        <w:rPr/>
        <w:t>None</w:t>
      </w:r>
      <w:r>
        <w:rPr>
          <w:spacing w:val="-3"/>
        </w:rPr>
        <w:t> </w:t>
      </w:r>
      <w:r>
        <w:rPr/>
        <w:t>of</w:t>
      </w:r>
      <w:r>
        <w:rPr>
          <w:spacing w:val="-4"/>
        </w:rPr>
        <w:t> </w:t>
      </w:r>
      <w:r>
        <w:rPr/>
        <w:t>the</w:t>
      </w:r>
      <w:r>
        <w:rPr>
          <w:spacing w:val="-4"/>
        </w:rPr>
        <w:t> </w:t>
      </w:r>
      <w:r>
        <w:rPr/>
        <w:t>modelled</w:t>
      </w:r>
      <w:r>
        <w:rPr>
          <w:spacing w:val="-4"/>
        </w:rPr>
        <w:t> </w:t>
      </w:r>
      <w:r>
        <w:rPr/>
        <w:t>covariates</w:t>
      </w:r>
      <w:r>
        <w:rPr>
          <w:spacing w:val="-3"/>
        </w:rPr>
        <w:t> </w:t>
      </w:r>
      <w:r>
        <w:rPr/>
        <w:t>were</w:t>
      </w:r>
      <w:r>
        <w:rPr>
          <w:spacing w:val="-2"/>
        </w:rPr>
        <w:t> </w:t>
      </w:r>
      <w:r>
        <w:rPr/>
        <w:t>important</w:t>
      </w:r>
      <w:r>
        <w:rPr>
          <w:spacing w:val="-2"/>
        </w:rPr>
        <w:t> </w:t>
      </w:r>
      <w:r>
        <w:rPr/>
        <w:t>for</w:t>
      </w:r>
      <w:r>
        <w:rPr>
          <w:spacing w:val="-3"/>
        </w:rPr>
        <w:t> </w:t>
      </w:r>
      <w:r>
        <w:rPr/>
        <w:t>determining</w:t>
      </w:r>
      <w:r>
        <w:rPr>
          <w:spacing w:val="-4"/>
        </w:rPr>
        <w:t> </w:t>
      </w:r>
      <w:r>
        <w:rPr/>
        <w:t>initial</w:t>
      </w:r>
      <w:r>
        <w:rPr>
          <w:spacing w:val="-4"/>
        </w:rPr>
        <w:t> </w:t>
      </w:r>
      <w:r>
        <w:rPr/>
        <w:t>occupancy,</w:t>
      </w:r>
      <w:r>
        <w:rPr>
          <w:spacing w:val="-4"/>
        </w:rPr>
        <w:t> </w:t>
      </w:r>
      <w:r>
        <w:rPr/>
        <w:t>i.e.,</w:t>
      </w:r>
      <w:r>
        <w:rPr>
          <w:spacing w:val="-4"/>
        </w:rPr>
        <w:t> </w:t>
      </w:r>
      <w:r>
        <w:rPr/>
        <w:t>occupancy</w:t>
      </w:r>
      <w:r>
        <w:rPr>
          <w:spacing w:val="-3"/>
        </w:rPr>
        <w:t> </w:t>
      </w:r>
      <w:r>
        <w:rPr/>
        <w:t>in</w:t>
      </w:r>
      <w:r>
        <w:rPr>
          <w:spacing w:val="-2"/>
        </w:rPr>
        <w:t> </w:t>
      </w:r>
      <w:r>
        <w:rPr/>
        <w:t>2005 pre-baiting (Table A3-A).</w:t>
      </w:r>
    </w:p>
    <w:p>
      <w:pPr>
        <w:pStyle w:val="BodyText"/>
        <w:spacing w:before="121"/>
        <w:ind w:left="1132" w:right="1140"/>
      </w:pPr>
      <w:r>
        <w:rPr/>
        <w:t>The number of occupied sites increased steadily from 2005–2009 across all locations, before decreasing from 2009–2011 across all locations, and then increasing and remaining steady from 2018 to 2020, with another</w:t>
      </w:r>
      <w:r>
        <w:rPr>
          <w:spacing w:val="-2"/>
        </w:rPr>
        <w:t> </w:t>
      </w:r>
      <w:r>
        <w:rPr/>
        <w:t>drop</w:t>
      </w:r>
      <w:r>
        <w:rPr>
          <w:spacing w:val="-4"/>
        </w:rPr>
        <w:t> </w:t>
      </w:r>
      <w:r>
        <w:rPr/>
        <w:t>in</w:t>
      </w:r>
      <w:r>
        <w:rPr>
          <w:spacing w:val="-4"/>
        </w:rPr>
        <w:t> </w:t>
      </w:r>
      <w:r>
        <w:rPr/>
        <w:t>2021</w:t>
      </w:r>
      <w:r>
        <w:rPr>
          <w:spacing w:val="-2"/>
        </w:rPr>
        <w:t> </w:t>
      </w:r>
      <w:r>
        <w:rPr/>
        <w:t>and</w:t>
      </w:r>
      <w:r>
        <w:rPr>
          <w:spacing w:val="-2"/>
        </w:rPr>
        <w:t> </w:t>
      </w:r>
      <w:r>
        <w:rPr/>
        <w:t>signs</w:t>
      </w:r>
      <w:r>
        <w:rPr>
          <w:spacing w:val="-3"/>
        </w:rPr>
        <w:t> </w:t>
      </w:r>
      <w:r>
        <w:rPr/>
        <w:t>of</w:t>
      </w:r>
      <w:r>
        <w:rPr>
          <w:spacing w:val="-4"/>
        </w:rPr>
        <w:t> </w:t>
      </w:r>
      <w:r>
        <w:rPr/>
        <w:t>recovery</w:t>
      </w:r>
      <w:r>
        <w:rPr>
          <w:spacing w:val="-2"/>
        </w:rPr>
        <w:t> </w:t>
      </w:r>
      <w:r>
        <w:rPr/>
        <w:t>since</w:t>
      </w:r>
      <w:r>
        <w:rPr>
          <w:spacing w:val="-2"/>
        </w:rPr>
        <w:t> </w:t>
      </w:r>
      <w:r>
        <w:rPr/>
        <w:t>then. However,</w:t>
      </w:r>
      <w:r>
        <w:rPr>
          <w:spacing w:val="-4"/>
        </w:rPr>
        <w:t> </w:t>
      </w:r>
      <w:r>
        <w:rPr/>
        <w:t>there</w:t>
      </w:r>
      <w:r>
        <w:rPr>
          <w:spacing w:val="-3"/>
        </w:rPr>
        <w:t> </w:t>
      </w:r>
      <w:r>
        <w:rPr/>
        <w:t>was</w:t>
      </w:r>
      <w:r>
        <w:rPr>
          <w:spacing w:val="-3"/>
        </w:rPr>
        <w:t> </w:t>
      </w:r>
      <w:r>
        <w:rPr/>
        <w:t>clear</w:t>
      </w:r>
      <w:r>
        <w:rPr>
          <w:spacing w:val="-4"/>
        </w:rPr>
        <w:t> </w:t>
      </w:r>
      <w:r>
        <w:rPr/>
        <w:t>separation</w:t>
      </w:r>
      <w:r>
        <w:rPr>
          <w:spacing w:val="-4"/>
        </w:rPr>
        <w:t> </w:t>
      </w:r>
      <w:r>
        <w:rPr/>
        <w:t>between</w:t>
      </w:r>
      <w:r>
        <w:rPr>
          <w:spacing w:val="-2"/>
        </w:rPr>
        <w:t> </w:t>
      </w:r>
      <w:r>
        <w:rPr/>
        <w:t>FCMLs and NFCMLs from 2015, with the occupancy rate of Common Brush-tailed Possums being higher at sites in FCMLs (Figure 3).</w:t>
      </w:r>
    </w:p>
    <w:p>
      <w:pPr>
        <w:pStyle w:val="BodyText"/>
        <w:spacing w:before="8"/>
        <w:rPr>
          <w:sz w:val="15"/>
        </w:rPr>
      </w:pPr>
      <w:r>
        <w:rPr>
          <w:sz w:val="15"/>
        </w:rPr>
        <w:drawing>
          <wp:anchor distT="0" distB="0" distL="0" distR="0" allowOverlap="1" layoutInCell="1" locked="0" behindDoc="1" simplePos="0" relativeHeight="487596032">
            <wp:simplePos x="0" y="0"/>
            <wp:positionH relativeFrom="page">
              <wp:posOffset>778660</wp:posOffset>
            </wp:positionH>
            <wp:positionV relativeFrom="paragraph">
              <wp:posOffset>130130</wp:posOffset>
            </wp:positionV>
            <wp:extent cx="3895972" cy="4167949"/>
            <wp:effectExtent l="0" t="0" r="0" b="0"/>
            <wp:wrapTopAndBottom/>
            <wp:docPr id="78" name="Image 78" descr="A graph of a number of people  Description automatically generated with medium confidence"/>
            <wp:cNvGraphicFramePr>
              <a:graphicFrameLocks/>
            </wp:cNvGraphicFramePr>
            <a:graphic>
              <a:graphicData uri="http://schemas.openxmlformats.org/drawingml/2006/picture">
                <pic:pic>
                  <pic:nvPicPr>
                    <pic:cNvPr id="78" name="Image 78" descr="A graph of a number of people  Description automatically generated with medium confidence"/>
                    <pic:cNvPicPr/>
                  </pic:nvPicPr>
                  <pic:blipFill>
                    <a:blip r:embed="rId36" cstate="print"/>
                    <a:stretch>
                      <a:fillRect/>
                    </a:stretch>
                  </pic:blipFill>
                  <pic:spPr>
                    <a:xfrm>
                      <a:off x="0" y="0"/>
                      <a:ext cx="3895972" cy="4167949"/>
                    </a:xfrm>
                    <a:prstGeom prst="rect">
                      <a:avLst/>
                    </a:prstGeom>
                  </pic:spPr>
                </pic:pic>
              </a:graphicData>
            </a:graphic>
          </wp:anchor>
        </w:drawing>
      </w:r>
    </w:p>
    <w:p>
      <w:pPr>
        <w:pStyle w:val="BodyText"/>
        <w:spacing w:before="53"/>
      </w:pPr>
    </w:p>
    <w:p>
      <w:pPr>
        <w:pStyle w:val="Heading5"/>
      </w:pPr>
      <w:bookmarkStart w:name="_bookmark3" w:id="16"/>
      <w:bookmarkEnd w:id="16"/>
      <w:r>
        <w:rPr>
          <w:b w:val="0"/>
        </w:rPr>
      </w:r>
      <w:r>
        <w:rPr>
          <w:color w:val="1F1546"/>
        </w:rPr>
        <w:t>Figure</w:t>
      </w:r>
      <w:r>
        <w:rPr>
          <w:color w:val="1F1546"/>
          <w:spacing w:val="-6"/>
        </w:rPr>
        <w:t> </w:t>
      </w:r>
      <w:r>
        <w:rPr>
          <w:color w:val="1F1546"/>
        </w:rPr>
        <w:t>3.</w:t>
      </w:r>
      <w:r>
        <w:rPr>
          <w:color w:val="1F1546"/>
          <w:spacing w:val="-6"/>
        </w:rPr>
        <w:t> </w:t>
      </w:r>
      <w:r>
        <w:rPr>
          <w:color w:val="1F1546"/>
        </w:rPr>
        <w:t>Occupancy</w:t>
      </w:r>
      <w:r>
        <w:rPr>
          <w:color w:val="1F1546"/>
          <w:spacing w:val="-6"/>
        </w:rPr>
        <w:t> </w:t>
      </w:r>
      <w:r>
        <w:rPr>
          <w:color w:val="1F1546"/>
        </w:rPr>
        <w:t>rates</w:t>
      </w:r>
      <w:r>
        <w:rPr>
          <w:color w:val="1F1546"/>
          <w:spacing w:val="-6"/>
        </w:rPr>
        <w:t> </w:t>
      </w:r>
      <w:r>
        <w:rPr>
          <w:color w:val="1F1546"/>
        </w:rPr>
        <w:t>for</w:t>
      </w:r>
      <w:r>
        <w:rPr>
          <w:color w:val="1F1546"/>
          <w:spacing w:val="-4"/>
        </w:rPr>
        <w:t> </w:t>
      </w:r>
      <w:r>
        <w:rPr>
          <w:color w:val="1F1546"/>
        </w:rPr>
        <w:t>the</w:t>
      </w:r>
      <w:r>
        <w:rPr>
          <w:color w:val="1F1546"/>
          <w:spacing w:val="-6"/>
        </w:rPr>
        <w:t> </w:t>
      </w:r>
      <w:r>
        <w:rPr>
          <w:color w:val="1F1546"/>
        </w:rPr>
        <w:t>Common</w:t>
      </w:r>
      <w:r>
        <w:rPr>
          <w:color w:val="1F1546"/>
          <w:spacing w:val="-6"/>
        </w:rPr>
        <w:t> </w:t>
      </w:r>
      <w:r>
        <w:rPr>
          <w:color w:val="1F1546"/>
        </w:rPr>
        <w:t>Brushtail</w:t>
      </w:r>
      <w:r>
        <w:rPr>
          <w:color w:val="1F1546"/>
          <w:spacing w:val="-6"/>
        </w:rPr>
        <w:t> </w:t>
      </w:r>
      <w:r>
        <w:rPr>
          <w:color w:val="1F1546"/>
        </w:rPr>
        <w:t>Possum</w:t>
      </w:r>
      <w:r>
        <w:rPr>
          <w:color w:val="1F1546"/>
          <w:spacing w:val="-6"/>
        </w:rPr>
        <w:t> </w:t>
      </w:r>
      <w:r>
        <w:rPr>
          <w:color w:val="1F1546"/>
        </w:rPr>
        <w:t>over</w:t>
      </w:r>
      <w:r>
        <w:rPr>
          <w:color w:val="1F1546"/>
          <w:spacing w:val="-7"/>
        </w:rPr>
        <w:t> </w:t>
      </w:r>
      <w:r>
        <w:rPr>
          <w:color w:val="1F1546"/>
        </w:rPr>
        <w:t>time</w:t>
      </w:r>
      <w:r>
        <w:rPr>
          <w:color w:val="1F1546"/>
          <w:spacing w:val="-6"/>
        </w:rPr>
        <w:t> </w:t>
      </w:r>
      <w:r>
        <w:rPr>
          <w:color w:val="1F1546"/>
        </w:rPr>
        <w:t>by</w:t>
      </w:r>
      <w:r>
        <w:rPr>
          <w:color w:val="1F1546"/>
          <w:spacing w:val="-6"/>
        </w:rPr>
        <w:t> </w:t>
      </w:r>
      <w:r>
        <w:rPr>
          <w:color w:val="1F1546"/>
        </w:rPr>
        <w:t>fox</w:t>
      </w:r>
      <w:r>
        <w:rPr>
          <w:color w:val="1F1546"/>
          <w:spacing w:val="-6"/>
        </w:rPr>
        <w:t> </w:t>
      </w:r>
      <w:r>
        <w:rPr>
          <w:color w:val="1F1546"/>
        </w:rPr>
        <w:t>control</w:t>
      </w:r>
      <w:r>
        <w:rPr>
          <w:color w:val="1F1546"/>
          <w:spacing w:val="-6"/>
        </w:rPr>
        <w:t> </w:t>
      </w:r>
      <w:r>
        <w:rPr>
          <w:color w:val="1F1546"/>
          <w:spacing w:val="-2"/>
        </w:rPr>
        <w:t>status.</w:t>
      </w:r>
    </w:p>
    <w:p>
      <w:pPr>
        <w:spacing w:before="118"/>
        <w:ind w:left="1132" w:right="0" w:firstLine="0"/>
        <w:jc w:val="left"/>
        <w:rPr>
          <w:sz w:val="18"/>
        </w:rPr>
      </w:pPr>
      <w:r>
        <w:rPr>
          <w:sz w:val="18"/>
        </w:rPr>
        <w:t>The</w:t>
      </w:r>
      <w:r>
        <w:rPr>
          <w:spacing w:val="-3"/>
          <w:sz w:val="18"/>
        </w:rPr>
        <w:t> </w:t>
      </w:r>
      <w:r>
        <w:rPr>
          <w:sz w:val="18"/>
        </w:rPr>
        <w:t>symbols</w:t>
      </w:r>
      <w:r>
        <w:rPr>
          <w:spacing w:val="-3"/>
          <w:sz w:val="18"/>
        </w:rPr>
        <w:t> </w:t>
      </w:r>
      <w:r>
        <w:rPr>
          <w:sz w:val="18"/>
        </w:rPr>
        <w:t>indicate</w:t>
      </w:r>
      <w:r>
        <w:rPr>
          <w:spacing w:val="-4"/>
          <w:sz w:val="18"/>
        </w:rPr>
        <w:t> </w:t>
      </w:r>
      <w:r>
        <w:rPr>
          <w:sz w:val="18"/>
        </w:rPr>
        <w:t>the</w:t>
      </w:r>
      <w:r>
        <w:rPr>
          <w:spacing w:val="-5"/>
          <w:sz w:val="18"/>
        </w:rPr>
        <w:t> </w:t>
      </w:r>
      <w:r>
        <w:rPr>
          <w:sz w:val="18"/>
        </w:rPr>
        <w:t>median</w:t>
      </w:r>
      <w:r>
        <w:rPr>
          <w:spacing w:val="-3"/>
          <w:sz w:val="18"/>
        </w:rPr>
        <w:t> </w:t>
      </w:r>
      <w:r>
        <w:rPr>
          <w:sz w:val="18"/>
        </w:rPr>
        <w:t>fitted</w:t>
      </w:r>
      <w:r>
        <w:rPr>
          <w:spacing w:val="-5"/>
          <w:sz w:val="18"/>
        </w:rPr>
        <w:t> </w:t>
      </w:r>
      <w:r>
        <w:rPr>
          <w:sz w:val="18"/>
        </w:rPr>
        <w:t>values,</w:t>
      </w:r>
      <w:r>
        <w:rPr>
          <w:spacing w:val="-3"/>
          <w:sz w:val="18"/>
        </w:rPr>
        <w:t> </w:t>
      </w:r>
      <w:r>
        <w:rPr>
          <w:sz w:val="18"/>
        </w:rPr>
        <w:t>and</w:t>
      </w:r>
      <w:r>
        <w:rPr>
          <w:spacing w:val="-3"/>
          <w:sz w:val="18"/>
        </w:rPr>
        <w:t> </w:t>
      </w:r>
      <w:r>
        <w:rPr>
          <w:sz w:val="18"/>
        </w:rPr>
        <w:t>the</w:t>
      </w:r>
      <w:r>
        <w:rPr>
          <w:spacing w:val="-3"/>
          <w:sz w:val="18"/>
        </w:rPr>
        <w:t> </w:t>
      </w:r>
      <w:r>
        <w:rPr>
          <w:sz w:val="18"/>
        </w:rPr>
        <w:t>bars</w:t>
      </w:r>
      <w:r>
        <w:rPr>
          <w:spacing w:val="-2"/>
          <w:sz w:val="18"/>
        </w:rPr>
        <w:t> </w:t>
      </w:r>
      <w:r>
        <w:rPr>
          <w:sz w:val="18"/>
        </w:rPr>
        <w:t>represent</w:t>
      </w:r>
      <w:r>
        <w:rPr>
          <w:spacing w:val="-3"/>
          <w:sz w:val="18"/>
        </w:rPr>
        <w:t> </w:t>
      </w:r>
      <w:r>
        <w:rPr>
          <w:sz w:val="18"/>
        </w:rPr>
        <w:t>the</w:t>
      </w:r>
      <w:r>
        <w:rPr>
          <w:spacing w:val="-3"/>
          <w:sz w:val="18"/>
        </w:rPr>
        <w:t> </w:t>
      </w:r>
      <w:r>
        <w:rPr>
          <w:sz w:val="18"/>
        </w:rPr>
        <w:t>95%</w:t>
      </w:r>
      <w:r>
        <w:rPr>
          <w:spacing w:val="-5"/>
          <w:sz w:val="18"/>
        </w:rPr>
        <w:t> </w:t>
      </w:r>
      <w:r>
        <w:rPr>
          <w:sz w:val="18"/>
        </w:rPr>
        <w:t>credible</w:t>
      </w:r>
      <w:r>
        <w:rPr>
          <w:spacing w:val="-3"/>
          <w:sz w:val="18"/>
        </w:rPr>
        <w:t> </w:t>
      </w:r>
      <w:r>
        <w:rPr>
          <w:spacing w:val="-2"/>
          <w:sz w:val="18"/>
        </w:rPr>
        <w:t>intervals.</w:t>
      </w:r>
    </w:p>
    <w:p>
      <w:pPr>
        <w:pStyle w:val="BodyText"/>
        <w:spacing w:before="184"/>
        <w:rPr>
          <w:sz w:val="18"/>
        </w:rPr>
      </w:pPr>
    </w:p>
    <w:p>
      <w:pPr>
        <w:pStyle w:val="Heading6"/>
        <w:rPr>
          <w:i/>
        </w:rPr>
      </w:pPr>
      <w:r>
        <w:rPr>
          <w:i/>
        </w:rPr>
        <w:t>Site</w:t>
      </w:r>
      <w:r>
        <w:rPr>
          <w:i/>
          <w:spacing w:val="-6"/>
        </w:rPr>
        <w:t> </w:t>
      </w:r>
      <w:r>
        <w:rPr>
          <w:i/>
          <w:spacing w:val="-2"/>
        </w:rPr>
        <w:t>survival</w:t>
      </w:r>
    </w:p>
    <w:p>
      <w:pPr>
        <w:pStyle w:val="BodyText"/>
        <w:spacing w:before="120"/>
        <w:ind w:left="1132" w:right="1390"/>
      </w:pPr>
      <w:r>
        <w:rPr/>
        <w:t>Survival</w:t>
      </w:r>
      <w:r>
        <w:rPr>
          <w:spacing w:val="-3"/>
        </w:rPr>
        <w:t> </w:t>
      </w:r>
      <w:r>
        <w:rPr/>
        <w:t>declined</w:t>
      </w:r>
      <w:r>
        <w:rPr>
          <w:spacing w:val="-5"/>
        </w:rPr>
        <w:t> </w:t>
      </w:r>
      <w:r>
        <w:rPr/>
        <w:t>with</w:t>
      </w:r>
      <w:r>
        <w:rPr>
          <w:spacing w:val="-3"/>
        </w:rPr>
        <w:t> </w:t>
      </w:r>
      <w:r>
        <w:rPr/>
        <w:t>distance</w:t>
      </w:r>
      <w:r>
        <w:rPr>
          <w:spacing w:val="-4"/>
        </w:rPr>
        <w:t> </w:t>
      </w:r>
      <w:r>
        <w:rPr/>
        <w:t>to</w:t>
      </w:r>
      <w:r>
        <w:rPr>
          <w:spacing w:val="-3"/>
        </w:rPr>
        <w:t> </w:t>
      </w:r>
      <w:r>
        <w:rPr/>
        <w:t>non-native</w:t>
      </w:r>
      <w:r>
        <w:rPr>
          <w:spacing w:val="-3"/>
        </w:rPr>
        <w:t> </w:t>
      </w:r>
      <w:r>
        <w:rPr/>
        <w:t>vegetation</w:t>
      </w:r>
      <w:r>
        <w:rPr>
          <w:spacing w:val="-4"/>
        </w:rPr>
        <w:t> </w:t>
      </w:r>
      <w:r>
        <w:rPr/>
        <w:t>in</w:t>
      </w:r>
      <w:r>
        <w:rPr>
          <w:spacing w:val="-1"/>
        </w:rPr>
        <w:t> </w:t>
      </w:r>
      <w:r>
        <w:rPr/>
        <w:t>NFCLMs</w:t>
      </w:r>
      <w:r>
        <w:rPr>
          <w:spacing w:val="-3"/>
        </w:rPr>
        <w:t> </w:t>
      </w:r>
      <w:r>
        <w:rPr/>
        <w:t>but</w:t>
      </w:r>
      <w:r>
        <w:rPr>
          <w:spacing w:val="-2"/>
        </w:rPr>
        <w:t> </w:t>
      </w:r>
      <w:r>
        <w:rPr/>
        <w:t>tended</w:t>
      </w:r>
      <w:r>
        <w:rPr>
          <w:spacing w:val="-3"/>
        </w:rPr>
        <w:t> </w:t>
      </w:r>
      <w:r>
        <w:rPr/>
        <w:t>to</w:t>
      </w:r>
      <w:r>
        <w:rPr>
          <w:spacing w:val="-2"/>
        </w:rPr>
        <w:t> </w:t>
      </w:r>
      <w:r>
        <w:rPr/>
        <w:t>increase</w:t>
      </w:r>
      <w:r>
        <w:rPr>
          <w:spacing w:val="-4"/>
        </w:rPr>
        <w:t> </w:t>
      </w:r>
      <w:r>
        <w:rPr/>
        <w:t>with</w:t>
      </w:r>
      <w:r>
        <w:rPr>
          <w:spacing w:val="-3"/>
        </w:rPr>
        <w:t> </w:t>
      </w:r>
      <w:r>
        <w:rPr/>
        <w:t>increasing distance-to-non-native-veg in FCLMs, while survival increased</w:t>
      </w:r>
      <w:r>
        <w:rPr>
          <w:spacing w:val="-1"/>
        </w:rPr>
        <w:t> </w:t>
      </w:r>
      <w:r>
        <w:rPr/>
        <w:t>with increasing</w:t>
      </w:r>
      <w:r>
        <w:rPr>
          <w:spacing w:val="-1"/>
        </w:rPr>
        <w:t> </w:t>
      </w:r>
      <w:r>
        <w:rPr/>
        <w:t>TRI in fox control</w:t>
      </w:r>
      <w:r>
        <w:rPr>
          <w:spacing w:val="-1"/>
        </w:rPr>
        <w:t> </w:t>
      </w:r>
      <w:r>
        <w:rPr/>
        <w:t>areas but</w:t>
      </w:r>
    </w:p>
    <w:p>
      <w:pPr>
        <w:pStyle w:val="BodyText"/>
        <w:spacing w:after="0"/>
        <w:sectPr>
          <w:footerReference w:type="default" r:id="rId35"/>
          <w:pgSz w:w="11910" w:h="16850"/>
          <w:pgMar w:header="0" w:footer="688" w:top="1140" w:bottom="880" w:left="0" w:right="0"/>
        </w:sectPr>
      </w:pPr>
    </w:p>
    <w:p>
      <w:pPr>
        <w:pStyle w:val="BodyText"/>
        <w:spacing w:before="71"/>
        <w:ind w:left="1132" w:right="1326"/>
      </w:pPr>
      <w:r>
        <w:rPr/>
        <w:t>not</w:t>
      </w:r>
      <w:r>
        <w:rPr>
          <w:spacing w:val="-2"/>
        </w:rPr>
        <w:t> </w:t>
      </w:r>
      <w:r>
        <w:rPr/>
        <w:t>in</w:t>
      </w:r>
      <w:r>
        <w:rPr>
          <w:spacing w:val="-4"/>
        </w:rPr>
        <w:t> </w:t>
      </w:r>
      <w:r>
        <w:rPr/>
        <w:t>NFCLMs.</w:t>
      </w:r>
      <w:r>
        <w:rPr>
          <w:spacing w:val="-1"/>
        </w:rPr>
        <w:t> </w:t>
      </w:r>
      <w:r>
        <w:rPr/>
        <w:t>Site</w:t>
      </w:r>
      <w:r>
        <w:rPr>
          <w:spacing w:val="-4"/>
        </w:rPr>
        <w:t> </w:t>
      </w:r>
      <w:r>
        <w:rPr/>
        <w:t>survival</w:t>
      </w:r>
      <w:r>
        <w:rPr>
          <w:spacing w:val="-5"/>
        </w:rPr>
        <w:t> </w:t>
      </w:r>
      <w:r>
        <w:rPr/>
        <w:t>declined with</w:t>
      </w:r>
      <w:r>
        <w:rPr>
          <w:spacing w:val="-4"/>
        </w:rPr>
        <w:t> </w:t>
      </w:r>
      <w:r>
        <w:rPr/>
        <w:t>increases</w:t>
      </w:r>
      <w:r>
        <w:rPr>
          <w:spacing w:val="-3"/>
        </w:rPr>
        <w:t> </w:t>
      </w:r>
      <w:r>
        <w:rPr/>
        <w:t>in</w:t>
      </w:r>
      <w:r>
        <w:rPr>
          <w:spacing w:val="-4"/>
        </w:rPr>
        <w:t> </w:t>
      </w:r>
      <w:r>
        <w:rPr/>
        <w:t>elevation</w:t>
      </w:r>
      <w:r>
        <w:rPr>
          <w:spacing w:val="-5"/>
        </w:rPr>
        <w:t> </w:t>
      </w:r>
      <w:r>
        <w:rPr/>
        <w:t>regardless</w:t>
      </w:r>
      <w:r>
        <w:rPr>
          <w:spacing w:val="-3"/>
        </w:rPr>
        <w:t> </w:t>
      </w:r>
      <w:r>
        <w:rPr/>
        <w:t>of</w:t>
      </w:r>
      <w:r>
        <w:rPr>
          <w:spacing w:val="-4"/>
        </w:rPr>
        <w:t> </w:t>
      </w:r>
      <w:r>
        <w:rPr/>
        <w:t>treatment (Table</w:t>
      </w:r>
      <w:r>
        <w:rPr>
          <w:spacing w:val="-3"/>
        </w:rPr>
        <w:t> </w:t>
      </w:r>
      <w:r>
        <w:rPr/>
        <w:t>A3-B; Figure 4).</w:t>
      </w:r>
    </w:p>
    <w:p>
      <w:pPr>
        <w:pStyle w:val="BodyText"/>
        <w:spacing w:before="6"/>
        <w:rPr>
          <w:sz w:val="8"/>
        </w:rPr>
      </w:pPr>
      <w:r>
        <w:rPr>
          <w:sz w:val="8"/>
        </w:rPr>
        <w:drawing>
          <wp:anchor distT="0" distB="0" distL="0" distR="0" allowOverlap="1" layoutInCell="1" locked="0" behindDoc="1" simplePos="0" relativeHeight="487596544">
            <wp:simplePos x="0" y="0"/>
            <wp:positionH relativeFrom="page">
              <wp:posOffset>720090</wp:posOffset>
            </wp:positionH>
            <wp:positionV relativeFrom="paragraph">
              <wp:posOffset>77621</wp:posOffset>
            </wp:positionV>
            <wp:extent cx="2989665" cy="6406515"/>
            <wp:effectExtent l="0" t="0" r="0" b="0"/>
            <wp:wrapTopAndBottom/>
            <wp:docPr id="82" name="Image 82"/>
            <wp:cNvGraphicFramePr>
              <a:graphicFrameLocks/>
            </wp:cNvGraphicFramePr>
            <a:graphic>
              <a:graphicData uri="http://schemas.openxmlformats.org/drawingml/2006/picture">
                <pic:pic>
                  <pic:nvPicPr>
                    <pic:cNvPr id="82" name="Image 82"/>
                    <pic:cNvPicPr/>
                  </pic:nvPicPr>
                  <pic:blipFill>
                    <a:blip r:embed="rId38" cstate="print"/>
                    <a:stretch>
                      <a:fillRect/>
                    </a:stretch>
                  </pic:blipFill>
                  <pic:spPr>
                    <a:xfrm>
                      <a:off x="0" y="0"/>
                      <a:ext cx="2989665" cy="6406515"/>
                    </a:xfrm>
                    <a:prstGeom prst="rect">
                      <a:avLst/>
                    </a:prstGeom>
                  </pic:spPr>
                </pic:pic>
              </a:graphicData>
            </a:graphic>
          </wp:anchor>
        </w:drawing>
      </w:r>
      <w:r>
        <w:rPr>
          <w:sz w:val="8"/>
        </w:rPr>
        <w:drawing>
          <wp:anchor distT="0" distB="0" distL="0" distR="0" allowOverlap="1" layoutInCell="1" locked="0" behindDoc="1" simplePos="0" relativeHeight="487597056">
            <wp:simplePos x="0" y="0"/>
            <wp:positionH relativeFrom="page">
              <wp:posOffset>3828274</wp:posOffset>
            </wp:positionH>
            <wp:positionV relativeFrom="paragraph">
              <wp:posOffset>117890</wp:posOffset>
            </wp:positionV>
            <wp:extent cx="2917276" cy="3123628"/>
            <wp:effectExtent l="0" t="0" r="0" b="0"/>
            <wp:wrapTopAndBottom/>
            <wp:docPr id="83" name="Image 83" descr="A graph of different types of forest  Description automatically generated"/>
            <wp:cNvGraphicFramePr>
              <a:graphicFrameLocks/>
            </wp:cNvGraphicFramePr>
            <a:graphic>
              <a:graphicData uri="http://schemas.openxmlformats.org/drawingml/2006/picture">
                <pic:pic>
                  <pic:nvPicPr>
                    <pic:cNvPr id="83" name="Image 83" descr="A graph of different types of forest  Description automatically generated"/>
                    <pic:cNvPicPr/>
                  </pic:nvPicPr>
                  <pic:blipFill>
                    <a:blip r:embed="rId39" cstate="print"/>
                    <a:stretch>
                      <a:fillRect/>
                    </a:stretch>
                  </pic:blipFill>
                  <pic:spPr>
                    <a:xfrm>
                      <a:off x="0" y="0"/>
                      <a:ext cx="2917276" cy="3123628"/>
                    </a:xfrm>
                    <a:prstGeom prst="rect">
                      <a:avLst/>
                    </a:prstGeom>
                  </pic:spPr>
                </pic:pic>
              </a:graphicData>
            </a:graphic>
          </wp:anchor>
        </w:drawing>
      </w:r>
    </w:p>
    <w:p>
      <w:pPr>
        <w:pStyle w:val="BodyText"/>
        <w:spacing w:before="6"/>
      </w:pPr>
    </w:p>
    <w:p>
      <w:pPr>
        <w:pStyle w:val="Heading5"/>
        <w:ind w:right="1463"/>
      </w:pPr>
      <w:bookmarkStart w:name="_bookmark4" w:id="17"/>
      <w:bookmarkEnd w:id="17"/>
      <w:r>
        <w:rPr>
          <w:b w:val="0"/>
        </w:rPr>
      </w:r>
      <w:r>
        <w:rPr>
          <w:color w:val="1F1546"/>
        </w:rPr>
        <w:t>Figure</w:t>
      </w:r>
      <w:r>
        <w:rPr>
          <w:color w:val="1F1546"/>
          <w:spacing w:val="-3"/>
        </w:rPr>
        <w:t> </w:t>
      </w:r>
      <w:r>
        <w:rPr>
          <w:color w:val="1F1546"/>
        </w:rPr>
        <w:t>4.</w:t>
      </w:r>
      <w:r>
        <w:rPr>
          <w:color w:val="1F1546"/>
          <w:spacing w:val="-2"/>
        </w:rPr>
        <w:t> </w:t>
      </w:r>
      <w:r>
        <w:rPr>
          <w:color w:val="1F1546"/>
        </w:rPr>
        <w:t>Estimated</w:t>
      </w:r>
      <w:r>
        <w:rPr>
          <w:color w:val="1F1546"/>
          <w:spacing w:val="-3"/>
        </w:rPr>
        <w:t> </w:t>
      </w:r>
      <w:r>
        <w:rPr>
          <w:color w:val="1F1546"/>
        </w:rPr>
        <w:t>site</w:t>
      </w:r>
      <w:r>
        <w:rPr>
          <w:color w:val="1F1546"/>
          <w:spacing w:val="-4"/>
        </w:rPr>
        <w:t> </w:t>
      </w:r>
      <w:r>
        <w:rPr>
          <w:color w:val="1F1546"/>
        </w:rPr>
        <w:t>survival</w:t>
      </w:r>
      <w:r>
        <w:rPr>
          <w:color w:val="1F1546"/>
          <w:spacing w:val="-4"/>
        </w:rPr>
        <w:t> </w:t>
      </w:r>
      <w:r>
        <w:rPr>
          <w:color w:val="1F1546"/>
        </w:rPr>
        <w:t>rates</w:t>
      </w:r>
      <w:r>
        <w:rPr>
          <w:color w:val="1F1546"/>
          <w:spacing w:val="-4"/>
        </w:rPr>
        <w:t> </w:t>
      </w:r>
      <w:r>
        <w:rPr>
          <w:color w:val="1F1546"/>
        </w:rPr>
        <w:t>for</w:t>
      </w:r>
      <w:r>
        <w:rPr>
          <w:color w:val="1F1546"/>
          <w:spacing w:val="-3"/>
        </w:rPr>
        <w:t> </w:t>
      </w:r>
      <w:r>
        <w:rPr>
          <w:color w:val="1F1546"/>
        </w:rPr>
        <w:t>the</w:t>
      </w:r>
      <w:r>
        <w:rPr>
          <w:color w:val="1F1546"/>
          <w:spacing w:val="-1"/>
        </w:rPr>
        <w:t> </w:t>
      </w:r>
      <w:r>
        <w:rPr>
          <w:color w:val="1F1546"/>
        </w:rPr>
        <w:t>Common</w:t>
      </w:r>
      <w:r>
        <w:rPr>
          <w:color w:val="1F1546"/>
          <w:spacing w:val="-3"/>
        </w:rPr>
        <w:t> </w:t>
      </w:r>
      <w:r>
        <w:rPr>
          <w:color w:val="1F1546"/>
        </w:rPr>
        <w:t>Brushtail</w:t>
      </w:r>
      <w:r>
        <w:rPr>
          <w:color w:val="1F1546"/>
          <w:spacing w:val="-2"/>
        </w:rPr>
        <w:t> </w:t>
      </w:r>
      <w:r>
        <w:rPr>
          <w:color w:val="1F1546"/>
        </w:rPr>
        <w:t>Possum</w:t>
      </w:r>
      <w:r>
        <w:rPr>
          <w:color w:val="1F1546"/>
          <w:spacing w:val="-3"/>
        </w:rPr>
        <w:t> </w:t>
      </w:r>
      <w:r>
        <w:rPr>
          <w:color w:val="1F1546"/>
        </w:rPr>
        <w:t>in</w:t>
      </w:r>
      <w:r>
        <w:rPr>
          <w:color w:val="1F1546"/>
          <w:spacing w:val="-1"/>
        </w:rPr>
        <w:t> </w:t>
      </w:r>
      <w:r>
        <w:rPr>
          <w:color w:val="1F1546"/>
        </w:rPr>
        <w:t>relation</w:t>
      </w:r>
      <w:r>
        <w:rPr>
          <w:color w:val="1F1546"/>
          <w:spacing w:val="-3"/>
        </w:rPr>
        <w:t> </w:t>
      </w:r>
      <w:r>
        <w:rPr>
          <w:color w:val="1F1546"/>
        </w:rPr>
        <w:t>to</w:t>
      </w:r>
      <w:r>
        <w:rPr>
          <w:color w:val="1F1546"/>
          <w:spacing w:val="-3"/>
        </w:rPr>
        <w:t> </w:t>
      </w:r>
      <w:r>
        <w:rPr>
          <w:color w:val="1F1546"/>
        </w:rPr>
        <w:t>distance</w:t>
      </w:r>
      <w:r>
        <w:rPr>
          <w:color w:val="1F1546"/>
          <w:spacing w:val="-5"/>
        </w:rPr>
        <w:t> </w:t>
      </w:r>
      <w:r>
        <w:rPr>
          <w:color w:val="1F1546"/>
        </w:rPr>
        <w:t>to non-native vegetation, terrain ruggedness, ecological vegetation division, and elevation given all other covariates were held at their mean values.</w:t>
      </w:r>
    </w:p>
    <w:p>
      <w:pPr>
        <w:spacing w:before="119"/>
        <w:ind w:left="1132" w:right="0" w:firstLine="0"/>
        <w:jc w:val="left"/>
        <w:rPr>
          <w:sz w:val="18"/>
        </w:rPr>
      </w:pPr>
      <w:r>
        <w:rPr>
          <w:sz w:val="18"/>
        </w:rPr>
        <w:t>The</w:t>
      </w:r>
      <w:r>
        <w:rPr>
          <w:spacing w:val="-3"/>
          <w:sz w:val="18"/>
        </w:rPr>
        <w:t> </w:t>
      </w:r>
      <w:r>
        <w:rPr>
          <w:sz w:val="18"/>
        </w:rPr>
        <w:t>lines</w:t>
      </w:r>
      <w:r>
        <w:rPr>
          <w:spacing w:val="-2"/>
          <w:sz w:val="18"/>
        </w:rPr>
        <w:t> </w:t>
      </w:r>
      <w:r>
        <w:rPr>
          <w:sz w:val="18"/>
        </w:rPr>
        <w:t>indicate</w:t>
      </w:r>
      <w:r>
        <w:rPr>
          <w:spacing w:val="-5"/>
          <w:sz w:val="18"/>
        </w:rPr>
        <w:t> </w:t>
      </w:r>
      <w:r>
        <w:rPr>
          <w:sz w:val="18"/>
        </w:rPr>
        <w:t>the</w:t>
      </w:r>
      <w:r>
        <w:rPr>
          <w:spacing w:val="-5"/>
          <w:sz w:val="18"/>
        </w:rPr>
        <w:t> </w:t>
      </w:r>
      <w:r>
        <w:rPr>
          <w:sz w:val="18"/>
        </w:rPr>
        <w:t>median</w:t>
      </w:r>
      <w:r>
        <w:rPr>
          <w:spacing w:val="-4"/>
          <w:sz w:val="18"/>
        </w:rPr>
        <w:t> </w:t>
      </w:r>
      <w:r>
        <w:rPr>
          <w:sz w:val="18"/>
        </w:rPr>
        <w:t>fitted</w:t>
      </w:r>
      <w:r>
        <w:rPr>
          <w:spacing w:val="-5"/>
          <w:sz w:val="18"/>
        </w:rPr>
        <w:t> </w:t>
      </w:r>
      <w:r>
        <w:rPr>
          <w:sz w:val="18"/>
        </w:rPr>
        <w:t>values,</w:t>
      </w:r>
      <w:r>
        <w:rPr>
          <w:spacing w:val="-3"/>
          <w:sz w:val="18"/>
        </w:rPr>
        <w:t> </w:t>
      </w:r>
      <w:r>
        <w:rPr>
          <w:sz w:val="18"/>
        </w:rPr>
        <w:t>and</w:t>
      </w:r>
      <w:r>
        <w:rPr>
          <w:spacing w:val="-3"/>
          <w:sz w:val="18"/>
        </w:rPr>
        <w:t> </w:t>
      </w:r>
      <w:r>
        <w:rPr>
          <w:sz w:val="18"/>
        </w:rPr>
        <w:t>the</w:t>
      </w:r>
      <w:r>
        <w:rPr>
          <w:spacing w:val="1"/>
          <w:sz w:val="18"/>
        </w:rPr>
        <w:t> </w:t>
      </w:r>
      <w:r>
        <w:rPr>
          <w:sz w:val="18"/>
        </w:rPr>
        <w:t>shaded</w:t>
      </w:r>
      <w:r>
        <w:rPr>
          <w:spacing w:val="-3"/>
          <w:sz w:val="18"/>
        </w:rPr>
        <w:t> </w:t>
      </w:r>
      <w:r>
        <w:rPr>
          <w:sz w:val="18"/>
        </w:rPr>
        <w:t>area</w:t>
      </w:r>
      <w:r>
        <w:rPr>
          <w:spacing w:val="-1"/>
          <w:sz w:val="18"/>
        </w:rPr>
        <w:t> </w:t>
      </w:r>
      <w:r>
        <w:rPr>
          <w:sz w:val="18"/>
        </w:rPr>
        <w:t>represent</w:t>
      </w:r>
      <w:r>
        <w:rPr>
          <w:spacing w:val="-3"/>
          <w:sz w:val="18"/>
        </w:rPr>
        <w:t> </w:t>
      </w:r>
      <w:r>
        <w:rPr>
          <w:sz w:val="18"/>
        </w:rPr>
        <w:t>the</w:t>
      </w:r>
      <w:r>
        <w:rPr>
          <w:spacing w:val="-3"/>
          <w:sz w:val="18"/>
        </w:rPr>
        <w:t> </w:t>
      </w:r>
      <w:r>
        <w:rPr>
          <w:sz w:val="18"/>
        </w:rPr>
        <w:t>95%</w:t>
      </w:r>
      <w:r>
        <w:rPr>
          <w:spacing w:val="-3"/>
          <w:sz w:val="18"/>
        </w:rPr>
        <w:t> </w:t>
      </w:r>
      <w:r>
        <w:rPr>
          <w:sz w:val="18"/>
        </w:rPr>
        <w:t>credible</w:t>
      </w:r>
      <w:r>
        <w:rPr>
          <w:spacing w:val="-3"/>
          <w:sz w:val="18"/>
        </w:rPr>
        <w:t> </w:t>
      </w:r>
      <w:r>
        <w:rPr>
          <w:spacing w:val="-2"/>
          <w:sz w:val="18"/>
        </w:rPr>
        <w:t>intervals.</w:t>
      </w:r>
    </w:p>
    <w:p>
      <w:pPr>
        <w:pStyle w:val="BodyText"/>
        <w:spacing w:before="184"/>
        <w:rPr>
          <w:sz w:val="18"/>
        </w:rPr>
      </w:pPr>
    </w:p>
    <w:p>
      <w:pPr>
        <w:pStyle w:val="Heading6"/>
        <w:rPr>
          <w:i/>
        </w:rPr>
      </w:pPr>
      <w:r>
        <w:rPr>
          <w:i/>
        </w:rPr>
        <w:t>Site</w:t>
      </w:r>
      <w:r>
        <w:rPr>
          <w:i/>
          <w:spacing w:val="-6"/>
        </w:rPr>
        <w:t> </w:t>
      </w:r>
      <w:r>
        <w:rPr>
          <w:i/>
          <w:spacing w:val="-2"/>
        </w:rPr>
        <w:t>colonisation</w:t>
      </w:r>
    </w:p>
    <w:p>
      <w:pPr>
        <w:pStyle w:val="BodyText"/>
        <w:spacing w:before="121"/>
        <w:ind w:left="1132"/>
      </w:pPr>
      <w:r>
        <w:rPr/>
        <w:t>In</w:t>
      </w:r>
      <w:r>
        <w:rPr>
          <w:spacing w:val="-8"/>
        </w:rPr>
        <w:t> </w:t>
      </w:r>
      <w:r>
        <w:rPr/>
        <w:t>FCMLs,</w:t>
      </w:r>
      <w:r>
        <w:rPr>
          <w:spacing w:val="-6"/>
        </w:rPr>
        <w:t> </w:t>
      </w:r>
      <w:r>
        <w:rPr/>
        <w:t>the</w:t>
      </w:r>
      <w:r>
        <w:rPr>
          <w:spacing w:val="-4"/>
        </w:rPr>
        <w:t> </w:t>
      </w:r>
      <w:r>
        <w:rPr/>
        <w:t>odds</w:t>
      </w:r>
      <w:r>
        <w:rPr>
          <w:spacing w:val="-5"/>
        </w:rPr>
        <w:t> </w:t>
      </w:r>
      <w:r>
        <w:rPr/>
        <w:t>of</w:t>
      </w:r>
      <w:r>
        <w:rPr>
          <w:spacing w:val="-6"/>
        </w:rPr>
        <w:t> </w:t>
      </w:r>
      <w:r>
        <w:rPr/>
        <w:t>an</w:t>
      </w:r>
      <w:r>
        <w:rPr>
          <w:spacing w:val="-7"/>
        </w:rPr>
        <w:t> </w:t>
      </w:r>
      <w:r>
        <w:rPr/>
        <w:t>unoccupied</w:t>
      </w:r>
      <w:r>
        <w:rPr>
          <w:spacing w:val="-7"/>
        </w:rPr>
        <w:t> </w:t>
      </w:r>
      <w:r>
        <w:rPr/>
        <w:t>site</w:t>
      </w:r>
      <w:r>
        <w:rPr>
          <w:spacing w:val="-6"/>
        </w:rPr>
        <w:t> </w:t>
      </w:r>
      <w:r>
        <w:rPr/>
        <w:t>becoming</w:t>
      </w:r>
      <w:r>
        <w:rPr>
          <w:spacing w:val="-5"/>
        </w:rPr>
        <w:t> </w:t>
      </w:r>
      <w:r>
        <w:rPr/>
        <w:t>occupied</w:t>
      </w:r>
      <w:r>
        <w:rPr>
          <w:spacing w:val="-5"/>
        </w:rPr>
        <w:t> </w:t>
      </w:r>
      <w:r>
        <w:rPr/>
        <w:t>was</w:t>
      </w:r>
      <w:r>
        <w:rPr>
          <w:spacing w:val="-6"/>
        </w:rPr>
        <w:t> </w:t>
      </w:r>
      <w:r>
        <w:rPr/>
        <w:t>3.33</w:t>
      </w:r>
      <w:r>
        <w:rPr>
          <w:spacing w:val="-6"/>
        </w:rPr>
        <w:t> </w:t>
      </w:r>
      <w:r>
        <w:rPr/>
        <w:t>(95%</w:t>
      </w:r>
      <w:r>
        <w:rPr>
          <w:spacing w:val="1"/>
        </w:rPr>
        <w:t> </w:t>
      </w:r>
      <w:r>
        <w:rPr/>
        <w:t>credible</w:t>
      </w:r>
      <w:r>
        <w:rPr>
          <w:spacing w:val="-4"/>
        </w:rPr>
        <w:t> </w:t>
      </w:r>
      <w:r>
        <w:rPr/>
        <w:t>interval</w:t>
      </w:r>
      <w:r>
        <w:rPr>
          <w:spacing w:val="-7"/>
        </w:rPr>
        <w:t> </w:t>
      </w:r>
      <w:r>
        <w:rPr/>
        <w:t>(CI):</w:t>
      </w:r>
      <w:r>
        <w:rPr>
          <w:spacing w:val="-2"/>
        </w:rPr>
        <w:t> 1.76–</w:t>
      </w:r>
    </w:p>
    <w:p>
      <w:pPr>
        <w:pStyle w:val="BodyText"/>
        <w:ind w:left="1132" w:right="1204"/>
      </w:pPr>
      <w:r>
        <w:rPr/>
        <w:t>6.73)</w:t>
      </w:r>
      <w:r>
        <w:rPr>
          <w:spacing w:val="-3"/>
        </w:rPr>
        <w:t> </w:t>
      </w:r>
      <w:r>
        <w:rPr/>
        <w:t>higher</w:t>
      </w:r>
      <w:r>
        <w:rPr>
          <w:spacing w:val="-2"/>
        </w:rPr>
        <w:t> </w:t>
      </w:r>
      <w:r>
        <w:rPr/>
        <w:t>in</w:t>
      </w:r>
      <w:r>
        <w:rPr>
          <w:spacing w:val="-3"/>
        </w:rPr>
        <w:t> </w:t>
      </w:r>
      <w:r>
        <w:rPr/>
        <w:t>Tall</w:t>
      </w:r>
      <w:r>
        <w:rPr>
          <w:spacing w:val="-2"/>
        </w:rPr>
        <w:t> </w:t>
      </w:r>
      <w:r>
        <w:rPr/>
        <w:t>Mixed</w:t>
      </w:r>
      <w:r>
        <w:rPr>
          <w:spacing w:val="-3"/>
        </w:rPr>
        <w:t> </w:t>
      </w:r>
      <w:r>
        <w:rPr/>
        <w:t>Forest</w:t>
      </w:r>
      <w:r>
        <w:rPr>
          <w:spacing w:val="-3"/>
        </w:rPr>
        <w:t> </w:t>
      </w:r>
      <w:r>
        <w:rPr/>
        <w:t>than</w:t>
      </w:r>
      <w:r>
        <w:rPr>
          <w:spacing w:val="-3"/>
        </w:rPr>
        <w:t> </w:t>
      </w:r>
      <w:r>
        <w:rPr/>
        <w:t>in</w:t>
      </w:r>
      <w:r>
        <w:rPr>
          <w:spacing w:val="-3"/>
        </w:rPr>
        <w:t> </w:t>
      </w:r>
      <w:r>
        <w:rPr/>
        <w:t>‘other</w:t>
      </w:r>
      <w:r>
        <w:rPr>
          <w:spacing w:val="-3"/>
        </w:rPr>
        <w:t> </w:t>
      </w:r>
      <w:r>
        <w:rPr/>
        <w:t>EVDs’.</w:t>
      </w:r>
      <w:r>
        <w:rPr>
          <w:spacing w:val="-3"/>
        </w:rPr>
        <w:t> </w:t>
      </w:r>
      <w:r>
        <w:rPr/>
        <w:t>In</w:t>
      </w:r>
      <w:r>
        <w:rPr>
          <w:spacing w:val="-3"/>
        </w:rPr>
        <w:t> </w:t>
      </w:r>
      <w:r>
        <w:rPr/>
        <w:t>the</w:t>
      </w:r>
      <w:r>
        <w:rPr>
          <w:spacing w:val="-1"/>
        </w:rPr>
        <w:t> </w:t>
      </w:r>
      <w:r>
        <w:rPr/>
        <w:t>absence</w:t>
      </w:r>
      <w:r>
        <w:rPr>
          <w:spacing w:val="-3"/>
        </w:rPr>
        <w:t> </w:t>
      </w:r>
      <w:r>
        <w:rPr/>
        <w:t>of</w:t>
      </w:r>
      <w:r>
        <w:rPr>
          <w:spacing w:val="-1"/>
        </w:rPr>
        <w:t> </w:t>
      </w:r>
      <w:r>
        <w:rPr/>
        <w:t>fox</w:t>
      </w:r>
      <w:r>
        <w:rPr>
          <w:spacing w:val="-2"/>
        </w:rPr>
        <w:t> </w:t>
      </w:r>
      <w:r>
        <w:rPr/>
        <w:t>control,</w:t>
      </w:r>
      <w:r>
        <w:rPr>
          <w:spacing w:val="-3"/>
        </w:rPr>
        <w:t> </w:t>
      </w:r>
      <w:r>
        <w:rPr/>
        <w:t>there</w:t>
      </w:r>
      <w:r>
        <w:rPr>
          <w:spacing w:val="-3"/>
        </w:rPr>
        <w:t> </w:t>
      </w:r>
      <w:r>
        <w:rPr/>
        <w:t>was no</w:t>
      </w:r>
      <w:r>
        <w:rPr>
          <w:spacing w:val="-4"/>
        </w:rPr>
        <w:t> </w:t>
      </w:r>
      <w:r>
        <w:rPr/>
        <w:t>detectable difference in colonisation between EVD classifications.</w:t>
      </w:r>
    </w:p>
    <w:p>
      <w:pPr>
        <w:pStyle w:val="BodyText"/>
        <w:spacing w:after="0"/>
        <w:sectPr>
          <w:footerReference w:type="default" r:id="rId37"/>
          <w:pgSz w:w="11910" w:h="16850"/>
          <w:pgMar w:header="0" w:footer="688" w:top="1060" w:bottom="880" w:left="0" w:right="0"/>
        </w:sectPr>
      </w:pPr>
    </w:p>
    <w:p>
      <w:pPr>
        <w:spacing w:line="240" w:lineRule="auto"/>
        <w:ind w:left="1203" w:right="0" w:firstLine="0"/>
        <w:rPr>
          <w:sz w:val="20"/>
        </w:rPr>
      </w:pPr>
      <w:r>
        <w:rPr>
          <w:sz w:val="20"/>
        </w:rPr>
        <w:drawing>
          <wp:inline distT="0" distB="0" distL="0" distR="0">
            <wp:extent cx="2904774" cy="3123628"/>
            <wp:effectExtent l="0" t="0" r="0" b="0"/>
            <wp:docPr id="87" name="Image 87" descr="A graph with red and blue lines  Description automatically generated"/>
            <wp:cNvGraphicFramePr>
              <a:graphicFrameLocks/>
            </wp:cNvGraphicFramePr>
            <a:graphic>
              <a:graphicData uri="http://schemas.openxmlformats.org/drawingml/2006/picture">
                <pic:pic>
                  <pic:nvPicPr>
                    <pic:cNvPr id="87" name="Image 87" descr="A graph with red and blue lines  Description automatically generated"/>
                    <pic:cNvPicPr/>
                  </pic:nvPicPr>
                  <pic:blipFill>
                    <a:blip r:embed="rId41" cstate="print"/>
                    <a:stretch>
                      <a:fillRect/>
                    </a:stretch>
                  </pic:blipFill>
                  <pic:spPr>
                    <a:xfrm>
                      <a:off x="0" y="0"/>
                      <a:ext cx="2904774" cy="3123628"/>
                    </a:xfrm>
                    <a:prstGeom prst="rect">
                      <a:avLst/>
                    </a:prstGeom>
                  </pic:spPr>
                </pic:pic>
              </a:graphicData>
            </a:graphic>
          </wp:inline>
        </w:drawing>
      </w:r>
      <w:r>
        <w:rPr>
          <w:sz w:val="20"/>
        </w:rPr>
      </w:r>
    </w:p>
    <w:p>
      <w:pPr>
        <w:pStyle w:val="BodyText"/>
        <w:spacing w:before="84"/>
      </w:pPr>
    </w:p>
    <w:p>
      <w:pPr>
        <w:pStyle w:val="Heading5"/>
        <w:ind w:right="1326"/>
      </w:pPr>
      <w:bookmarkStart w:name="_bookmark5" w:id="18"/>
      <w:bookmarkEnd w:id="18"/>
      <w:r>
        <w:rPr>
          <w:b w:val="0"/>
        </w:rPr>
      </w:r>
      <w:r>
        <w:rPr>
          <w:color w:val="1F1546"/>
        </w:rPr>
        <w:t>Figure</w:t>
      </w:r>
      <w:r>
        <w:rPr>
          <w:color w:val="1F1546"/>
          <w:spacing w:val="-3"/>
        </w:rPr>
        <w:t> </w:t>
      </w:r>
      <w:r>
        <w:rPr>
          <w:color w:val="1F1546"/>
        </w:rPr>
        <w:t>5.</w:t>
      </w:r>
      <w:r>
        <w:rPr>
          <w:color w:val="1F1546"/>
          <w:spacing w:val="-3"/>
        </w:rPr>
        <w:t> </w:t>
      </w:r>
      <w:r>
        <w:rPr>
          <w:color w:val="1F1546"/>
        </w:rPr>
        <w:t>Estimated</w:t>
      </w:r>
      <w:r>
        <w:rPr>
          <w:color w:val="1F1546"/>
          <w:spacing w:val="-3"/>
        </w:rPr>
        <w:t> </w:t>
      </w:r>
      <w:r>
        <w:rPr>
          <w:color w:val="1F1546"/>
        </w:rPr>
        <w:t>site</w:t>
      </w:r>
      <w:r>
        <w:rPr>
          <w:color w:val="1F1546"/>
          <w:spacing w:val="-4"/>
        </w:rPr>
        <w:t> </w:t>
      </w:r>
      <w:r>
        <w:rPr>
          <w:color w:val="1F1546"/>
        </w:rPr>
        <w:t>colonisation</w:t>
      </w:r>
      <w:r>
        <w:rPr>
          <w:color w:val="1F1546"/>
          <w:spacing w:val="-3"/>
        </w:rPr>
        <w:t> </w:t>
      </w:r>
      <w:r>
        <w:rPr>
          <w:color w:val="1F1546"/>
        </w:rPr>
        <w:t>rates</w:t>
      </w:r>
      <w:r>
        <w:rPr>
          <w:color w:val="1F1546"/>
          <w:spacing w:val="-4"/>
        </w:rPr>
        <w:t> </w:t>
      </w:r>
      <w:r>
        <w:rPr>
          <w:color w:val="1F1546"/>
        </w:rPr>
        <w:t>for</w:t>
      </w:r>
      <w:r>
        <w:rPr>
          <w:color w:val="1F1546"/>
          <w:spacing w:val="-3"/>
        </w:rPr>
        <w:t> </w:t>
      </w:r>
      <w:r>
        <w:rPr>
          <w:color w:val="1F1546"/>
        </w:rPr>
        <w:t>the</w:t>
      </w:r>
      <w:r>
        <w:rPr>
          <w:color w:val="1F1546"/>
          <w:spacing w:val="-2"/>
        </w:rPr>
        <w:t> </w:t>
      </w:r>
      <w:r>
        <w:rPr>
          <w:color w:val="1F1546"/>
        </w:rPr>
        <w:t>Common</w:t>
      </w:r>
      <w:r>
        <w:rPr>
          <w:color w:val="1F1546"/>
          <w:spacing w:val="-3"/>
        </w:rPr>
        <w:t> </w:t>
      </w:r>
      <w:r>
        <w:rPr>
          <w:color w:val="1F1546"/>
        </w:rPr>
        <w:t>Brushtail</w:t>
      </w:r>
      <w:r>
        <w:rPr>
          <w:color w:val="1F1546"/>
          <w:spacing w:val="-3"/>
        </w:rPr>
        <w:t> </w:t>
      </w:r>
      <w:r>
        <w:rPr>
          <w:color w:val="1F1546"/>
        </w:rPr>
        <w:t>Possum</w:t>
      </w:r>
      <w:r>
        <w:rPr>
          <w:color w:val="1F1546"/>
          <w:spacing w:val="-4"/>
        </w:rPr>
        <w:t> </w:t>
      </w:r>
      <w:r>
        <w:rPr>
          <w:color w:val="1F1546"/>
        </w:rPr>
        <w:t>in</w:t>
      </w:r>
      <w:r>
        <w:rPr>
          <w:color w:val="1F1546"/>
          <w:spacing w:val="-3"/>
        </w:rPr>
        <w:t> </w:t>
      </w:r>
      <w:r>
        <w:rPr>
          <w:color w:val="1F1546"/>
        </w:rPr>
        <w:t>relation</w:t>
      </w:r>
      <w:r>
        <w:rPr>
          <w:color w:val="1F1546"/>
          <w:spacing w:val="-3"/>
        </w:rPr>
        <w:t> </w:t>
      </w:r>
      <w:r>
        <w:rPr>
          <w:color w:val="1F1546"/>
        </w:rPr>
        <w:t>to ecological vegetation division, given all other covariates were held at their mean values.</w:t>
      </w:r>
    </w:p>
    <w:p>
      <w:pPr>
        <w:spacing w:before="120"/>
        <w:ind w:left="1132" w:right="0" w:firstLine="0"/>
        <w:jc w:val="left"/>
        <w:rPr>
          <w:sz w:val="18"/>
        </w:rPr>
      </w:pPr>
      <w:r>
        <w:rPr>
          <w:sz w:val="18"/>
        </w:rPr>
        <w:t>The</w:t>
      </w:r>
      <w:r>
        <w:rPr>
          <w:spacing w:val="-3"/>
          <w:sz w:val="18"/>
        </w:rPr>
        <w:t> </w:t>
      </w:r>
      <w:r>
        <w:rPr>
          <w:sz w:val="18"/>
        </w:rPr>
        <w:t>symbols</w:t>
      </w:r>
      <w:r>
        <w:rPr>
          <w:spacing w:val="-3"/>
          <w:sz w:val="18"/>
        </w:rPr>
        <w:t> </w:t>
      </w:r>
      <w:r>
        <w:rPr>
          <w:sz w:val="18"/>
        </w:rPr>
        <w:t>indicate</w:t>
      </w:r>
      <w:r>
        <w:rPr>
          <w:spacing w:val="-4"/>
          <w:sz w:val="18"/>
        </w:rPr>
        <w:t> </w:t>
      </w:r>
      <w:r>
        <w:rPr>
          <w:sz w:val="18"/>
        </w:rPr>
        <w:t>the</w:t>
      </w:r>
      <w:r>
        <w:rPr>
          <w:spacing w:val="-5"/>
          <w:sz w:val="18"/>
        </w:rPr>
        <w:t> </w:t>
      </w:r>
      <w:r>
        <w:rPr>
          <w:sz w:val="18"/>
        </w:rPr>
        <w:t>median</w:t>
      </w:r>
      <w:r>
        <w:rPr>
          <w:spacing w:val="-3"/>
          <w:sz w:val="18"/>
        </w:rPr>
        <w:t> </w:t>
      </w:r>
      <w:r>
        <w:rPr>
          <w:sz w:val="18"/>
        </w:rPr>
        <w:t>fitted</w:t>
      </w:r>
      <w:r>
        <w:rPr>
          <w:spacing w:val="-5"/>
          <w:sz w:val="18"/>
        </w:rPr>
        <w:t> </w:t>
      </w:r>
      <w:r>
        <w:rPr>
          <w:sz w:val="18"/>
        </w:rPr>
        <w:t>values,</w:t>
      </w:r>
      <w:r>
        <w:rPr>
          <w:spacing w:val="-3"/>
          <w:sz w:val="18"/>
        </w:rPr>
        <w:t> </w:t>
      </w:r>
      <w:r>
        <w:rPr>
          <w:sz w:val="18"/>
        </w:rPr>
        <w:t>and</w:t>
      </w:r>
      <w:r>
        <w:rPr>
          <w:spacing w:val="-3"/>
          <w:sz w:val="18"/>
        </w:rPr>
        <w:t> </w:t>
      </w:r>
      <w:r>
        <w:rPr>
          <w:sz w:val="18"/>
        </w:rPr>
        <w:t>the</w:t>
      </w:r>
      <w:r>
        <w:rPr>
          <w:spacing w:val="-3"/>
          <w:sz w:val="18"/>
        </w:rPr>
        <w:t> </w:t>
      </w:r>
      <w:r>
        <w:rPr>
          <w:sz w:val="18"/>
        </w:rPr>
        <w:t>bars</w:t>
      </w:r>
      <w:r>
        <w:rPr>
          <w:spacing w:val="-2"/>
          <w:sz w:val="18"/>
        </w:rPr>
        <w:t> </w:t>
      </w:r>
      <w:r>
        <w:rPr>
          <w:sz w:val="18"/>
        </w:rPr>
        <w:t>represent</w:t>
      </w:r>
      <w:r>
        <w:rPr>
          <w:spacing w:val="-3"/>
          <w:sz w:val="18"/>
        </w:rPr>
        <w:t> </w:t>
      </w:r>
      <w:r>
        <w:rPr>
          <w:sz w:val="18"/>
        </w:rPr>
        <w:t>the</w:t>
      </w:r>
      <w:r>
        <w:rPr>
          <w:spacing w:val="-3"/>
          <w:sz w:val="18"/>
        </w:rPr>
        <w:t> </w:t>
      </w:r>
      <w:r>
        <w:rPr>
          <w:sz w:val="18"/>
        </w:rPr>
        <w:t>95%</w:t>
      </w:r>
      <w:r>
        <w:rPr>
          <w:spacing w:val="-5"/>
          <w:sz w:val="18"/>
        </w:rPr>
        <w:t> </w:t>
      </w:r>
      <w:r>
        <w:rPr>
          <w:sz w:val="18"/>
        </w:rPr>
        <w:t>credible</w:t>
      </w:r>
      <w:r>
        <w:rPr>
          <w:spacing w:val="-3"/>
          <w:sz w:val="18"/>
        </w:rPr>
        <w:t> </w:t>
      </w:r>
      <w:r>
        <w:rPr>
          <w:spacing w:val="-2"/>
          <w:sz w:val="18"/>
        </w:rPr>
        <w:t>intervals.</w:t>
      </w:r>
    </w:p>
    <w:p>
      <w:pPr>
        <w:pStyle w:val="BodyText"/>
        <w:spacing w:before="184"/>
        <w:rPr>
          <w:sz w:val="18"/>
        </w:rPr>
      </w:pPr>
    </w:p>
    <w:p>
      <w:pPr>
        <w:spacing w:before="0"/>
        <w:ind w:left="1132" w:right="0" w:firstLine="0"/>
        <w:jc w:val="left"/>
        <w:rPr>
          <w:b/>
          <w:sz w:val="20"/>
        </w:rPr>
      </w:pPr>
      <w:r>
        <w:rPr>
          <w:b/>
          <w:sz w:val="20"/>
        </w:rPr>
        <w:t>Growth</w:t>
      </w:r>
      <w:r>
        <w:rPr>
          <w:b/>
          <w:spacing w:val="-8"/>
          <w:sz w:val="20"/>
        </w:rPr>
        <w:t> </w:t>
      </w:r>
      <w:r>
        <w:rPr>
          <w:b/>
          <w:spacing w:val="-2"/>
          <w:sz w:val="20"/>
        </w:rPr>
        <w:t>rates</w:t>
      </w:r>
    </w:p>
    <w:p>
      <w:pPr>
        <w:pStyle w:val="BodyText"/>
        <w:spacing w:before="121"/>
        <w:ind w:left="1132" w:right="1204"/>
      </w:pPr>
      <w:r>
        <w:rPr/>
        <w:t>The</w:t>
      </w:r>
      <w:r>
        <w:rPr>
          <w:spacing w:val="-5"/>
        </w:rPr>
        <w:t> </w:t>
      </w:r>
      <w:r>
        <w:rPr/>
        <w:t>annual</w:t>
      </w:r>
      <w:r>
        <w:rPr>
          <w:spacing w:val="-3"/>
        </w:rPr>
        <w:t> </w:t>
      </w:r>
      <w:r>
        <w:rPr/>
        <w:t>average</w:t>
      </w:r>
      <w:r>
        <w:rPr>
          <w:spacing w:val="-2"/>
        </w:rPr>
        <w:t> </w:t>
      </w:r>
      <w:r>
        <w:rPr/>
        <w:t>growth</w:t>
      </w:r>
      <w:r>
        <w:rPr>
          <w:spacing w:val="-2"/>
        </w:rPr>
        <w:t> </w:t>
      </w:r>
      <w:r>
        <w:rPr/>
        <w:t>rate</w:t>
      </w:r>
      <w:r>
        <w:rPr>
          <w:spacing w:val="-5"/>
        </w:rPr>
        <w:t> </w:t>
      </w:r>
      <w:r>
        <w:rPr/>
        <w:t>of</w:t>
      </w:r>
      <w:r>
        <w:rPr>
          <w:spacing w:val="-2"/>
        </w:rPr>
        <w:t> </w:t>
      </w:r>
      <w:r>
        <w:rPr/>
        <w:t>Common</w:t>
      </w:r>
      <w:r>
        <w:rPr>
          <w:spacing w:val="-4"/>
        </w:rPr>
        <w:t> </w:t>
      </w:r>
      <w:r>
        <w:rPr/>
        <w:t>Brushtail</w:t>
      </w:r>
      <w:r>
        <w:rPr>
          <w:spacing w:val="-3"/>
        </w:rPr>
        <w:t> </w:t>
      </w:r>
      <w:r>
        <w:rPr/>
        <w:t>Possum</w:t>
      </w:r>
      <w:r>
        <w:rPr>
          <w:spacing w:val="-2"/>
        </w:rPr>
        <w:t> </w:t>
      </w:r>
      <w:r>
        <w:rPr/>
        <w:t>occupancy in</w:t>
      </w:r>
      <w:r>
        <w:rPr>
          <w:spacing w:val="-4"/>
        </w:rPr>
        <w:t> </w:t>
      </w:r>
      <w:r>
        <w:rPr/>
        <w:t>NFCMLs</w:t>
      </w:r>
      <w:r>
        <w:rPr>
          <w:spacing w:val="-2"/>
        </w:rPr>
        <w:t> </w:t>
      </w:r>
      <w:r>
        <w:rPr/>
        <w:t>was</w:t>
      </w:r>
      <w:r>
        <w:rPr>
          <w:spacing w:val="-3"/>
        </w:rPr>
        <w:t> </w:t>
      </w:r>
      <w:r>
        <w:rPr/>
        <w:t>101%</w:t>
      </w:r>
      <w:r>
        <w:rPr>
          <w:spacing w:val="-4"/>
        </w:rPr>
        <w:t> </w:t>
      </w:r>
      <w:r>
        <w:rPr/>
        <w:t>(95%</w:t>
      </w:r>
      <w:r>
        <w:rPr>
          <w:spacing w:val="-4"/>
        </w:rPr>
        <w:t> </w:t>
      </w:r>
      <w:r>
        <w:rPr/>
        <w:t>CI: 100–103%), while in FCMLs the growth rate was 101% (95% CI: 100–107%). There was no difference in average annual growth rate (0%, 95% CI: -1–1%) at sites in FCMLs compared to at sites in NFCMLs</w:t>
      </w:r>
      <w:r>
        <w:rPr>
          <w:color w:val="363534"/>
        </w:rPr>
        <w:t>.</w:t>
      </w:r>
    </w:p>
    <w:p>
      <w:pPr>
        <w:pStyle w:val="Heading4"/>
        <w:numPr>
          <w:ilvl w:val="2"/>
          <w:numId w:val="5"/>
        </w:numPr>
        <w:tabs>
          <w:tab w:pos="1853" w:val="left" w:leader="none"/>
        </w:tabs>
        <w:spacing w:line="240" w:lineRule="auto" w:before="139" w:after="0"/>
        <w:ind w:left="1853" w:right="0" w:hanging="721"/>
        <w:jc w:val="left"/>
      </w:pPr>
      <w:bookmarkStart w:name="_TOC_250008" w:id="19"/>
      <w:r>
        <w:rPr/>
        <w:t>Long-nosed</w:t>
      </w:r>
      <w:r>
        <w:rPr>
          <w:spacing w:val="-8"/>
        </w:rPr>
        <w:t> </w:t>
      </w:r>
      <w:bookmarkEnd w:id="19"/>
      <w:r>
        <w:rPr>
          <w:spacing w:val="-2"/>
        </w:rPr>
        <w:t>Potoroo</w:t>
      </w:r>
    </w:p>
    <w:p>
      <w:pPr>
        <w:pStyle w:val="Heading6"/>
        <w:spacing w:before="58"/>
        <w:rPr>
          <w:i/>
        </w:rPr>
      </w:pPr>
      <w:r>
        <w:rPr>
          <w:i/>
          <w:spacing w:val="-2"/>
        </w:rPr>
        <w:t>Occupancy</w:t>
      </w:r>
    </w:p>
    <w:p>
      <w:pPr>
        <w:pStyle w:val="BodyText"/>
        <w:spacing w:before="121"/>
        <w:ind w:left="1132"/>
      </w:pPr>
      <w:r>
        <w:rPr/>
        <w:t>None</w:t>
      </w:r>
      <w:r>
        <w:rPr>
          <w:spacing w:val="-8"/>
        </w:rPr>
        <w:t> </w:t>
      </w:r>
      <w:r>
        <w:rPr/>
        <w:t>of</w:t>
      </w:r>
      <w:r>
        <w:rPr>
          <w:spacing w:val="-9"/>
        </w:rPr>
        <w:t> </w:t>
      </w:r>
      <w:r>
        <w:rPr/>
        <w:t>the</w:t>
      </w:r>
      <w:r>
        <w:rPr>
          <w:spacing w:val="-9"/>
        </w:rPr>
        <w:t> </w:t>
      </w:r>
      <w:r>
        <w:rPr/>
        <w:t>modelled</w:t>
      </w:r>
      <w:r>
        <w:rPr>
          <w:spacing w:val="-10"/>
        </w:rPr>
        <w:t> </w:t>
      </w:r>
      <w:r>
        <w:rPr/>
        <w:t>covariates</w:t>
      </w:r>
      <w:r>
        <w:rPr>
          <w:spacing w:val="-8"/>
        </w:rPr>
        <w:t> </w:t>
      </w:r>
      <w:r>
        <w:rPr/>
        <w:t>were</w:t>
      </w:r>
      <w:r>
        <w:rPr>
          <w:spacing w:val="-7"/>
        </w:rPr>
        <w:t> </w:t>
      </w:r>
      <w:r>
        <w:rPr/>
        <w:t>important</w:t>
      </w:r>
      <w:r>
        <w:rPr>
          <w:spacing w:val="-7"/>
        </w:rPr>
        <w:t> </w:t>
      </w:r>
      <w:r>
        <w:rPr/>
        <w:t>for</w:t>
      </w:r>
      <w:r>
        <w:rPr>
          <w:spacing w:val="-7"/>
        </w:rPr>
        <w:t> </w:t>
      </w:r>
      <w:r>
        <w:rPr/>
        <w:t>determining</w:t>
      </w:r>
      <w:r>
        <w:rPr>
          <w:spacing w:val="-9"/>
        </w:rPr>
        <w:t> </w:t>
      </w:r>
      <w:r>
        <w:rPr/>
        <w:t>initial</w:t>
      </w:r>
      <w:r>
        <w:rPr>
          <w:spacing w:val="-9"/>
        </w:rPr>
        <w:t> </w:t>
      </w:r>
      <w:r>
        <w:rPr/>
        <w:t>occupancy</w:t>
      </w:r>
      <w:r>
        <w:rPr>
          <w:spacing w:val="-1"/>
        </w:rPr>
        <w:t> </w:t>
      </w:r>
      <w:r>
        <w:rPr/>
        <w:t>(Table</w:t>
      </w:r>
      <w:r>
        <w:rPr>
          <w:spacing w:val="-7"/>
        </w:rPr>
        <w:t> </w:t>
      </w:r>
      <w:r>
        <w:rPr/>
        <w:t>A4-</w:t>
      </w:r>
      <w:r>
        <w:rPr>
          <w:spacing w:val="-5"/>
        </w:rPr>
        <w:t>A).</w:t>
      </w:r>
    </w:p>
    <w:p>
      <w:pPr>
        <w:pStyle w:val="BodyText"/>
        <w:spacing w:before="118"/>
        <w:ind w:left="1132" w:right="1204"/>
      </w:pPr>
      <w:r>
        <w:rPr/>
        <w:t>The</w:t>
      </w:r>
      <w:r>
        <w:rPr>
          <w:spacing w:val="-4"/>
        </w:rPr>
        <w:t> </w:t>
      </w:r>
      <w:r>
        <w:rPr/>
        <w:t>number</w:t>
      </w:r>
      <w:r>
        <w:rPr>
          <w:spacing w:val="-3"/>
        </w:rPr>
        <w:t> </w:t>
      </w:r>
      <w:r>
        <w:rPr/>
        <w:t>of</w:t>
      </w:r>
      <w:r>
        <w:rPr>
          <w:spacing w:val="-3"/>
        </w:rPr>
        <w:t> </w:t>
      </w:r>
      <w:r>
        <w:rPr/>
        <w:t>occupied</w:t>
      </w:r>
      <w:r>
        <w:rPr>
          <w:spacing w:val="-3"/>
        </w:rPr>
        <w:t> </w:t>
      </w:r>
      <w:r>
        <w:rPr/>
        <w:t>sites</w:t>
      </w:r>
      <w:r>
        <w:rPr>
          <w:spacing w:val="-1"/>
        </w:rPr>
        <w:t> </w:t>
      </w:r>
      <w:r>
        <w:rPr/>
        <w:t>has</w:t>
      </w:r>
      <w:r>
        <w:rPr>
          <w:spacing w:val="-2"/>
        </w:rPr>
        <w:t> </w:t>
      </w:r>
      <w:r>
        <w:rPr/>
        <w:t>remained</w:t>
      </w:r>
      <w:r>
        <w:rPr>
          <w:spacing w:val="-4"/>
        </w:rPr>
        <w:t> </w:t>
      </w:r>
      <w:r>
        <w:rPr/>
        <w:t>steady in</w:t>
      </w:r>
      <w:r>
        <w:rPr>
          <w:spacing w:val="-2"/>
        </w:rPr>
        <w:t> </w:t>
      </w:r>
      <w:r>
        <w:rPr/>
        <w:t>both</w:t>
      </w:r>
      <w:r>
        <w:rPr>
          <w:spacing w:val="-4"/>
        </w:rPr>
        <w:t> </w:t>
      </w:r>
      <w:r>
        <w:rPr/>
        <w:t>FCMLs</w:t>
      </w:r>
      <w:r>
        <w:rPr>
          <w:spacing w:val="-2"/>
        </w:rPr>
        <w:t> </w:t>
      </w:r>
      <w:r>
        <w:rPr/>
        <w:t>and</w:t>
      </w:r>
      <w:r>
        <w:rPr>
          <w:spacing w:val="-4"/>
        </w:rPr>
        <w:t> </w:t>
      </w:r>
      <w:r>
        <w:rPr/>
        <w:t>NFCMLs over</w:t>
      </w:r>
      <w:r>
        <w:rPr>
          <w:spacing w:val="-3"/>
        </w:rPr>
        <w:t> </w:t>
      </w:r>
      <w:r>
        <w:rPr/>
        <w:t>time.</w:t>
      </w:r>
      <w:r>
        <w:rPr>
          <w:spacing w:val="-3"/>
        </w:rPr>
        <w:t> </w:t>
      </w:r>
      <w:r>
        <w:rPr/>
        <w:t>There</w:t>
      </w:r>
      <w:r>
        <w:rPr>
          <w:spacing w:val="-3"/>
        </w:rPr>
        <w:t> </w:t>
      </w:r>
      <w:r>
        <w:rPr/>
        <w:t>is</w:t>
      </w:r>
      <w:r>
        <w:rPr>
          <w:spacing w:val="-2"/>
        </w:rPr>
        <w:t> </w:t>
      </w:r>
      <w:r>
        <w:rPr/>
        <w:t>strong evidence that the average occupancy rate for Long-nosed Potoroo in FCMLs was greater than in NFCMLs and has been so since 2008 (Figure 6).</w:t>
      </w:r>
    </w:p>
    <w:p>
      <w:pPr>
        <w:pStyle w:val="BodyText"/>
        <w:spacing w:after="0"/>
        <w:sectPr>
          <w:footerReference w:type="default" r:id="rId40"/>
          <w:pgSz w:w="11910" w:h="16850"/>
          <w:pgMar w:header="0" w:footer="688" w:top="1200" w:bottom="880" w:left="0" w:right="0"/>
        </w:sectPr>
      </w:pPr>
    </w:p>
    <w:p>
      <w:pPr>
        <w:spacing w:line="240" w:lineRule="auto"/>
        <w:ind w:left="1226" w:right="0" w:firstLine="0"/>
        <w:rPr>
          <w:sz w:val="20"/>
        </w:rPr>
      </w:pPr>
      <w:r>
        <w:rPr>
          <w:sz w:val="20"/>
        </w:rPr>
        <w:drawing>
          <wp:inline distT="0" distB="0" distL="0" distR="0">
            <wp:extent cx="3897302" cy="4167949"/>
            <wp:effectExtent l="0" t="0" r="0" b="0"/>
            <wp:docPr id="91" name="Image 91" descr="A graph of an occupancy rate  Description automatically generated"/>
            <wp:cNvGraphicFramePr>
              <a:graphicFrameLocks/>
            </wp:cNvGraphicFramePr>
            <a:graphic>
              <a:graphicData uri="http://schemas.openxmlformats.org/drawingml/2006/picture">
                <pic:pic>
                  <pic:nvPicPr>
                    <pic:cNvPr id="91" name="Image 91" descr="A graph of an occupancy rate  Description automatically generated"/>
                    <pic:cNvPicPr/>
                  </pic:nvPicPr>
                  <pic:blipFill>
                    <a:blip r:embed="rId43" cstate="print"/>
                    <a:stretch>
                      <a:fillRect/>
                    </a:stretch>
                  </pic:blipFill>
                  <pic:spPr>
                    <a:xfrm>
                      <a:off x="0" y="0"/>
                      <a:ext cx="3897302" cy="4167949"/>
                    </a:xfrm>
                    <a:prstGeom prst="rect">
                      <a:avLst/>
                    </a:prstGeom>
                  </pic:spPr>
                </pic:pic>
              </a:graphicData>
            </a:graphic>
          </wp:inline>
        </w:drawing>
      </w:r>
      <w:r>
        <w:rPr>
          <w:sz w:val="20"/>
        </w:rPr>
      </w:r>
    </w:p>
    <w:p>
      <w:pPr>
        <w:pStyle w:val="BodyText"/>
        <w:spacing w:before="49"/>
      </w:pPr>
    </w:p>
    <w:p>
      <w:pPr>
        <w:pStyle w:val="Heading5"/>
        <w:spacing w:before="1"/>
        <w:ind w:right="1204"/>
      </w:pPr>
      <w:bookmarkStart w:name="_bookmark6" w:id="20"/>
      <w:bookmarkEnd w:id="20"/>
      <w:r>
        <w:rPr>
          <w:b w:val="0"/>
        </w:rPr>
      </w:r>
      <w:r>
        <w:rPr>
          <w:color w:val="1F1546"/>
        </w:rPr>
        <w:t>Figure</w:t>
      </w:r>
      <w:r>
        <w:rPr>
          <w:color w:val="1F1546"/>
          <w:spacing w:val="-3"/>
        </w:rPr>
        <w:t> </w:t>
      </w:r>
      <w:r>
        <w:rPr>
          <w:color w:val="1F1546"/>
        </w:rPr>
        <w:t>6.</w:t>
      </w:r>
      <w:r>
        <w:rPr>
          <w:color w:val="1F1546"/>
          <w:spacing w:val="-4"/>
        </w:rPr>
        <w:t> </w:t>
      </w:r>
      <w:r>
        <w:rPr>
          <w:color w:val="1F1546"/>
        </w:rPr>
        <w:t>Occupancy</w:t>
      </w:r>
      <w:r>
        <w:rPr>
          <w:color w:val="1F1546"/>
          <w:spacing w:val="-4"/>
        </w:rPr>
        <w:t> </w:t>
      </w:r>
      <w:r>
        <w:rPr>
          <w:color w:val="1F1546"/>
        </w:rPr>
        <w:t>rates</w:t>
      </w:r>
      <w:r>
        <w:rPr>
          <w:color w:val="1F1546"/>
          <w:spacing w:val="-4"/>
        </w:rPr>
        <w:t> </w:t>
      </w:r>
      <w:r>
        <w:rPr>
          <w:color w:val="1F1546"/>
        </w:rPr>
        <w:t>for</w:t>
      </w:r>
      <w:r>
        <w:rPr>
          <w:color w:val="1F1546"/>
          <w:spacing w:val="-2"/>
        </w:rPr>
        <w:t> </w:t>
      </w:r>
      <w:r>
        <w:rPr>
          <w:color w:val="1F1546"/>
        </w:rPr>
        <w:t>the</w:t>
      </w:r>
      <w:r>
        <w:rPr>
          <w:color w:val="1F1546"/>
          <w:spacing w:val="-4"/>
        </w:rPr>
        <w:t> </w:t>
      </w:r>
      <w:r>
        <w:rPr>
          <w:color w:val="1F1546"/>
        </w:rPr>
        <w:t>Long-nosed</w:t>
      </w:r>
      <w:r>
        <w:rPr>
          <w:color w:val="1F1546"/>
          <w:spacing w:val="-3"/>
        </w:rPr>
        <w:t> </w:t>
      </w:r>
      <w:r>
        <w:rPr>
          <w:color w:val="1F1546"/>
        </w:rPr>
        <w:t>Potoroo</w:t>
      </w:r>
      <w:r>
        <w:rPr>
          <w:color w:val="1F1546"/>
          <w:spacing w:val="-3"/>
        </w:rPr>
        <w:t> </w:t>
      </w:r>
      <w:r>
        <w:rPr>
          <w:color w:val="1F1546"/>
        </w:rPr>
        <w:t>over</w:t>
      </w:r>
      <w:r>
        <w:rPr>
          <w:color w:val="1F1546"/>
          <w:spacing w:val="-2"/>
        </w:rPr>
        <w:t> </w:t>
      </w:r>
      <w:r>
        <w:rPr>
          <w:color w:val="1F1546"/>
        </w:rPr>
        <w:t>time</w:t>
      </w:r>
      <w:r>
        <w:rPr>
          <w:color w:val="1F1546"/>
          <w:spacing w:val="-4"/>
        </w:rPr>
        <w:t> </w:t>
      </w:r>
      <w:r>
        <w:rPr>
          <w:color w:val="1F1546"/>
        </w:rPr>
        <w:t>by</w:t>
      </w:r>
      <w:r>
        <w:rPr>
          <w:color w:val="1F1546"/>
          <w:spacing w:val="-4"/>
        </w:rPr>
        <w:t> </w:t>
      </w:r>
      <w:r>
        <w:rPr>
          <w:color w:val="1F1546"/>
        </w:rPr>
        <w:t>fox</w:t>
      </w:r>
      <w:r>
        <w:rPr>
          <w:color w:val="1F1546"/>
          <w:spacing w:val="-2"/>
        </w:rPr>
        <w:t> </w:t>
      </w:r>
      <w:r>
        <w:rPr>
          <w:color w:val="1F1546"/>
        </w:rPr>
        <w:t>control</w:t>
      </w:r>
      <w:r>
        <w:rPr>
          <w:color w:val="1F1546"/>
          <w:spacing w:val="-4"/>
        </w:rPr>
        <w:t> </w:t>
      </w:r>
      <w:r>
        <w:rPr>
          <w:color w:val="1F1546"/>
        </w:rPr>
        <w:t>status</w:t>
      </w:r>
      <w:r>
        <w:rPr>
          <w:color w:val="1F1546"/>
          <w:spacing w:val="-4"/>
        </w:rPr>
        <w:t> </w:t>
      </w:r>
      <w:r>
        <w:rPr>
          <w:color w:val="1F1546"/>
        </w:rPr>
        <w:t>and</w:t>
      </w:r>
      <w:r>
        <w:rPr>
          <w:color w:val="1F1546"/>
          <w:spacing w:val="-3"/>
        </w:rPr>
        <w:t> </w:t>
      </w:r>
      <w:r>
        <w:rPr>
          <w:color w:val="1F1546"/>
        </w:rPr>
        <w:t>the difference in that occupancy.</w:t>
      </w:r>
    </w:p>
    <w:p>
      <w:pPr>
        <w:pStyle w:val="BodyText"/>
        <w:spacing w:before="39"/>
        <w:ind w:left="1132"/>
      </w:pPr>
      <w:r>
        <w:rPr/>
        <w:t>The</w:t>
      </w:r>
      <w:r>
        <w:rPr>
          <w:spacing w:val="-9"/>
        </w:rPr>
        <w:t> </w:t>
      </w:r>
      <w:r>
        <w:rPr/>
        <w:t>symbols</w:t>
      </w:r>
      <w:r>
        <w:rPr>
          <w:spacing w:val="-6"/>
        </w:rPr>
        <w:t> </w:t>
      </w:r>
      <w:r>
        <w:rPr/>
        <w:t>indicate</w:t>
      </w:r>
      <w:r>
        <w:rPr>
          <w:spacing w:val="-8"/>
        </w:rPr>
        <w:t> </w:t>
      </w:r>
      <w:r>
        <w:rPr/>
        <w:t>the</w:t>
      </w:r>
      <w:r>
        <w:rPr>
          <w:spacing w:val="-7"/>
        </w:rPr>
        <w:t> </w:t>
      </w:r>
      <w:r>
        <w:rPr/>
        <w:t>median</w:t>
      </w:r>
      <w:r>
        <w:rPr>
          <w:spacing w:val="-9"/>
        </w:rPr>
        <w:t> </w:t>
      </w:r>
      <w:r>
        <w:rPr/>
        <w:t>fitted</w:t>
      </w:r>
      <w:r>
        <w:rPr>
          <w:spacing w:val="-7"/>
        </w:rPr>
        <w:t> </w:t>
      </w:r>
      <w:r>
        <w:rPr/>
        <w:t>values,</w:t>
      </w:r>
      <w:r>
        <w:rPr>
          <w:spacing w:val="-7"/>
        </w:rPr>
        <w:t> </w:t>
      </w:r>
      <w:r>
        <w:rPr/>
        <w:t>and</w:t>
      </w:r>
      <w:r>
        <w:rPr>
          <w:spacing w:val="-9"/>
        </w:rPr>
        <w:t> </w:t>
      </w:r>
      <w:r>
        <w:rPr/>
        <w:t>the</w:t>
      </w:r>
      <w:r>
        <w:rPr>
          <w:spacing w:val="-6"/>
        </w:rPr>
        <w:t> </w:t>
      </w:r>
      <w:r>
        <w:rPr/>
        <w:t>bars</w:t>
      </w:r>
      <w:r>
        <w:rPr>
          <w:spacing w:val="-7"/>
        </w:rPr>
        <w:t> </w:t>
      </w:r>
      <w:r>
        <w:rPr/>
        <w:t>represent</w:t>
      </w:r>
      <w:r>
        <w:rPr>
          <w:spacing w:val="-6"/>
        </w:rPr>
        <w:t> </w:t>
      </w:r>
      <w:r>
        <w:rPr/>
        <w:t>the</w:t>
      </w:r>
      <w:r>
        <w:rPr>
          <w:spacing w:val="-5"/>
        </w:rPr>
        <w:t> </w:t>
      </w:r>
      <w:r>
        <w:rPr/>
        <w:t>95%</w:t>
      </w:r>
      <w:r>
        <w:rPr>
          <w:spacing w:val="-8"/>
        </w:rPr>
        <w:t> </w:t>
      </w:r>
      <w:r>
        <w:rPr/>
        <w:t>credible</w:t>
      </w:r>
      <w:r>
        <w:rPr>
          <w:spacing w:val="-5"/>
        </w:rPr>
        <w:t> </w:t>
      </w:r>
      <w:r>
        <w:rPr>
          <w:spacing w:val="-2"/>
        </w:rPr>
        <w:t>intervals.</w:t>
      </w:r>
    </w:p>
    <w:p>
      <w:pPr>
        <w:pStyle w:val="BodyText"/>
      </w:pPr>
    </w:p>
    <w:p>
      <w:pPr>
        <w:pStyle w:val="BodyText"/>
        <w:spacing w:before="11"/>
      </w:pPr>
    </w:p>
    <w:p>
      <w:pPr>
        <w:pStyle w:val="Heading6"/>
        <w:rPr>
          <w:i/>
        </w:rPr>
      </w:pPr>
      <w:r>
        <w:rPr>
          <w:i/>
        </w:rPr>
        <w:t>Site</w:t>
      </w:r>
      <w:r>
        <w:rPr>
          <w:i/>
          <w:spacing w:val="-6"/>
        </w:rPr>
        <w:t> </w:t>
      </w:r>
      <w:r>
        <w:rPr>
          <w:i/>
          <w:spacing w:val="-2"/>
        </w:rPr>
        <w:t>survival</w:t>
      </w:r>
    </w:p>
    <w:p>
      <w:pPr>
        <w:pStyle w:val="BodyText"/>
        <w:spacing w:before="120"/>
        <w:ind w:left="1132" w:right="1140"/>
      </w:pPr>
      <w:r>
        <w:rPr/>
        <w:t>Site</w:t>
      </w:r>
      <w:r>
        <w:rPr>
          <w:spacing w:val="-4"/>
        </w:rPr>
        <w:t> </w:t>
      </w:r>
      <w:r>
        <w:rPr/>
        <w:t>survival</w:t>
      </w:r>
      <w:r>
        <w:rPr>
          <w:spacing w:val="-2"/>
        </w:rPr>
        <w:t> </w:t>
      </w:r>
      <w:r>
        <w:rPr/>
        <w:t>decreased</w:t>
      </w:r>
      <w:r>
        <w:rPr>
          <w:spacing w:val="-4"/>
        </w:rPr>
        <w:t> </w:t>
      </w:r>
      <w:r>
        <w:rPr/>
        <w:t>with</w:t>
      </w:r>
      <w:r>
        <w:rPr>
          <w:spacing w:val="-4"/>
        </w:rPr>
        <w:t> </w:t>
      </w:r>
      <w:r>
        <w:rPr/>
        <w:t>distance</w:t>
      </w:r>
      <w:r>
        <w:rPr>
          <w:spacing w:val="-4"/>
        </w:rPr>
        <w:t> </w:t>
      </w:r>
      <w:r>
        <w:rPr/>
        <w:t>to</w:t>
      </w:r>
      <w:r>
        <w:rPr>
          <w:spacing w:val="-4"/>
        </w:rPr>
        <w:t> </w:t>
      </w:r>
      <w:r>
        <w:rPr/>
        <w:t>water</w:t>
      </w:r>
      <w:r>
        <w:rPr>
          <w:spacing w:val="-4"/>
        </w:rPr>
        <w:t> </w:t>
      </w:r>
      <w:r>
        <w:rPr/>
        <w:t>in</w:t>
      </w:r>
      <w:r>
        <w:rPr>
          <w:spacing w:val="-1"/>
        </w:rPr>
        <w:t> </w:t>
      </w:r>
      <w:r>
        <w:rPr/>
        <w:t>NFCMLs</w:t>
      </w:r>
      <w:r>
        <w:rPr>
          <w:spacing w:val="-3"/>
        </w:rPr>
        <w:t> </w:t>
      </w:r>
      <w:r>
        <w:rPr/>
        <w:t>but</w:t>
      </w:r>
      <w:r>
        <w:rPr>
          <w:spacing w:val="-1"/>
        </w:rPr>
        <w:t> </w:t>
      </w:r>
      <w:r>
        <w:rPr/>
        <w:t>was</w:t>
      </w:r>
      <w:r>
        <w:rPr>
          <w:spacing w:val="-2"/>
        </w:rPr>
        <w:t> </w:t>
      </w:r>
      <w:r>
        <w:rPr/>
        <w:t>constant</w:t>
      </w:r>
      <w:r>
        <w:rPr>
          <w:spacing w:val="-3"/>
        </w:rPr>
        <w:t> </w:t>
      </w:r>
      <w:r>
        <w:rPr/>
        <w:t>with</w:t>
      </w:r>
      <w:r>
        <w:rPr>
          <w:spacing w:val="-2"/>
        </w:rPr>
        <w:t> </w:t>
      </w:r>
      <w:r>
        <w:rPr/>
        <w:t>increasing</w:t>
      </w:r>
      <w:r>
        <w:rPr>
          <w:spacing w:val="-1"/>
        </w:rPr>
        <w:t> </w:t>
      </w:r>
      <w:r>
        <w:rPr/>
        <w:t>distance</w:t>
      </w:r>
      <w:r>
        <w:rPr>
          <w:spacing w:val="-4"/>
        </w:rPr>
        <w:t> </w:t>
      </w:r>
      <w:r>
        <w:rPr/>
        <w:t>to</w:t>
      </w:r>
      <w:r>
        <w:rPr>
          <w:spacing w:val="-4"/>
        </w:rPr>
        <w:t> </w:t>
      </w:r>
      <w:r>
        <w:rPr/>
        <w:t>water FCMLs (Table A4-B; Figure 7).</w:t>
      </w:r>
    </w:p>
    <w:p>
      <w:pPr>
        <w:pStyle w:val="BodyText"/>
        <w:spacing w:before="119"/>
        <w:ind w:left="1132"/>
      </w:pPr>
      <w:r>
        <w:rPr/>
        <w:t>At</w:t>
      </w:r>
      <w:r>
        <w:rPr>
          <w:spacing w:val="-7"/>
        </w:rPr>
        <w:t> </w:t>
      </w:r>
      <w:r>
        <w:rPr/>
        <w:t>the</w:t>
      </w:r>
      <w:r>
        <w:rPr>
          <w:spacing w:val="-6"/>
        </w:rPr>
        <w:t> </w:t>
      </w:r>
      <w:r>
        <w:rPr/>
        <w:t>average</w:t>
      </w:r>
      <w:r>
        <w:rPr>
          <w:spacing w:val="-5"/>
        </w:rPr>
        <w:t> </w:t>
      </w:r>
      <w:r>
        <w:rPr/>
        <w:t>distance</w:t>
      </w:r>
      <w:r>
        <w:rPr>
          <w:spacing w:val="-6"/>
        </w:rPr>
        <w:t> </w:t>
      </w:r>
      <w:r>
        <w:rPr/>
        <w:t>to</w:t>
      </w:r>
      <w:r>
        <w:rPr>
          <w:spacing w:val="-4"/>
        </w:rPr>
        <w:t> </w:t>
      </w:r>
      <w:r>
        <w:rPr/>
        <w:t>water,</w:t>
      </w:r>
      <w:r>
        <w:rPr>
          <w:spacing w:val="-6"/>
        </w:rPr>
        <w:t> </w:t>
      </w:r>
      <w:r>
        <w:rPr/>
        <w:t>the</w:t>
      </w:r>
      <w:r>
        <w:rPr>
          <w:spacing w:val="-7"/>
        </w:rPr>
        <w:t> </w:t>
      </w:r>
      <w:r>
        <w:rPr/>
        <w:t>odds</w:t>
      </w:r>
      <w:r>
        <w:rPr>
          <w:spacing w:val="-5"/>
        </w:rPr>
        <w:t> </w:t>
      </w:r>
      <w:r>
        <w:rPr/>
        <w:t>of</w:t>
      </w:r>
      <w:r>
        <w:rPr>
          <w:spacing w:val="-4"/>
        </w:rPr>
        <w:t> </w:t>
      </w:r>
      <w:r>
        <w:rPr/>
        <w:t>an</w:t>
      </w:r>
      <w:r>
        <w:rPr>
          <w:spacing w:val="-5"/>
        </w:rPr>
        <w:t> </w:t>
      </w:r>
      <w:r>
        <w:rPr/>
        <w:t>occupied</w:t>
      </w:r>
      <w:r>
        <w:rPr>
          <w:spacing w:val="-7"/>
        </w:rPr>
        <w:t> </w:t>
      </w:r>
      <w:r>
        <w:rPr/>
        <w:t>site</w:t>
      </w:r>
      <w:r>
        <w:rPr>
          <w:spacing w:val="-4"/>
        </w:rPr>
        <w:t> </w:t>
      </w:r>
      <w:r>
        <w:rPr/>
        <w:t>remaining</w:t>
      </w:r>
      <w:r>
        <w:rPr>
          <w:spacing w:val="-6"/>
        </w:rPr>
        <w:t> </w:t>
      </w:r>
      <w:r>
        <w:rPr/>
        <w:t>occupied</w:t>
      </w:r>
      <w:r>
        <w:rPr>
          <w:spacing w:val="-6"/>
        </w:rPr>
        <w:t> </w:t>
      </w:r>
      <w:r>
        <w:rPr/>
        <w:t>was</w:t>
      </w:r>
      <w:r>
        <w:rPr>
          <w:spacing w:val="-5"/>
        </w:rPr>
        <w:t> </w:t>
      </w:r>
      <w:r>
        <w:rPr/>
        <w:t>larger</w:t>
      </w:r>
      <w:r>
        <w:rPr>
          <w:spacing w:val="-5"/>
        </w:rPr>
        <w:t> </w:t>
      </w:r>
      <w:r>
        <w:rPr/>
        <w:t>by</w:t>
      </w:r>
      <w:r>
        <w:rPr>
          <w:spacing w:val="-3"/>
        </w:rPr>
        <w:t> </w:t>
      </w:r>
      <w:r>
        <w:rPr/>
        <w:t>a</w:t>
      </w:r>
      <w:r>
        <w:rPr>
          <w:spacing w:val="-6"/>
        </w:rPr>
        <w:t> </w:t>
      </w:r>
      <w:r>
        <w:rPr/>
        <w:t>factor</w:t>
      </w:r>
      <w:r>
        <w:rPr>
          <w:spacing w:val="-4"/>
        </w:rPr>
        <w:t> </w:t>
      </w:r>
      <w:r>
        <w:rPr>
          <w:spacing w:val="-5"/>
        </w:rPr>
        <w:t>of</w:t>
      </w:r>
    </w:p>
    <w:p>
      <w:pPr>
        <w:pStyle w:val="BodyText"/>
        <w:ind w:left="1132"/>
      </w:pPr>
      <w:r>
        <w:rPr/>
        <w:t>2.9</w:t>
      </w:r>
      <w:r>
        <w:rPr>
          <w:spacing w:val="-6"/>
        </w:rPr>
        <w:t> </w:t>
      </w:r>
      <w:r>
        <w:rPr/>
        <w:t>(95%</w:t>
      </w:r>
      <w:r>
        <w:rPr>
          <w:spacing w:val="-5"/>
        </w:rPr>
        <w:t> </w:t>
      </w:r>
      <w:r>
        <w:rPr/>
        <w:t>credible</w:t>
      </w:r>
      <w:r>
        <w:rPr>
          <w:spacing w:val="-6"/>
        </w:rPr>
        <w:t> </w:t>
      </w:r>
      <w:r>
        <w:rPr/>
        <w:t>interval</w:t>
      </w:r>
      <w:r>
        <w:rPr>
          <w:spacing w:val="-4"/>
        </w:rPr>
        <w:t> </w:t>
      </w:r>
      <w:r>
        <w:rPr/>
        <w:t>1.0–8.6)</w:t>
      </w:r>
      <w:r>
        <w:rPr>
          <w:spacing w:val="-4"/>
        </w:rPr>
        <w:t> </w:t>
      </w:r>
      <w:r>
        <w:rPr/>
        <w:t>in</w:t>
      </w:r>
      <w:r>
        <w:rPr>
          <w:spacing w:val="-4"/>
        </w:rPr>
        <w:t> </w:t>
      </w:r>
      <w:r>
        <w:rPr/>
        <w:t>FCMLs</w:t>
      </w:r>
      <w:r>
        <w:rPr>
          <w:spacing w:val="-4"/>
        </w:rPr>
        <w:t> </w:t>
      </w:r>
      <w:r>
        <w:rPr/>
        <w:t>than</w:t>
      </w:r>
      <w:r>
        <w:rPr>
          <w:spacing w:val="-6"/>
        </w:rPr>
        <w:t> </w:t>
      </w:r>
      <w:r>
        <w:rPr/>
        <w:t>in</w:t>
      </w:r>
      <w:r>
        <w:rPr>
          <w:spacing w:val="-5"/>
        </w:rPr>
        <w:t> </w:t>
      </w:r>
      <w:r>
        <w:rPr>
          <w:spacing w:val="-2"/>
        </w:rPr>
        <w:t>NFCMLs.</w:t>
      </w:r>
    </w:p>
    <w:p>
      <w:pPr>
        <w:pStyle w:val="BodyText"/>
        <w:spacing w:before="121"/>
        <w:ind w:left="1132"/>
      </w:pPr>
      <w:r>
        <w:rPr/>
        <w:t>Site</w:t>
      </w:r>
      <w:r>
        <w:rPr>
          <w:spacing w:val="-7"/>
        </w:rPr>
        <w:t> </w:t>
      </w:r>
      <w:r>
        <w:rPr/>
        <w:t>survival</w:t>
      </w:r>
      <w:r>
        <w:rPr>
          <w:spacing w:val="-8"/>
        </w:rPr>
        <w:t> </w:t>
      </w:r>
      <w:r>
        <w:rPr/>
        <w:t>rates</w:t>
      </w:r>
      <w:r>
        <w:rPr>
          <w:spacing w:val="-5"/>
        </w:rPr>
        <w:t> </w:t>
      </w:r>
      <w:r>
        <w:rPr/>
        <w:t>increased</w:t>
      </w:r>
      <w:r>
        <w:rPr>
          <w:spacing w:val="-6"/>
        </w:rPr>
        <w:t> </w:t>
      </w:r>
      <w:r>
        <w:rPr/>
        <w:t>with</w:t>
      </w:r>
      <w:r>
        <w:rPr>
          <w:spacing w:val="-6"/>
        </w:rPr>
        <w:t> </w:t>
      </w:r>
      <w:r>
        <w:rPr/>
        <w:t>increasing</w:t>
      </w:r>
      <w:r>
        <w:rPr>
          <w:spacing w:val="-6"/>
        </w:rPr>
        <w:t> </w:t>
      </w:r>
      <w:r>
        <w:rPr/>
        <w:t>TWI</w:t>
      </w:r>
      <w:r>
        <w:rPr>
          <w:spacing w:val="-6"/>
        </w:rPr>
        <w:t> </w:t>
      </w:r>
      <w:r>
        <w:rPr/>
        <w:t>regardless</w:t>
      </w:r>
      <w:r>
        <w:rPr>
          <w:spacing w:val="-6"/>
        </w:rPr>
        <w:t> </w:t>
      </w:r>
      <w:r>
        <w:rPr/>
        <w:t>of</w:t>
      </w:r>
      <w:r>
        <w:rPr>
          <w:spacing w:val="-5"/>
        </w:rPr>
        <w:t> </w:t>
      </w:r>
      <w:r>
        <w:rPr/>
        <w:t>the</w:t>
      </w:r>
      <w:r>
        <w:rPr>
          <w:spacing w:val="-6"/>
        </w:rPr>
        <w:t> </w:t>
      </w:r>
      <w:r>
        <w:rPr/>
        <w:t>presence</w:t>
      </w:r>
      <w:r>
        <w:rPr>
          <w:spacing w:val="-5"/>
        </w:rPr>
        <w:t> </w:t>
      </w:r>
      <w:r>
        <w:rPr/>
        <w:t>of</w:t>
      </w:r>
      <w:r>
        <w:rPr>
          <w:spacing w:val="-7"/>
        </w:rPr>
        <w:t> </w:t>
      </w:r>
      <w:r>
        <w:rPr/>
        <w:t>fox</w:t>
      </w:r>
      <w:r>
        <w:rPr>
          <w:spacing w:val="-6"/>
        </w:rPr>
        <w:t> </w:t>
      </w:r>
      <w:r>
        <w:rPr/>
        <w:t>control</w:t>
      </w:r>
      <w:r>
        <w:rPr>
          <w:spacing w:val="-5"/>
        </w:rPr>
        <w:t> </w:t>
      </w:r>
      <w:r>
        <w:rPr/>
        <w:t>(Figure</w:t>
      </w:r>
      <w:r>
        <w:rPr>
          <w:spacing w:val="-4"/>
        </w:rPr>
        <w:t> </w:t>
      </w:r>
      <w:r>
        <w:rPr>
          <w:spacing w:val="-5"/>
        </w:rPr>
        <w:t>7).</w:t>
      </w:r>
    </w:p>
    <w:p>
      <w:pPr>
        <w:pStyle w:val="BodyText"/>
        <w:spacing w:after="0"/>
        <w:sectPr>
          <w:footerReference w:type="default" r:id="rId42"/>
          <w:pgSz w:w="11910" w:h="16850"/>
          <w:pgMar w:header="0" w:footer="688" w:top="1220" w:bottom="880" w:left="0" w:right="0"/>
        </w:sectPr>
      </w:pPr>
    </w:p>
    <w:p>
      <w:pPr>
        <w:spacing w:line="240" w:lineRule="auto"/>
        <w:ind w:left="1134" w:right="0" w:firstLine="0"/>
        <w:rPr>
          <w:sz w:val="20"/>
        </w:rPr>
      </w:pPr>
      <w:r>
        <w:rPr>
          <w:sz w:val="20"/>
        </w:rPr>
        <w:drawing>
          <wp:inline distT="0" distB="0" distL="0" distR="0">
            <wp:extent cx="5832388" cy="3118961"/>
            <wp:effectExtent l="0" t="0" r="0" b="0"/>
            <wp:docPr id="95" name="Image 95"/>
            <wp:cNvGraphicFramePr>
              <a:graphicFrameLocks/>
            </wp:cNvGraphicFramePr>
            <a:graphic>
              <a:graphicData uri="http://schemas.openxmlformats.org/drawingml/2006/picture">
                <pic:pic>
                  <pic:nvPicPr>
                    <pic:cNvPr id="95" name="Image 95"/>
                    <pic:cNvPicPr/>
                  </pic:nvPicPr>
                  <pic:blipFill>
                    <a:blip r:embed="rId45" cstate="print"/>
                    <a:stretch>
                      <a:fillRect/>
                    </a:stretch>
                  </pic:blipFill>
                  <pic:spPr>
                    <a:xfrm>
                      <a:off x="0" y="0"/>
                      <a:ext cx="5832388" cy="3118961"/>
                    </a:xfrm>
                    <a:prstGeom prst="rect">
                      <a:avLst/>
                    </a:prstGeom>
                  </pic:spPr>
                </pic:pic>
              </a:graphicData>
            </a:graphic>
          </wp:inline>
        </w:drawing>
      </w:r>
      <w:r>
        <w:rPr>
          <w:sz w:val="20"/>
        </w:rPr>
      </w:r>
    </w:p>
    <w:p>
      <w:pPr>
        <w:pStyle w:val="BodyText"/>
        <w:spacing w:before="10"/>
      </w:pPr>
    </w:p>
    <w:p>
      <w:pPr>
        <w:pStyle w:val="Heading5"/>
        <w:ind w:right="1140"/>
      </w:pPr>
      <w:bookmarkStart w:name="_bookmark7" w:id="21"/>
      <w:bookmarkEnd w:id="21"/>
      <w:r>
        <w:rPr>
          <w:b w:val="0"/>
        </w:rPr>
      </w:r>
      <w:r>
        <w:rPr>
          <w:color w:val="1F1546"/>
        </w:rPr>
        <w:t>Figure 7. Estimated site survival rates for the Long-nosed Potoroo in relation to distance to nearest water,</w:t>
      </w:r>
      <w:r>
        <w:rPr>
          <w:color w:val="1F1546"/>
          <w:spacing w:val="-4"/>
        </w:rPr>
        <w:t> </w:t>
      </w:r>
      <w:r>
        <w:rPr>
          <w:color w:val="1F1546"/>
        </w:rPr>
        <w:t>by</w:t>
      </w:r>
      <w:r>
        <w:rPr>
          <w:color w:val="1F1546"/>
          <w:spacing w:val="-4"/>
        </w:rPr>
        <w:t> </w:t>
      </w:r>
      <w:r>
        <w:rPr>
          <w:color w:val="1F1546"/>
        </w:rPr>
        <w:t>fox-control</w:t>
      </w:r>
      <w:r>
        <w:rPr>
          <w:color w:val="1F1546"/>
          <w:spacing w:val="-4"/>
        </w:rPr>
        <w:t> </w:t>
      </w:r>
      <w:r>
        <w:rPr>
          <w:color w:val="1F1546"/>
        </w:rPr>
        <w:t>status,</w:t>
      </w:r>
      <w:r>
        <w:rPr>
          <w:color w:val="1F1546"/>
          <w:spacing w:val="-4"/>
        </w:rPr>
        <w:t> </w:t>
      </w:r>
      <w:r>
        <w:rPr>
          <w:color w:val="1F1546"/>
        </w:rPr>
        <w:t>and</w:t>
      </w:r>
      <w:r>
        <w:rPr>
          <w:color w:val="1F1546"/>
          <w:spacing w:val="-3"/>
        </w:rPr>
        <w:t> </w:t>
      </w:r>
      <w:r>
        <w:rPr>
          <w:color w:val="1F1546"/>
        </w:rPr>
        <w:t>topographical</w:t>
      </w:r>
      <w:r>
        <w:rPr>
          <w:color w:val="1F1546"/>
          <w:spacing w:val="-4"/>
        </w:rPr>
        <w:t> </w:t>
      </w:r>
      <w:r>
        <w:rPr>
          <w:color w:val="1F1546"/>
        </w:rPr>
        <w:t>wetness</w:t>
      </w:r>
      <w:r>
        <w:rPr>
          <w:color w:val="1F1546"/>
          <w:spacing w:val="-4"/>
        </w:rPr>
        <w:t> </w:t>
      </w:r>
      <w:r>
        <w:rPr>
          <w:color w:val="1F1546"/>
        </w:rPr>
        <w:t>index,</w:t>
      </w:r>
      <w:r>
        <w:rPr>
          <w:color w:val="1F1546"/>
          <w:spacing w:val="-4"/>
        </w:rPr>
        <w:t> </w:t>
      </w:r>
      <w:r>
        <w:rPr>
          <w:color w:val="1F1546"/>
        </w:rPr>
        <w:t>given</w:t>
      </w:r>
      <w:r>
        <w:rPr>
          <w:color w:val="1F1546"/>
          <w:spacing w:val="-4"/>
        </w:rPr>
        <w:t> </w:t>
      </w:r>
      <w:r>
        <w:rPr>
          <w:color w:val="1F1546"/>
        </w:rPr>
        <w:t>all</w:t>
      </w:r>
      <w:r>
        <w:rPr>
          <w:color w:val="1F1546"/>
          <w:spacing w:val="-4"/>
        </w:rPr>
        <w:t> </w:t>
      </w:r>
      <w:r>
        <w:rPr>
          <w:color w:val="1F1546"/>
        </w:rPr>
        <w:t>other</w:t>
      </w:r>
      <w:r>
        <w:rPr>
          <w:color w:val="1F1546"/>
          <w:spacing w:val="-5"/>
        </w:rPr>
        <w:t> </w:t>
      </w:r>
      <w:r>
        <w:rPr>
          <w:color w:val="1F1546"/>
        </w:rPr>
        <w:t>covariates were</w:t>
      </w:r>
      <w:r>
        <w:rPr>
          <w:color w:val="1F1546"/>
          <w:spacing w:val="-2"/>
        </w:rPr>
        <w:t> </w:t>
      </w:r>
      <w:r>
        <w:rPr>
          <w:color w:val="1F1546"/>
        </w:rPr>
        <w:t>held</w:t>
      </w:r>
      <w:r>
        <w:rPr>
          <w:color w:val="1F1546"/>
          <w:spacing w:val="-3"/>
        </w:rPr>
        <w:t> </w:t>
      </w:r>
      <w:r>
        <w:rPr>
          <w:color w:val="1F1546"/>
        </w:rPr>
        <w:t>at their mean values.</w:t>
      </w:r>
    </w:p>
    <w:p>
      <w:pPr>
        <w:spacing w:before="42"/>
        <w:ind w:left="1132" w:right="0" w:firstLine="0"/>
        <w:jc w:val="left"/>
        <w:rPr>
          <w:sz w:val="18"/>
        </w:rPr>
      </w:pPr>
      <w:r>
        <w:rPr>
          <w:sz w:val="18"/>
        </w:rPr>
        <w:t>The</w:t>
      </w:r>
      <w:r>
        <w:rPr>
          <w:spacing w:val="-3"/>
          <w:sz w:val="18"/>
        </w:rPr>
        <w:t> </w:t>
      </w:r>
      <w:r>
        <w:rPr>
          <w:sz w:val="18"/>
        </w:rPr>
        <w:t>lines</w:t>
      </w:r>
      <w:r>
        <w:rPr>
          <w:spacing w:val="-2"/>
          <w:sz w:val="18"/>
        </w:rPr>
        <w:t> </w:t>
      </w:r>
      <w:r>
        <w:rPr>
          <w:sz w:val="18"/>
        </w:rPr>
        <w:t>indicate</w:t>
      </w:r>
      <w:r>
        <w:rPr>
          <w:spacing w:val="-4"/>
          <w:sz w:val="18"/>
        </w:rPr>
        <w:t> </w:t>
      </w:r>
      <w:r>
        <w:rPr>
          <w:sz w:val="18"/>
        </w:rPr>
        <w:t>the</w:t>
      </w:r>
      <w:r>
        <w:rPr>
          <w:spacing w:val="-5"/>
          <w:sz w:val="18"/>
        </w:rPr>
        <w:t> </w:t>
      </w:r>
      <w:r>
        <w:rPr>
          <w:sz w:val="18"/>
        </w:rPr>
        <w:t>median</w:t>
      </w:r>
      <w:r>
        <w:rPr>
          <w:spacing w:val="-4"/>
          <w:sz w:val="18"/>
        </w:rPr>
        <w:t> </w:t>
      </w:r>
      <w:r>
        <w:rPr>
          <w:sz w:val="18"/>
        </w:rPr>
        <w:t>fitted</w:t>
      </w:r>
      <w:r>
        <w:rPr>
          <w:spacing w:val="-4"/>
          <w:sz w:val="18"/>
        </w:rPr>
        <w:t> </w:t>
      </w:r>
      <w:r>
        <w:rPr>
          <w:sz w:val="18"/>
        </w:rPr>
        <w:t>values,</w:t>
      </w:r>
      <w:r>
        <w:rPr>
          <w:spacing w:val="-3"/>
          <w:sz w:val="18"/>
        </w:rPr>
        <w:t> </w:t>
      </w:r>
      <w:r>
        <w:rPr>
          <w:sz w:val="18"/>
        </w:rPr>
        <w:t>and</w:t>
      </w:r>
      <w:r>
        <w:rPr>
          <w:spacing w:val="-3"/>
          <w:sz w:val="18"/>
        </w:rPr>
        <w:t> </w:t>
      </w:r>
      <w:r>
        <w:rPr>
          <w:sz w:val="18"/>
        </w:rPr>
        <w:t>the</w:t>
      </w:r>
      <w:r>
        <w:rPr>
          <w:spacing w:val="-2"/>
          <w:sz w:val="18"/>
        </w:rPr>
        <w:t> </w:t>
      </w:r>
      <w:r>
        <w:rPr>
          <w:sz w:val="18"/>
        </w:rPr>
        <w:t>shaded</w:t>
      </w:r>
      <w:r>
        <w:rPr>
          <w:spacing w:val="-3"/>
          <w:sz w:val="18"/>
        </w:rPr>
        <w:t> </w:t>
      </w:r>
      <w:r>
        <w:rPr>
          <w:sz w:val="18"/>
        </w:rPr>
        <w:t>areas</w:t>
      </w:r>
      <w:r>
        <w:rPr>
          <w:spacing w:val="-1"/>
          <w:sz w:val="18"/>
        </w:rPr>
        <w:t> </w:t>
      </w:r>
      <w:r>
        <w:rPr>
          <w:sz w:val="18"/>
        </w:rPr>
        <w:t>represent</w:t>
      </w:r>
      <w:r>
        <w:rPr>
          <w:spacing w:val="-5"/>
          <w:sz w:val="18"/>
        </w:rPr>
        <w:t> </w:t>
      </w:r>
      <w:r>
        <w:rPr>
          <w:sz w:val="18"/>
        </w:rPr>
        <w:t>the</w:t>
      </w:r>
      <w:r>
        <w:rPr>
          <w:spacing w:val="-4"/>
          <w:sz w:val="18"/>
        </w:rPr>
        <w:t> </w:t>
      </w:r>
      <w:r>
        <w:rPr>
          <w:sz w:val="18"/>
        </w:rPr>
        <w:t>95%</w:t>
      </w:r>
      <w:r>
        <w:rPr>
          <w:spacing w:val="-5"/>
          <w:sz w:val="18"/>
        </w:rPr>
        <w:t> </w:t>
      </w:r>
      <w:r>
        <w:rPr>
          <w:sz w:val="18"/>
        </w:rPr>
        <w:t>credible</w:t>
      </w:r>
      <w:r>
        <w:rPr>
          <w:spacing w:val="-2"/>
          <w:sz w:val="18"/>
        </w:rPr>
        <w:t> intervals.</w:t>
      </w:r>
    </w:p>
    <w:p>
      <w:pPr>
        <w:pStyle w:val="BodyText"/>
        <w:rPr>
          <w:sz w:val="18"/>
        </w:rPr>
      </w:pPr>
    </w:p>
    <w:p>
      <w:pPr>
        <w:pStyle w:val="BodyText"/>
        <w:spacing w:before="32"/>
        <w:rPr>
          <w:sz w:val="18"/>
        </w:rPr>
      </w:pPr>
    </w:p>
    <w:p>
      <w:pPr>
        <w:pStyle w:val="Heading6"/>
        <w:rPr>
          <w:i/>
        </w:rPr>
      </w:pPr>
      <w:r>
        <w:rPr>
          <w:i/>
          <w:spacing w:val="-2"/>
        </w:rPr>
        <w:t>Colonisation</w:t>
      </w:r>
    </w:p>
    <w:p>
      <w:pPr>
        <w:pStyle w:val="BodyText"/>
        <w:spacing w:before="121"/>
        <w:ind w:left="1132" w:right="1204"/>
      </w:pPr>
      <w:r>
        <w:rPr/>
        <w:t>At</w:t>
      </w:r>
      <w:r>
        <w:rPr>
          <w:spacing w:val="-3"/>
        </w:rPr>
        <w:t> </w:t>
      </w:r>
      <w:r>
        <w:rPr/>
        <w:t>sites</w:t>
      </w:r>
      <w:r>
        <w:rPr>
          <w:spacing w:val="-1"/>
        </w:rPr>
        <w:t> </w:t>
      </w:r>
      <w:r>
        <w:rPr/>
        <w:t>in</w:t>
      </w:r>
      <w:r>
        <w:rPr>
          <w:spacing w:val="-3"/>
        </w:rPr>
        <w:t> </w:t>
      </w:r>
      <w:r>
        <w:rPr/>
        <w:t>FCMLs,</w:t>
      </w:r>
      <w:r>
        <w:rPr>
          <w:spacing w:val="-3"/>
        </w:rPr>
        <w:t> </w:t>
      </w:r>
      <w:r>
        <w:rPr/>
        <w:t>the</w:t>
      </w:r>
      <w:r>
        <w:rPr>
          <w:spacing w:val="-2"/>
        </w:rPr>
        <w:t> </w:t>
      </w:r>
      <w:r>
        <w:rPr/>
        <w:t>odds of</w:t>
      </w:r>
      <w:r>
        <w:rPr>
          <w:spacing w:val="-3"/>
        </w:rPr>
        <w:t> </w:t>
      </w:r>
      <w:r>
        <w:rPr/>
        <w:t>an</w:t>
      </w:r>
      <w:r>
        <w:rPr>
          <w:spacing w:val="-3"/>
        </w:rPr>
        <w:t> </w:t>
      </w:r>
      <w:r>
        <w:rPr/>
        <w:t>unoccupied</w:t>
      </w:r>
      <w:r>
        <w:rPr>
          <w:spacing w:val="-1"/>
        </w:rPr>
        <w:t> </w:t>
      </w:r>
      <w:r>
        <w:rPr/>
        <w:t>site</w:t>
      </w:r>
      <w:r>
        <w:rPr>
          <w:spacing w:val="-3"/>
        </w:rPr>
        <w:t> </w:t>
      </w:r>
      <w:r>
        <w:rPr/>
        <w:t>becoming</w:t>
      </w:r>
      <w:r>
        <w:rPr>
          <w:spacing w:val="-3"/>
        </w:rPr>
        <w:t> </w:t>
      </w:r>
      <w:r>
        <w:rPr/>
        <w:t>occupied</w:t>
      </w:r>
      <w:r>
        <w:rPr>
          <w:spacing w:val="-1"/>
        </w:rPr>
        <w:t> </w:t>
      </w:r>
      <w:r>
        <w:rPr/>
        <w:t>was</w:t>
      </w:r>
      <w:r>
        <w:rPr>
          <w:spacing w:val="-2"/>
        </w:rPr>
        <w:t> </w:t>
      </w:r>
      <w:r>
        <w:rPr/>
        <w:t>larger</w:t>
      </w:r>
      <w:r>
        <w:rPr>
          <w:spacing w:val="-2"/>
        </w:rPr>
        <w:t> </w:t>
      </w:r>
      <w:r>
        <w:rPr/>
        <w:t>by</w:t>
      </w:r>
      <w:r>
        <w:rPr>
          <w:spacing w:val="-2"/>
        </w:rPr>
        <w:t> </w:t>
      </w:r>
      <w:r>
        <w:rPr/>
        <w:t>a</w:t>
      </w:r>
      <w:r>
        <w:rPr>
          <w:spacing w:val="-4"/>
        </w:rPr>
        <w:t> </w:t>
      </w:r>
      <w:r>
        <w:rPr/>
        <w:t>factor</w:t>
      </w:r>
      <w:r>
        <w:rPr>
          <w:spacing w:val="-3"/>
        </w:rPr>
        <w:t> </w:t>
      </w:r>
      <w:r>
        <w:rPr/>
        <w:t>of</w:t>
      </w:r>
      <w:r>
        <w:rPr>
          <w:spacing w:val="-1"/>
        </w:rPr>
        <w:t> </w:t>
      </w:r>
      <w:r>
        <w:rPr/>
        <w:t>25</w:t>
      </w:r>
      <w:r>
        <w:rPr>
          <w:spacing w:val="-3"/>
        </w:rPr>
        <w:t> </w:t>
      </w:r>
      <w:r>
        <w:rPr/>
        <w:t>(95% CI: 11–62) than at an equivalent site in NFCMLs.</w:t>
      </w:r>
    </w:p>
    <w:p>
      <w:pPr>
        <w:pStyle w:val="BodyText"/>
        <w:spacing w:before="118"/>
        <w:ind w:left="1132" w:right="1204"/>
      </w:pPr>
      <w:r>
        <w:rPr/>
        <w:t>In FCLMs, site colonisation was higher in other EVDs than in Tall Mixed Forest and increased with increasing</w:t>
      </w:r>
      <w:r>
        <w:rPr>
          <w:spacing w:val="-5"/>
        </w:rPr>
        <w:t> </w:t>
      </w:r>
      <w:r>
        <w:rPr/>
        <w:t>elevation.</w:t>
      </w:r>
      <w:r>
        <w:rPr>
          <w:spacing w:val="-2"/>
        </w:rPr>
        <w:t> </w:t>
      </w:r>
      <w:r>
        <w:rPr/>
        <w:t>Colonisation</w:t>
      </w:r>
      <w:r>
        <w:rPr>
          <w:spacing w:val="-2"/>
        </w:rPr>
        <w:t> </w:t>
      </w:r>
      <w:r>
        <w:rPr/>
        <w:t>rates</w:t>
      </w:r>
      <w:r>
        <w:rPr>
          <w:spacing w:val="-3"/>
        </w:rPr>
        <w:t> </w:t>
      </w:r>
      <w:r>
        <w:rPr/>
        <w:t>were</w:t>
      </w:r>
      <w:r>
        <w:rPr>
          <w:spacing w:val="-4"/>
        </w:rPr>
        <w:t> </w:t>
      </w:r>
      <w:r>
        <w:rPr/>
        <w:t>consistently low</w:t>
      </w:r>
      <w:r>
        <w:rPr>
          <w:spacing w:val="-4"/>
        </w:rPr>
        <w:t> </w:t>
      </w:r>
      <w:r>
        <w:rPr/>
        <w:t>and</w:t>
      </w:r>
      <w:r>
        <w:rPr>
          <w:spacing w:val="-3"/>
        </w:rPr>
        <w:t> </w:t>
      </w:r>
      <w:r>
        <w:rPr/>
        <w:t>did</w:t>
      </w:r>
      <w:r>
        <w:rPr>
          <w:spacing w:val="-2"/>
        </w:rPr>
        <w:t> </w:t>
      </w:r>
      <w:r>
        <w:rPr/>
        <w:t>not</w:t>
      </w:r>
      <w:r>
        <w:rPr>
          <w:spacing w:val="-2"/>
        </w:rPr>
        <w:t> </w:t>
      </w:r>
      <w:r>
        <w:rPr/>
        <w:t>differ</w:t>
      </w:r>
      <w:r>
        <w:rPr>
          <w:spacing w:val="-4"/>
        </w:rPr>
        <w:t> </w:t>
      </w:r>
      <w:r>
        <w:rPr/>
        <w:t>between</w:t>
      </w:r>
      <w:r>
        <w:rPr>
          <w:spacing w:val="-3"/>
        </w:rPr>
        <w:t> </w:t>
      </w:r>
      <w:r>
        <w:rPr/>
        <w:t>vegetation</w:t>
      </w:r>
      <w:r>
        <w:rPr>
          <w:spacing w:val="-3"/>
        </w:rPr>
        <w:t> </w:t>
      </w:r>
      <w:r>
        <w:rPr/>
        <w:t>types</w:t>
      </w:r>
      <w:r>
        <w:rPr>
          <w:spacing w:val="-3"/>
        </w:rPr>
        <w:t> </w:t>
      </w:r>
      <w:r>
        <w:rPr/>
        <w:t>or vary with elevation in NFCLMs (Table A4-C; Figure 8).</w:t>
      </w:r>
    </w:p>
    <w:p>
      <w:pPr>
        <w:pStyle w:val="BodyText"/>
        <w:spacing w:before="5"/>
        <w:rPr>
          <w:sz w:val="8"/>
        </w:rPr>
      </w:pPr>
      <w:r>
        <w:rPr>
          <w:sz w:val="8"/>
        </w:rPr>
        <w:drawing>
          <wp:anchor distT="0" distB="0" distL="0" distR="0" allowOverlap="1" layoutInCell="1" locked="0" behindDoc="1" simplePos="0" relativeHeight="487597568">
            <wp:simplePos x="0" y="0"/>
            <wp:positionH relativeFrom="page">
              <wp:posOffset>720090</wp:posOffset>
            </wp:positionH>
            <wp:positionV relativeFrom="paragraph">
              <wp:posOffset>76992</wp:posOffset>
            </wp:positionV>
            <wp:extent cx="5824391" cy="3118961"/>
            <wp:effectExtent l="0" t="0" r="0" b="0"/>
            <wp:wrapTopAndBottom/>
            <wp:docPr id="96" name="Image 96"/>
            <wp:cNvGraphicFramePr>
              <a:graphicFrameLocks/>
            </wp:cNvGraphicFramePr>
            <a:graphic>
              <a:graphicData uri="http://schemas.openxmlformats.org/drawingml/2006/picture">
                <pic:pic>
                  <pic:nvPicPr>
                    <pic:cNvPr id="96" name="Image 96"/>
                    <pic:cNvPicPr/>
                  </pic:nvPicPr>
                  <pic:blipFill>
                    <a:blip r:embed="rId46" cstate="print"/>
                    <a:stretch>
                      <a:fillRect/>
                    </a:stretch>
                  </pic:blipFill>
                  <pic:spPr>
                    <a:xfrm>
                      <a:off x="0" y="0"/>
                      <a:ext cx="5824391" cy="3118961"/>
                    </a:xfrm>
                    <a:prstGeom prst="rect">
                      <a:avLst/>
                    </a:prstGeom>
                  </pic:spPr>
                </pic:pic>
              </a:graphicData>
            </a:graphic>
          </wp:anchor>
        </w:drawing>
      </w:r>
    </w:p>
    <w:p>
      <w:pPr>
        <w:spacing w:line="240" w:lineRule="auto" w:before="170"/>
        <w:ind w:left="1132" w:right="1204" w:firstLine="0"/>
        <w:jc w:val="left"/>
        <w:rPr>
          <w:sz w:val="18"/>
        </w:rPr>
      </w:pPr>
      <w:bookmarkStart w:name="_bookmark8" w:id="22"/>
      <w:bookmarkEnd w:id="22"/>
      <w:r>
        <w:rPr/>
      </w:r>
      <w:r>
        <w:rPr>
          <w:b/>
          <w:color w:val="1F1546"/>
          <w:sz w:val="20"/>
        </w:rPr>
        <w:t>Figure 8. Estimated site colonisation rates for the Long-nosed Potoroos in relation to vegetation group</w:t>
      </w:r>
      <w:r>
        <w:rPr>
          <w:b/>
          <w:color w:val="1F1546"/>
          <w:spacing w:val="-2"/>
          <w:sz w:val="20"/>
        </w:rPr>
        <w:t> </w:t>
      </w:r>
      <w:r>
        <w:rPr>
          <w:b/>
          <w:color w:val="1F1546"/>
          <w:sz w:val="20"/>
        </w:rPr>
        <w:t>and</w:t>
      </w:r>
      <w:r>
        <w:rPr>
          <w:b/>
          <w:color w:val="1F1546"/>
          <w:spacing w:val="-3"/>
          <w:sz w:val="20"/>
        </w:rPr>
        <w:t> </w:t>
      </w:r>
      <w:r>
        <w:rPr>
          <w:b/>
          <w:color w:val="1F1546"/>
          <w:sz w:val="20"/>
        </w:rPr>
        <w:t>elevation,</w:t>
      </w:r>
      <w:r>
        <w:rPr>
          <w:b/>
          <w:color w:val="1F1546"/>
          <w:spacing w:val="-4"/>
          <w:sz w:val="20"/>
        </w:rPr>
        <w:t> </w:t>
      </w:r>
      <w:r>
        <w:rPr>
          <w:b/>
          <w:color w:val="1F1546"/>
          <w:sz w:val="20"/>
        </w:rPr>
        <w:t>by</w:t>
      </w:r>
      <w:r>
        <w:rPr>
          <w:b/>
          <w:color w:val="1F1546"/>
          <w:spacing w:val="-2"/>
          <w:sz w:val="20"/>
        </w:rPr>
        <w:t> </w:t>
      </w:r>
      <w:r>
        <w:rPr>
          <w:b/>
          <w:color w:val="1F1546"/>
          <w:sz w:val="20"/>
        </w:rPr>
        <w:t>fox-control</w:t>
      </w:r>
      <w:r>
        <w:rPr>
          <w:b/>
          <w:color w:val="1F1546"/>
          <w:spacing w:val="-4"/>
          <w:sz w:val="20"/>
        </w:rPr>
        <w:t> </w:t>
      </w:r>
      <w:r>
        <w:rPr>
          <w:b/>
          <w:color w:val="1F1546"/>
          <w:sz w:val="20"/>
        </w:rPr>
        <w:t>status,</w:t>
      </w:r>
      <w:r>
        <w:rPr>
          <w:b/>
          <w:color w:val="1F1546"/>
          <w:spacing w:val="-4"/>
          <w:sz w:val="20"/>
        </w:rPr>
        <w:t> </w:t>
      </w:r>
      <w:r>
        <w:rPr>
          <w:b/>
          <w:color w:val="1F1546"/>
          <w:sz w:val="20"/>
        </w:rPr>
        <w:t>given</w:t>
      </w:r>
      <w:r>
        <w:rPr>
          <w:b/>
          <w:color w:val="1F1546"/>
          <w:spacing w:val="-1"/>
          <w:sz w:val="20"/>
        </w:rPr>
        <w:t> </w:t>
      </w:r>
      <w:r>
        <w:rPr>
          <w:b/>
          <w:color w:val="1F1546"/>
          <w:sz w:val="20"/>
        </w:rPr>
        <w:t>all</w:t>
      </w:r>
      <w:r>
        <w:rPr>
          <w:b/>
          <w:color w:val="1F1546"/>
          <w:spacing w:val="-4"/>
          <w:sz w:val="20"/>
        </w:rPr>
        <w:t> </w:t>
      </w:r>
      <w:r>
        <w:rPr>
          <w:b/>
          <w:color w:val="1F1546"/>
          <w:sz w:val="20"/>
        </w:rPr>
        <w:t>other</w:t>
      </w:r>
      <w:r>
        <w:rPr>
          <w:b/>
          <w:color w:val="1F1546"/>
          <w:spacing w:val="-5"/>
          <w:sz w:val="20"/>
        </w:rPr>
        <w:t> </w:t>
      </w:r>
      <w:r>
        <w:rPr>
          <w:b/>
          <w:color w:val="1F1546"/>
          <w:sz w:val="20"/>
        </w:rPr>
        <w:t>covariates</w:t>
      </w:r>
      <w:r>
        <w:rPr>
          <w:b/>
          <w:color w:val="1F1546"/>
          <w:spacing w:val="-2"/>
          <w:sz w:val="20"/>
        </w:rPr>
        <w:t> </w:t>
      </w:r>
      <w:r>
        <w:rPr>
          <w:b/>
          <w:color w:val="1F1546"/>
          <w:sz w:val="20"/>
        </w:rPr>
        <w:t>were</w:t>
      </w:r>
      <w:r>
        <w:rPr>
          <w:b/>
          <w:color w:val="1F1546"/>
          <w:spacing w:val="-2"/>
          <w:sz w:val="20"/>
        </w:rPr>
        <w:t> </w:t>
      </w:r>
      <w:r>
        <w:rPr>
          <w:b/>
          <w:color w:val="1F1546"/>
          <w:sz w:val="20"/>
        </w:rPr>
        <w:t>held</w:t>
      </w:r>
      <w:r>
        <w:rPr>
          <w:b/>
          <w:color w:val="1F1546"/>
          <w:spacing w:val="-3"/>
          <w:sz w:val="20"/>
        </w:rPr>
        <w:t> </w:t>
      </w:r>
      <w:r>
        <w:rPr>
          <w:b/>
          <w:color w:val="1F1546"/>
          <w:sz w:val="20"/>
        </w:rPr>
        <w:t>at</w:t>
      </w:r>
      <w:r>
        <w:rPr>
          <w:b/>
          <w:color w:val="1F1546"/>
          <w:spacing w:val="-4"/>
          <w:sz w:val="20"/>
        </w:rPr>
        <w:t> </w:t>
      </w:r>
      <w:r>
        <w:rPr>
          <w:b/>
          <w:color w:val="1F1546"/>
          <w:sz w:val="20"/>
        </w:rPr>
        <w:t>their</w:t>
      </w:r>
      <w:r>
        <w:rPr>
          <w:b/>
          <w:color w:val="1F1546"/>
          <w:spacing w:val="-3"/>
          <w:sz w:val="20"/>
        </w:rPr>
        <w:t> </w:t>
      </w:r>
      <w:r>
        <w:rPr>
          <w:b/>
          <w:color w:val="1F1546"/>
          <w:sz w:val="20"/>
        </w:rPr>
        <w:t>mean</w:t>
      </w:r>
      <w:r>
        <w:rPr>
          <w:b/>
          <w:color w:val="1F1546"/>
          <w:spacing w:val="-1"/>
          <w:sz w:val="20"/>
        </w:rPr>
        <w:t> </w:t>
      </w:r>
      <w:r>
        <w:rPr>
          <w:b/>
          <w:color w:val="1F1546"/>
          <w:sz w:val="20"/>
        </w:rPr>
        <w:t>values. </w:t>
      </w:r>
      <w:r>
        <w:rPr>
          <w:sz w:val="18"/>
        </w:rPr>
        <w:t>The</w:t>
      </w:r>
      <w:r>
        <w:rPr>
          <w:spacing w:val="-1"/>
          <w:sz w:val="18"/>
        </w:rPr>
        <w:t> </w:t>
      </w:r>
      <w:r>
        <w:rPr>
          <w:sz w:val="18"/>
        </w:rPr>
        <w:t>lines (blue –</w:t>
      </w:r>
      <w:r>
        <w:rPr>
          <w:spacing w:val="-3"/>
          <w:sz w:val="18"/>
        </w:rPr>
        <w:t> </w:t>
      </w:r>
      <w:r>
        <w:rPr>
          <w:sz w:val="18"/>
        </w:rPr>
        <w:t>fox control,</w:t>
      </w:r>
      <w:r>
        <w:rPr>
          <w:spacing w:val="-1"/>
          <w:sz w:val="18"/>
        </w:rPr>
        <w:t> </w:t>
      </w:r>
      <w:r>
        <w:rPr>
          <w:sz w:val="18"/>
        </w:rPr>
        <w:t>red – no</w:t>
      </w:r>
      <w:r>
        <w:rPr>
          <w:spacing w:val="-1"/>
          <w:sz w:val="18"/>
        </w:rPr>
        <w:t> </w:t>
      </w:r>
      <w:r>
        <w:rPr>
          <w:sz w:val="18"/>
        </w:rPr>
        <w:t>fox</w:t>
      </w:r>
      <w:r>
        <w:rPr>
          <w:spacing w:val="-2"/>
          <w:sz w:val="18"/>
        </w:rPr>
        <w:t> </w:t>
      </w:r>
      <w:r>
        <w:rPr>
          <w:sz w:val="18"/>
        </w:rPr>
        <w:t>control) indicate</w:t>
      </w:r>
      <w:r>
        <w:rPr>
          <w:spacing w:val="-1"/>
          <w:sz w:val="18"/>
        </w:rPr>
        <w:t> </w:t>
      </w:r>
      <w:r>
        <w:rPr>
          <w:sz w:val="18"/>
        </w:rPr>
        <w:t>the</w:t>
      </w:r>
      <w:r>
        <w:rPr>
          <w:spacing w:val="-1"/>
          <w:sz w:val="18"/>
        </w:rPr>
        <w:t> </w:t>
      </w:r>
      <w:r>
        <w:rPr>
          <w:sz w:val="18"/>
        </w:rPr>
        <w:t>median</w:t>
      </w:r>
      <w:r>
        <w:rPr>
          <w:spacing w:val="-3"/>
          <w:sz w:val="18"/>
        </w:rPr>
        <w:t> </w:t>
      </w:r>
      <w:r>
        <w:rPr>
          <w:sz w:val="18"/>
        </w:rPr>
        <w:t>fitted</w:t>
      </w:r>
      <w:r>
        <w:rPr>
          <w:spacing w:val="-3"/>
          <w:sz w:val="18"/>
        </w:rPr>
        <w:t> </w:t>
      </w:r>
      <w:r>
        <w:rPr>
          <w:sz w:val="18"/>
        </w:rPr>
        <w:t>values,</w:t>
      </w:r>
      <w:r>
        <w:rPr>
          <w:spacing w:val="-1"/>
          <w:sz w:val="18"/>
        </w:rPr>
        <w:t> </w:t>
      </w:r>
      <w:r>
        <w:rPr>
          <w:sz w:val="18"/>
        </w:rPr>
        <w:t>and</w:t>
      </w:r>
      <w:r>
        <w:rPr>
          <w:spacing w:val="-1"/>
          <w:sz w:val="18"/>
        </w:rPr>
        <w:t> </w:t>
      </w:r>
      <w:r>
        <w:rPr>
          <w:sz w:val="18"/>
        </w:rPr>
        <w:t>the</w:t>
      </w:r>
      <w:r>
        <w:rPr>
          <w:spacing w:val="-3"/>
          <w:sz w:val="18"/>
        </w:rPr>
        <w:t> </w:t>
      </w:r>
      <w:r>
        <w:rPr>
          <w:sz w:val="18"/>
        </w:rPr>
        <w:t>shaded</w:t>
      </w:r>
      <w:r>
        <w:rPr>
          <w:spacing w:val="-3"/>
          <w:sz w:val="18"/>
        </w:rPr>
        <w:t> </w:t>
      </w:r>
      <w:r>
        <w:rPr>
          <w:sz w:val="18"/>
        </w:rPr>
        <w:t>areas represent</w:t>
      </w:r>
      <w:r>
        <w:rPr>
          <w:spacing w:val="-1"/>
          <w:sz w:val="18"/>
        </w:rPr>
        <w:t> </w:t>
      </w:r>
      <w:r>
        <w:rPr>
          <w:sz w:val="18"/>
        </w:rPr>
        <w:t>the 95% credible intervals.</w:t>
      </w:r>
    </w:p>
    <w:p>
      <w:pPr>
        <w:spacing w:after="0" w:line="240" w:lineRule="auto"/>
        <w:jc w:val="left"/>
        <w:rPr>
          <w:sz w:val="18"/>
        </w:rPr>
        <w:sectPr>
          <w:footerReference w:type="default" r:id="rId44"/>
          <w:pgSz w:w="11910" w:h="16850"/>
          <w:pgMar w:header="0" w:footer="688" w:top="1140" w:bottom="880" w:left="0" w:right="0"/>
        </w:sectPr>
      </w:pPr>
    </w:p>
    <w:p>
      <w:pPr>
        <w:pStyle w:val="Heading6"/>
        <w:spacing w:before="71"/>
        <w:rPr>
          <w:i/>
        </w:rPr>
      </w:pPr>
      <w:r>
        <w:rPr>
          <w:i/>
        </w:rPr>
        <w:t>Growth</w:t>
      </w:r>
      <w:r>
        <w:rPr>
          <w:i/>
          <w:spacing w:val="-8"/>
        </w:rPr>
        <w:t> </w:t>
      </w:r>
      <w:r>
        <w:rPr>
          <w:i/>
          <w:spacing w:val="-4"/>
        </w:rPr>
        <w:t>rate</w:t>
      </w:r>
    </w:p>
    <w:p>
      <w:pPr>
        <w:pStyle w:val="BodyText"/>
        <w:spacing w:before="121"/>
        <w:ind w:left="1132" w:right="1204"/>
      </w:pPr>
      <w:r>
        <w:rPr/>
        <w:t>Growth</w:t>
      </w:r>
      <w:r>
        <w:rPr>
          <w:spacing w:val="-1"/>
        </w:rPr>
        <w:t> </w:t>
      </w:r>
      <w:r>
        <w:rPr/>
        <w:t>rates in both FCMLS and NFCMLs have remained around zero (no relative change in population). However, the growth rate at FCMLs has been consistently greater than in NFCMLs. The annual average growth</w:t>
      </w:r>
      <w:r>
        <w:rPr>
          <w:spacing w:val="-4"/>
        </w:rPr>
        <w:t> </w:t>
      </w:r>
      <w:r>
        <w:rPr/>
        <w:t>rate</w:t>
      </w:r>
      <w:r>
        <w:rPr>
          <w:spacing w:val="-1"/>
        </w:rPr>
        <w:t> </w:t>
      </w:r>
      <w:r>
        <w:rPr/>
        <w:t>in</w:t>
      </w:r>
      <w:r>
        <w:rPr>
          <w:spacing w:val="-4"/>
        </w:rPr>
        <w:t> </w:t>
      </w:r>
      <w:r>
        <w:rPr/>
        <w:t>NFCMLs</w:t>
      </w:r>
      <w:r>
        <w:rPr>
          <w:spacing w:val="-2"/>
        </w:rPr>
        <w:t> </w:t>
      </w:r>
      <w:r>
        <w:rPr/>
        <w:t>was</w:t>
      </w:r>
      <w:r>
        <w:rPr>
          <w:spacing w:val="-3"/>
        </w:rPr>
        <w:t> </w:t>
      </w:r>
      <w:r>
        <w:rPr/>
        <w:t>99%</w:t>
      </w:r>
      <w:r>
        <w:rPr>
          <w:spacing w:val="-4"/>
        </w:rPr>
        <w:t> </w:t>
      </w:r>
      <w:r>
        <w:rPr/>
        <w:t>(95%</w:t>
      </w:r>
      <w:r>
        <w:rPr>
          <w:spacing w:val="-1"/>
        </w:rPr>
        <w:t> </w:t>
      </w:r>
      <w:r>
        <w:rPr/>
        <w:t>CI:</w:t>
      </w:r>
      <w:r>
        <w:rPr>
          <w:spacing w:val="-4"/>
        </w:rPr>
        <w:t> </w:t>
      </w:r>
      <w:r>
        <w:rPr/>
        <w:t>95–102%),</w:t>
      </w:r>
      <w:r>
        <w:rPr>
          <w:spacing w:val="-2"/>
        </w:rPr>
        <w:t> </w:t>
      </w:r>
      <w:r>
        <w:rPr/>
        <w:t>while</w:t>
      </w:r>
      <w:r>
        <w:rPr>
          <w:spacing w:val="-3"/>
        </w:rPr>
        <w:t> </w:t>
      </w:r>
      <w:r>
        <w:rPr/>
        <w:t>the</w:t>
      </w:r>
      <w:r>
        <w:rPr>
          <w:spacing w:val="-2"/>
        </w:rPr>
        <w:t> </w:t>
      </w:r>
      <w:r>
        <w:rPr/>
        <w:t>growth</w:t>
      </w:r>
      <w:r>
        <w:rPr>
          <w:spacing w:val="-2"/>
        </w:rPr>
        <w:t> </w:t>
      </w:r>
      <w:r>
        <w:rPr/>
        <w:t>rate</w:t>
      </w:r>
      <w:r>
        <w:rPr>
          <w:spacing w:val="-2"/>
        </w:rPr>
        <w:t> </w:t>
      </w:r>
      <w:r>
        <w:rPr/>
        <w:t>in</w:t>
      </w:r>
      <w:r>
        <w:rPr>
          <w:spacing w:val="-4"/>
        </w:rPr>
        <w:t> </w:t>
      </w:r>
      <w:r>
        <w:rPr/>
        <w:t>FCMLs</w:t>
      </w:r>
      <w:r>
        <w:rPr>
          <w:spacing w:val="-2"/>
        </w:rPr>
        <w:t> </w:t>
      </w:r>
      <w:r>
        <w:rPr/>
        <w:t>was</w:t>
      </w:r>
      <w:r>
        <w:rPr>
          <w:spacing w:val="-3"/>
        </w:rPr>
        <w:t> </w:t>
      </w:r>
      <w:r>
        <w:rPr/>
        <w:t>102%</w:t>
      </w:r>
      <w:r>
        <w:rPr>
          <w:spacing w:val="-4"/>
        </w:rPr>
        <w:t> </w:t>
      </w:r>
      <w:r>
        <w:rPr/>
        <w:t>(95%</w:t>
      </w:r>
      <w:r>
        <w:rPr>
          <w:spacing w:val="-4"/>
        </w:rPr>
        <w:t> </w:t>
      </w:r>
      <w:r>
        <w:rPr/>
        <w:t>CI: 99–104%), with the difference being a net annual average increase of +3.1% (95% CI: 0.00–6.5%).</w:t>
      </w:r>
    </w:p>
    <w:p>
      <w:pPr>
        <w:pStyle w:val="Heading4"/>
        <w:numPr>
          <w:ilvl w:val="2"/>
          <w:numId w:val="5"/>
        </w:numPr>
        <w:tabs>
          <w:tab w:pos="1853" w:val="left" w:leader="none"/>
        </w:tabs>
        <w:spacing w:line="240" w:lineRule="auto" w:before="141" w:after="0"/>
        <w:ind w:left="1853" w:right="0" w:hanging="721"/>
        <w:jc w:val="left"/>
      </w:pPr>
      <w:bookmarkStart w:name="_TOC_250007" w:id="23"/>
      <w:r>
        <w:rPr/>
        <w:t>Southern</w:t>
      </w:r>
      <w:r>
        <w:rPr>
          <w:spacing w:val="-5"/>
        </w:rPr>
        <w:t> </w:t>
      </w:r>
      <w:r>
        <w:rPr/>
        <w:t>Brown</w:t>
      </w:r>
      <w:r>
        <w:rPr>
          <w:spacing w:val="-6"/>
        </w:rPr>
        <w:t> </w:t>
      </w:r>
      <w:bookmarkEnd w:id="23"/>
      <w:r>
        <w:rPr>
          <w:spacing w:val="-2"/>
        </w:rPr>
        <w:t>Bandicoot</w:t>
      </w:r>
    </w:p>
    <w:p>
      <w:pPr>
        <w:pStyle w:val="Heading6"/>
        <w:spacing w:before="57"/>
        <w:rPr>
          <w:i/>
        </w:rPr>
      </w:pPr>
      <w:r>
        <w:rPr>
          <w:i/>
          <w:spacing w:val="-2"/>
        </w:rPr>
        <w:t>Occupancy</w:t>
      </w:r>
    </w:p>
    <w:p>
      <w:pPr>
        <w:pStyle w:val="BodyText"/>
        <w:spacing w:before="120"/>
        <w:ind w:left="1132" w:right="1204"/>
      </w:pPr>
      <w:r>
        <w:rPr/>
        <w:t>The</w:t>
      </w:r>
      <w:r>
        <w:rPr>
          <w:spacing w:val="-5"/>
        </w:rPr>
        <w:t> </w:t>
      </w:r>
      <w:r>
        <w:rPr/>
        <w:t>only</w:t>
      </w:r>
      <w:r>
        <w:rPr>
          <w:spacing w:val="-3"/>
        </w:rPr>
        <w:t> </w:t>
      </w:r>
      <w:r>
        <w:rPr/>
        <w:t>covariate</w:t>
      </w:r>
      <w:r>
        <w:rPr>
          <w:spacing w:val="-5"/>
        </w:rPr>
        <w:t> </w:t>
      </w:r>
      <w:r>
        <w:rPr/>
        <w:t>that</w:t>
      </w:r>
      <w:r>
        <w:rPr>
          <w:spacing w:val="-2"/>
        </w:rPr>
        <w:t> </w:t>
      </w:r>
      <w:r>
        <w:rPr/>
        <w:t>influenced</w:t>
      </w:r>
      <w:r>
        <w:rPr>
          <w:spacing w:val="-3"/>
        </w:rPr>
        <w:t> </w:t>
      </w:r>
      <w:r>
        <w:rPr/>
        <w:t>initial</w:t>
      </w:r>
      <w:r>
        <w:rPr>
          <w:spacing w:val="-3"/>
        </w:rPr>
        <w:t> </w:t>
      </w:r>
      <w:r>
        <w:rPr/>
        <w:t>occupancy</w:t>
      </w:r>
      <w:r>
        <w:rPr>
          <w:spacing w:val="-3"/>
        </w:rPr>
        <w:t> </w:t>
      </w:r>
      <w:r>
        <w:rPr/>
        <w:t>rates was</w:t>
      </w:r>
      <w:r>
        <w:rPr>
          <w:spacing w:val="-3"/>
        </w:rPr>
        <w:t> </w:t>
      </w:r>
      <w:r>
        <w:rPr/>
        <w:t>elevation</w:t>
      </w:r>
      <w:r>
        <w:rPr>
          <w:spacing w:val="-1"/>
        </w:rPr>
        <w:t> </w:t>
      </w:r>
      <w:r>
        <w:rPr/>
        <w:t>in</w:t>
      </w:r>
      <w:r>
        <w:rPr>
          <w:spacing w:val="-4"/>
        </w:rPr>
        <w:t> </w:t>
      </w:r>
      <w:r>
        <w:rPr/>
        <w:t>FCMLs (Table</w:t>
      </w:r>
      <w:r>
        <w:rPr>
          <w:spacing w:val="-1"/>
        </w:rPr>
        <w:t> </w:t>
      </w:r>
      <w:r>
        <w:rPr/>
        <w:t>A5-A).</w:t>
      </w:r>
      <w:r>
        <w:rPr>
          <w:spacing w:val="-4"/>
        </w:rPr>
        <w:t> </w:t>
      </w:r>
      <w:r>
        <w:rPr/>
        <w:t>At</w:t>
      </w:r>
      <w:r>
        <w:rPr>
          <w:spacing w:val="-2"/>
        </w:rPr>
        <w:t> </w:t>
      </w:r>
      <w:r>
        <w:rPr/>
        <w:t>sites</w:t>
      </w:r>
      <w:r>
        <w:rPr>
          <w:spacing w:val="-3"/>
        </w:rPr>
        <w:t> </w:t>
      </w:r>
      <w:r>
        <w:rPr/>
        <w:t>with greater elevation, the initial occupancy rate was higher in NFCMLs and lower in FCMLs.</w:t>
      </w:r>
    </w:p>
    <w:p>
      <w:pPr>
        <w:pStyle w:val="BodyText"/>
        <w:spacing w:before="118"/>
        <w:ind w:left="1132" w:right="1204"/>
      </w:pPr>
      <w:r>
        <w:rPr/>
        <w:t>Overall</w:t>
      </w:r>
      <w:r>
        <w:rPr>
          <w:spacing w:val="-5"/>
        </w:rPr>
        <w:t> </w:t>
      </w:r>
      <w:r>
        <w:rPr/>
        <w:t>occupancy</w:t>
      </w:r>
      <w:r>
        <w:rPr>
          <w:spacing w:val="-3"/>
        </w:rPr>
        <w:t> </w:t>
      </w:r>
      <w:r>
        <w:rPr/>
        <w:t>rate</w:t>
      </w:r>
      <w:r>
        <w:rPr>
          <w:spacing w:val="-5"/>
        </w:rPr>
        <w:t> </w:t>
      </w:r>
      <w:r>
        <w:rPr/>
        <w:t>(considering</w:t>
      </w:r>
      <w:r>
        <w:rPr>
          <w:spacing w:val="-3"/>
        </w:rPr>
        <w:t> </w:t>
      </w:r>
      <w:r>
        <w:rPr/>
        <w:t>all</w:t>
      </w:r>
      <w:r>
        <w:rPr>
          <w:spacing w:val="-5"/>
        </w:rPr>
        <w:t> </w:t>
      </w:r>
      <w:r>
        <w:rPr/>
        <w:t>important</w:t>
      </w:r>
      <w:r>
        <w:rPr>
          <w:spacing w:val="-4"/>
        </w:rPr>
        <w:t> </w:t>
      </w:r>
      <w:r>
        <w:rPr/>
        <w:t>covariates)</w:t>
      </w:r>
      <w:r>
        <w:rPr>
          <w:spacing w:val="-3"/>
        </w:rPr>
        <w:t> </w:t>
      </w:r>
      <w:r>
        <w:rPr/>
        <w:t>has</w:t>
      </w:r>
      <w:r>
        <w:rPr>
          <w:spacing w:val="-1"/>
        </w:rPr>
        <w:t> </w:t>
      </w:r>
      <w:r>
        <w:rPr/>
        <w:t>been</w:t>
      </w:r>
      <w:r>
        <w:rPr>
          <w:spacing w:val="-4"/>
        </w:rPr>
        <w:t> </w:t>
      </w:r>
      <w:r>
        <w:rPr/>
        <w:t>consistently</w:t>
      </w:r>
      <w:r>
        <w:rPr>
          <w:spacing w:val="-3"/>
        </w:rPr>
        <w:t> </w:t>
      </w:r>
      <w:r>
        <w:rPr/>
        <w:t>higher in</w:t>
      </w:r>
      <w:r>
        <w:rPr>
          <w:spacing w:val="-4"/>
        </w:rPr>
        <w:t> </w:t>
      </w:r>
      <w:r>
        <w:rPr/>
        <w:t>FCMLs</w:t>
      </w:r>
      <w:r>
        <w:rPr>
          <w:spacing w:val="-2"/>
        </w:rPr>
        <w:t> </w:t>
      </w:r>
      <w:r>
        <w:rPr/>
        <w:t>than</w:t>
      </w:r>
      <w:r>
        <w:rPr>
          <w:spacing w:val="-4"/>
        </w:rPr>
        <w:t> </w:t>
      </w:r>
      <w:r>
        <w:rPr/>
        <w:t>in NFCMLs since 2006. It has also been relatively consistent through time, with indications of two years of increases in 2022 and 2023 across both FCMLs and NFCMLs (Figure 9).</w:t>
      </w:r>
    </w:p>
    <w:p>
      <w:pPr>
        <w:pStyle w:val="BodyText"/>
        <w:spacing w:before="10"/>
        <w:rPr>
          <w:sz w:val="15"/>
        </w:rPr>
      </w:pPr>
      <w:r>
        <w:rPr>
          <w:sz w:val="15"/>
        </w:rPr>
        <w:drawing>
          <wp:anchor distT="0" distB="0" distL="0" distR="0" allowOverlap="1" layoutInCell="1" locked="0" behindDoc="1" simplePos="0" relativeHeight="487598080">
            <wp:simplePos x="0" y="0"/>
            <wp:positionH relativeFrom="page">
              <wp:posOffset>778660</wp:posOffset>
            </wp:positionH>
            <wp:positionV relativeFrom="paragraph">
              <wp:posOffset>131309</wp:posOffset>
            </wp:positionV>
            <wp:extent cx="3895972" cy="4167949"/>
            <wp:effectExtent l="0" t="0" r="0" b="0"/>
            <wp:wrapTopAndBottom/>
            <wp:docPr id="100" name="Image 100" descr="A graph of numbers and lines  Description automatically generated with medium confidence"/>
            <wp:cNvGraphicFramePr>
              <a:graphicFrameLocks/>
            </wp:cNvGraphicFramePr>
            <a:graphic>
              <a:graphicData uri="http://schemas.openxmlformats.org/drawingml/2006/picture">
                <pic:pic>
                  <pic:nvPicPr>
                    <pic:cNvPr id="100" name="Image 100" descr="A graph of numbers and lines  Description automatically generated with medium confidence"/>
                    <pic:cNvPicPr/>
                  </pic:nvPicPr>
                  <pic:blipFill>
                    <a:blip r:embed="rId48" cstate="print"/>
                    <a:stretch>
                      <a:fillRect/>
                    </a:stretch>
                  </pic:blipFill>
                  <pic:spPr>
                    <a:xfrm>
                      <a:off x="0" y="0"/>
                      <a:ext cx="3895972" cy="4167949"/>
                    </a:xfrm>
                    <a:prstGeom prst="rect">
                      <a:avLst/>
                    </a:prstGeom>
                  </pic:spPr>
                </pic:pic>
              </a:graphicData>
            </a:graphic>
          </wp:anchor>
        </w:drawing>
      </w:r>
    </w:p>
    <w:p>
      <w:pPr>
        <w:pStyle w:val="BodyText"/>
        <w:spacing w:before="53"/>
      </w:pPr>
    </w:p>
    <w:p>
      <w:pPr>
        <w:pStyle w:val="Heading5"/>
      </w:pPr>
      <w:bookmarkStart w:name="_bookmark9" w:id="24"/>
      <w:bookmarkEnd w:id="24"/>
      <w:r>
        <w:rPr>
          <w:b w:val="0"/>
        </w:rPr>
      </w:r>
      <w:r>
        <w:rPr>
          <w:color w:val="1F1546"/>
        </w:rPr>
        <w:t>Figure</w:t>
      </w:r>
      <w:r>
        <w:rPr>
          <w:color w:val="1F1546"/>
          <w:spacing w:val="-6"/>
        </w:rPr>
        <w:t> </w:t>
      </w:r>
      <w:r>
        <w:rPr>
          <w:color w:val="1F1546"/>
        </w:rPr>
        <w:t>9.</w:t>
      </w:r>
      <w:r>
        <w:rPr>
          <w:color w:val="1F1546"/>
          <w:spacing w:val="-7"/>
        </w:rPr>
        <w:t> </w:t>
      </w:r>
      <w:r>
        <w:rPr>
          <w:color w:val="1F1546"/>
        </w:rPr>
        <w:t>Occupancy</w:t>
      </w:r>
      <w:r>
        <w:rPr>
          <w:color w:val="1F1546"/>
          <w:spacing w:val="-7"/>
        </w:rPr>
        <w:t> </w:t>
      </w:r>
      <w:r>
        <w:rPr>
          <w:color w:val="1F1546"/>
        </w:rPr>
        <w:t>rates</w:t>
      </w:r>
      <w:r>
        <w:rPr>
          <w:color w:val="1F1546"/>
          <w:spacing w:val="-7"/>
        </w:rPr>
        <w:t> </w:t>
      </w:r>
      <w:r>
        <w:rPr>
          <w:color w:val="1F1546"/>
        </w:rPr>
        <w:t>for</w:t>
      </w:r>
      <w:r>
        <w:rPr>
          <w:color w:val="1F1546"/>
          <w:spacing w:val="-5"/>
        </w:rPr>
        <w:t> </w:t>
      </w:r>
      <w:r>
        <w:rPr>
          <w:color w:val="1F1546"/>
        </w:rPr>
        <w:t>the</w:t>
      </w:r>
      <w:r>
        <w:rPr>
          <w:color w:val="1F1546"/>
          <w:spacing w:val="-4"/>
        </w:rPr>
        <w:t> </w:t>
      </w:r>
      <w:r>
        <w:rPr>
          <w:color w:val="1F1546"/>
        </w:rPr>
        <w:t>Southern</w:t>
      </w:r>
      <w:r>
        <w:rPr>
          <w:color w:val="1F1546"/>
          <w:spacing w:val="-6"/>
        </w:rPr>
        <w:t> </w:t>
      </w:r>
      <w:r>
        <w:rPr>
          <w:color w:val="1F1546"/>
        </w:rPr>
        <w:t>Brown</w:t>
      </w:r>
      <w:r>
        <w:rPr>
          <w:color w:val="1F1546"/>
          <w:spacing w:val="-4"/>
        </w:rPr>
        <w:t> </w:t>
      </w:r>
      <w:r>
        <w:rPr>
          <w:color w:val="1F1546"/>
        </w:rPr>
        <w:t>Bandicoot</w:t>
      </w:r>
      <w:r>
        <w:rPr>
          <w:color w:val="1F1546"/>
          <w:spacing w:val="-6"/>
        </w:rPr>
        <w:t> </w:t>
      </w:r>
      <w:r>
        <w:rPr>
          <w:color w:val="1F1546"/>
        </w:rPr>
        <w:t>over</w:t>
      </w:r>
      <w:r>
        <w:rPr>
          <w:color w:val="1F1546"/>
          <w:spacing w:val="-7"/>
        </w:rPr>
        <w:t> </w:t>
      </w:r>
      <w:r>
        <w:rPr>
          <w:color w:val="1F1546"/>
        </w:rPr>
        <w:t>time</w:t>
      </w:r>
      <w:r>
        <w:rPr>
          <w:color w:val="1F1546"/>
          <w:spacing w:val="-7"/>
        </w:rPr>
        <w:t> </w:t>
      </w:r>
      <w:r>
        <w:rPr>
          <w:color w:val="1F1546"/>
        </w:rPr>
        <w:t>by</w:t>
      </w:r>
      <w:r>
        <w:rPr>
          <w:color w:val="1F1546"/>
          <w:spacing w:val="-7"/>
        </w:rPr>
        <w:t> </w:t>
      </w:r>
      <w:r>
        <w:rPr>
          <w:color w:val="1F1546"/>
        </w:rPr>
        <w:t>fox</w:t>
      </w:r>
      <w:r>
        <w:rPr>
          <w:color w:val="1F1546"/>
          <w:spacing w:val="-7"/>
        </w:rPr>
        <w:t> </w:t>
      </w:r>
      <w:r>
        <w:rPr>
          <w:color w:val="1F1546"/>
        </w:rPr>
        <w:t>control</w:t>
      </w:r>
      <w:r>
        <w:rPr>
          <w:color w:val="1F1546"/>
          <w:spacing w:val="-7"/>
        </w:rPr>
        <w:t> </w:t>
      </w:r>
      <w:r>
        <w:rPr>
          <w:color w:val="1F1546"/>
          <w:spacing w:val="-2"/>
        </w:rPr>
        <w:t>status.</w:t>
      </w:r>
    </w:p>
    <w:p>
      <w:pPr>
        <w:spacing w:before="118"/>
        <w:ind w:left="1132" w:right="0" w:firstLine="0"/>
        <w:jc w:val="left"/>
        <w:rPr>
          <w:sz w:val="18"/>
        </w:rPr>
      </w:pPr>
      <w:r>
        <w:rPr>
          <w:sz w:val="18"/>
        </w:rPr>
        <w:t>The</w:t>
      </w:r>
      <w:r>
        <w:rPr>
          <w:spacing w:val="-2"/>
          <w:sz w:val="18"/>
        </w:rPr>
        <w:t> </w:t>
      </w:r>
      <w:r>
        <w:rPr>
          <w:sz w:val="18"/>
        </w:rPr>
        <w:t>line</w:t>
      </w:r>
      <w:r>
        <w:rPr>
          <w:spacing w:val="-4"/>
          <w:sz w:val="18"/>
        </w:rPr>
        <w:t> </w:t>
      </w:r>
      <w:r>
        <w:rPr>
          <w:sz w:val="18"/>
        </w:rPr>
        <w:t>is</w:t>
      </w:r>
      <w:r>
        <w:rPr>
          <w:spacing w:val="-1"/>
          <w:sz w:val="18"/>
        </w:rPr>
        <w:t> </w:t>
      </w:r>
      <w:r>
        <w:rPr>
          <w:sz w:val="18"/>
        </w:rPr>
        <w:t>the</w:t>
      </w:r>
      <w:r>
        <w:rPr>
          <w:spacing w:val="-4"/>
          <w:sz w:val="18"/>
        </w:rPr>
        <w:t> </w:t>
      </w:r>
      <w:r>
        <w:rPr>
          <w:sz w:val="18"/>
        </w:rPr>
        <w:t>median</w:t>
      </w:r>
      <w:r>
        <w:rPr>
          <w:spacing w:val="-4"/>
          <w:sz w:val="18"/>
        </w:rPr>
        <w:t> </w:t>
      </w:r>
      <w:r>
        <w:rPr>
          <w:sz w:val="18"/>
        </w:rPr>
        <w:t>occupancy</w:t>
      </w:r>
      <w:r>
        <w:rPr>
          <w:spacing w:val="3"/>
          <w:sz w:val="18"/>
        </w:rPr>
        <w:t> </w:t>
      </w:r>
      <w:r>
        <w:rPr>
          <w:sz w:val="18"/>
        </w:rPr>
        <w:t>rate,</w:t>
      </w:r>
      <w:r>
        <w:rPr>
          <w:spacing w:val="-3"/>
          <w:sz w:val="18"/>
        </w:rPr>
        <w:t> </w:t>
      </w:r>
      <w:r>
        <w:rPr>
          <w:sz w:val="18"/>
        </w:rPr>
        <w:t>and</w:t>
      </w:r>
      <w:r>
        <w:rPr>
          <w:spacing w:val="-4"/>
          <w:sz w:val="18"/>
        </w:rPr>
        <w:t> </w:t>
      </w:r>
      <w:r>
        <w:rPr>
          <w:sz w:val="18"/>
        </w:rPr>
        <w:t>the</w:t>
      </w:r>
      <w:r>
        <w:rPr>
          <w:spacing w:val="-3"/>
          <w:sz w:val="18"/>
        </w:rPr>
        <w:t> </w:t>
      </w:r>
      <w:r>
        <w:rPr>
          <w:sz w:val="18"/>
        </w:rPr>
        <w:t>vertical</w:t>
      </w:r>
      <w:r>
        <w:rPr>
          <w:spacing w:val="-2"/>
          <w:sz w:val="18"/>
        </w:rPr>
        <w:t> </w:t>
      </w:r>
      <w:r>
        <w:rPr>
          <w:sz w:val="18"/>
        </w:rPr>
        <w:t>bars</w:t>
      </w:r>
      <w:r>
        <w:rPr>
          <w:spacing w:val="-2"/>
          <w:sz w:val="18"/>
        </w:rPr>
        <w:t> </w:t>
      </w:r>
      <w:r>
        <w:rPr>
          <w:sz w:val="18"/>
        </w:rPr>
        <w:t>represent</w:t>
      </w:r>
      <w:r>
        <w:rPr>
          <w:spacing w:val="-2"/>
          <w:sz w:val="18"/>
        </w:rPr>
        <w:t> </w:t>
      </w:r>
      <w:r>
        <w:rPr>
          <w:sz w:val="18"/>
        </w:rPr>
        <w:t>the</w:t>
      </w:r>
      <w:r>
        <w:rPr>
          <w:spacing w:val="-2"/>
          <w:sz w:val="18"/>
        </w:rPr>
        <w:t> </w:t>
      </w:r>
      <w:r>
        <w:rPr>
          <w:sz w:val="18"/>
        </w:rPr>
        <w:t>95%</w:t>
      </w:r>
      <w:r>
        <w:rPr>
          <w:spacing w:val="-4"/>
          <w:sz w:val="18"/>
        </w:rPr>
        <w:t> </w:t>
      </w:r>
      <w:r>
        <w:rPr>
          <w:sz w:val="18"/>
        </w:rPr>
        <w:t>high</w:t>
      </w:r>
      <w:r>
        <w:rPr>
          <w:spacing w:val="-4"/>
          <w:sz w:val="18"/>
        </w:rPr>
        <w:t> </w:t>
      </w:r>
      <w:r>
        <w:rPr>
          <w:sz w:val="18"/>
        </w:rPr>
        <w:t>density</w:t>
      </w:r>
      <w:r>
        <w:rPr>
          <w:spacing w:val="-1"/>
          <w:sz w:val="18"/>
        </w:rPr>
        <w:t> </w:t>
      </w:r>
      <w:r>
        <w:rPr>
          <w:spacing w:val="-2"/>
          <w:sz w:val="18"/>
        </w:rPr>
        <w:t>interval.</w:t>
      </w:r>
    </w:p>
    <w:p>
      <w:pPr>
        <w:pStyle w:val="BodyText"/>
        <w:spacing w:before="185"/>
        <w:rPr>
          <w:sz w:val="18"/>
        </w:rPr>
      </w:pPr>
    </w:p>
    <w:p>
      <w:pPr>
        <w:pStyle w:val="Heading6"/>
        <w:rPr>
          <w:i/>
        </w:rPr>
      </w:pPr>
      <w:r>
        <w:rPr>
          <w:i/>
        </w:rPr>
        <w:t>Site</w:t>
      </w:r>
      <w:r>
        <w:rPr>
          <w:i/>
          <w:spacing w:val="-6"/>
        </w:rPr>
        <w:t> </w:t>
      </w:r>
      <w:r>
        <w:rPr>
          <w:i/>
          <w:spacing w:val="-2"/>
        </w:rPr>
        <w:t>survival</w:t>
      </w:r>
    </w:p>
    <w:p>
      <w:pPr>
        <w:pStyle w:val="BodyText"/>
        <w:spacing w:before="120"/>
        <w:ind w:left="1132" w:right="1204"/>
      </w:pPr>
      <w:r>
        <w:rPr/>
        <w:t>The</w:t>
      </w:r>
      <w:r>
        <w:rPr>
          <w:spacing w:val="-4"/>
        </w:rPr>
        <w:t> </w:t>
      </w:r>
      <w:r>
        <w:rPr/>
        <w:t>probability</w:t>
      </w:r>
      <w:r>
        <w:rPr>
          <w:spacing w:val="-2"/>
        </w:rPr>
        <w:t> </w:t>
      </w:r>
      <w:r>
        <w:rPr/>
        <w:t>that</w:t>
      </w:r>
      <w:r>
        <w:rPr>
          <w:spacing w:val="-3"/>
        </w:rPr>
        <w:t> </w:t>
      </w:r>
      <w:r>
        <w:rPr/>
        <w:t>a</w:t>
      </w:r>
      <w:r>
        <w:rPr>
          <w:spacing w:val="-3"/>
        </w:rPr>
        <w:t> </w:t>
      </w:r>
      <w:r>
        <w:rPr/>
        <w:t>site</w:t>
      </w:r>
      <w:r>
        <w:rPr>
          <w:spacing w:val="-4"/>
        </w:rPr>
        <w:t> </w:t>
      </w:r>
      <w:r>
        <w:rPr/>
        <w:t>survived</w:t>
      </w:r>
      <w:r>
        <w:rPr>
          <w:spacing w:val="-4"/>
        </w:rPr>
        <w:t> </w:t>
      </w:r>
      <w:r>
        <w:rPr/>
        <w:t>declined</w:t>
      </w:r>
      <w:r>
        <w:rPr>
          <w:spacing w:val="-1"/>
        </w:rPr>
        <w:t> </w:t>
      </w:r>
      <w:r>
        <w:rPr/>
        <w:t>with</w:t>
      </w:r>
      <w:r>
        <w:rPr>
          <w:spacing w:val="-3"/>
        </w:rPr>
        <w:t> </w:t>
      </w:r>
      <w:r>
        <w:rPr/>
        <w:t>increasing</w:t>
      </w:r>
      <w:r>
        <w:rPr>
          <w:spacing w:val="-2"/>
        </w:rPr>
        <w:t> </w:t>
      </w:r>
      <w:r>
        <w:rPr/>
        <w:t>time-since-fire</w:t>
      </w:r>
      <w:r>
        <w:rPr>
          <w:spacing w:val="-3"/>
        </w:rPr>
        <w:t> </w:t>
      </w:r>
      <w:r>
        <w:rPr/>
        <w:t>in</w:t>
      </w:r>
      <w:r>
        <w:rPr>
          <w:spacing w:val="-3"/>
        </w:rPr>
        <w:t> </w:t>
      </w:r>
      <w:r>
        <w:rPr/>
        <w:t>both</w:t>
      </w:r>
      <w:r>
        <w:rPr>
          <w:spacing w:val="-1"/>
        </w:rPr>
        <w:t> </w:t>
      </w:r>
      <w:r>
        <w:rPr/>
        <w:t>FCMLs</w:t>
      </w:r>
      <w:r>
        <w:rPr>
          <w:spacing w:val="-2"/>
        </w:rPr>
        <w:t> </w:t>
      </w:r>
      <w:r>
        <w:rPr/>
        <w:t>and</w:t>
      </w:r>
      <w:r>
        <w:rPr>
          <w:spacing w:val="-4"/>
        </w:rPr>
        <w:t> </w:t>
      </w:r>
      <w:r>
        <w:rPr/>
        <w:t>NFCMLs (Table A5-B; Figure 10).</w:t>
      </w:r>
    </w:p>
    <w:p>
      <w:pPr>
        <w:pStyle w:val="BodyText"/>
        <w:spacing w:before="119"/>
        <w:ind w:left="1132" w:right="1204"/>
      </w:pPr>
      <w:r>
        <w:rPr/>
        <w:t>At</w:t>
      </w:r>
      <w:r>
        <w:rPr>
          <w:spacing w:val="-3"/>
        </w:rPr>
        <w:t> </w:t>
      </w:r>
      <w:r>
        <w:rPr/>
        <w:t>sites</w:t>
      </w:r>
      <w:r>
        <w:rPr>
          <w:spacing w:val="-2"/>
        </w:rPr>
        <w:t> </w:t>
      </w:r>
      <w:r>
        <w:rPr/>
        <w:t>further</w:t>
      </w:r>
      <w:r>
        <w:rPr>
          <w:spacing w:val="-3"/>
        </w:rPr>
        <w:t> </w:t>
      </w:r>
      <w:r>
        <w:rPr/>
        <w:t>away</w:t>
      </w:r>
      <w:r>
        <w:rPr>
          <w:spacing w:val="-2"/>
        </w:rPr>
        <w:t> </w:t>
      </w:r>
      <w:r>
        <w:rPr/>
        <w:t>from water</w:t>
      </w:r>
      <w:r>
        <w:rPr>
          <w:spacing w:val="-2"/>
        </w:rPr>
        <w:t> </w:t>
      </w:r>
      <w:r>
        <w:rPr/>
        <w:t>in</w:t>
      </w:r>
      <w:r>
        <w:rPr>
          <w:spacing w:val="-3"/>
        </w:rPr>
        <w:t> </w:t>
      </w:r>
      <w:r>
        <w:rPr/>
        <w:t>FCMLs,</w:t>
      </w:r>
      <w:r>
        <w:rPr>
          <w:spacing w:val="-3"/>
        </w:rPr>
        <w:t> </w:t>
      </w:r>
      <w:r>
        <w:rPr/>
        <w:t>the</w:t>
      </w:r>
      <w:r>
        <w:rPr>
          <w:spacing w:val="-3"/>
        </w:rPr>
        <w:t> </w:t>
      </w:r>
      <w:r>
        <w:rPr/>
        <w:t>probability</w:t>
      </w:r>
      <w:r>
        <w:rPr>
          <w:spacing w:val="-2"/>
        </w:rPr>
        <w:t> </w:t>
      </w:r>
      <w:r>
        <w:rPr/>
        <w:t>a</w:t>
      </w:r>
      <w:r>
        <w:rPr>
          <w:spacing w:val="-4"/>
        </w:rPr>
        <w:t> </w:t>
      </w:r>
      <w:r>
        <w:rPr/>
        <w:t>site</w:t>
      </w:r>
      <w:r>
        <w:rPr>
          <w:spacing w:val="-1"/>
        </w:rPr>
        <w:t> </w:t>
      </w:r>
      <w:r>
        <w:rPr/>
        <w:t>survived</w:t>
      </w:r>
      <w:r>
        <w:rPr>
          <w:spacing w:val="-3"/>
        </w:rPr>
        <w:t> </w:t>
      </w:r>
      <w:r>
        <w:rPr/>
        <w:t>tended</w:t>
      </w:r>
      <w:r>
        <w:rPr>
          <w:spacing w:val="-1"/>
        </w:rPr>
        <w:t> </w:t>
      </w:r>
      <w:r>
        <w:rPr/>
        <w:t>to</w:t>
      </w:r>
      <w:r>
        <w:rPr>
          <w:spacing w:val="-3"/>
        </w:rPr>
        <w:t> </w:t>
      </w:r>
      <w:r>
        <w:rPr/>
        <w:t>decline.</w:t>
      </w:r>
      <w:r>
        <w:rPr>
          <w:spacing w:val="-1"/>
        </w:rPr>
        <w:t> </w:t>
      </w:r>
      <w:r>
        <w:rPr/>
        <w:t>At</w:t>
      </w:r>
      <w:r>
        <w:rPr>
          <w:spacing w:val="-3"/>
        </w:rPr>
        <w:t> </w:t>
      </w:r>
      <w:r>
        <w:rPr/>
        <w:t>sites</w:t>
      </w:r>
      <w:r>
        <w:rPr>
          <w:spacing w:val="-1"/>
        </w:rPr>
        <w:t> </w:t>
      </w:r>
      <w:r>
        <w:rPr/>
        <w:t>in NFCMLs, the opposite occurred, with the probability of site survival increasing further form water.</w:t>
      </w:r>
    </w:p>
    <w:p>
      <w:pPr>
        <w:pStyle w:val="BodyText"/>
        <w:spacing w:before="120"/>
        <w:ind w:left="1132" w:right="1204"/>
      </w:pPr>
      <w:r>
        <w:rPr/>
        <w:t>At</w:t>
      </w:r>
      <w:r>
        <w:rPr>
          <w:spacing w:val="-4"/>
        </w:rPr>
        <w:t> </w:t>
      </w:r>
      <w:r>
        <w:rPr/>
        <w:t>sites</w:t>
      </w:r>
      <w:r>
        <w:rPr>
          <w:spacing w:val="-2"/>
        </w:rPr>
        <w:t> </w:t>
      </w:r>
      <w:r>
        <w:rPr/>
        <w:t>in</w:t>
      </w:r>
      <w:r>
        <w:rPr>
          <w:spacing w:val="-4"/>
        </w:rPr>
        <w:t> </w:t>
      </w:r>
      <w:r>
        <w:rPr/>
        <w:t>FCMLs,</w:t>
      </w:r>
      <w:r>
        <w:rPr>
          <w:spacing w:val="-4"/>
        </w:rPr>
        <w:t> </w:t>
      </w:r>
      <w:r>
        <w:rPr/>
        <w:t>sites</w:t>
      </w:r>
      <w:r>
        <w:rPr>
          <w:spacing w:val="-3"/>
        </w:rPr>
        <w:t> </w:t>
      </w:r>
      <w:r>
        <w:rPr/>
        <w:t>with</w:t>
      </w:r>
      <w:r>
        <w:rPr>
          <w:spacing w:val="-4"/>
        </w:rPr>
        <w:t> </w:t>
      </w:r>
      <w:r>
        <w:rPr/>
        <w:t>higher</w:t>
      </w:r>
      <w:r>
        <w:rPr>
          <w:spacing w:val="-1"/>
        </w:rPr>
        <w:t> </w:t>
      </w:r>
      <w:r>
        <w:rPr/>
        <w:t>elevation</w:t>
      </w:r>
      <w:r>
        <w:rPr>
          <w:spacing w:val="-2"/>
        </w:rPr>
        <w:t> </w:t>
      </w:r>
      <w:r>
        <w:rPr/>
        <w:t>were</w:t>
      </w:r>
      <w:r>
        <w:rPr>
          <w:spacing w:val="-4"/>
        </w:rPr>
        <w:t> </w:t>
      </w:r>
      <w:r>
        <w:rPr/>
        <w:t>associated</w:t>
      </w:r>
      <w:r>
        <w:rPr>
          <w:spacing w:val="-4"/>
        </w:rPr>
        <w:t> </w:t>
      </w:r>
      <w:r>
        <w:rPr/>
        <w:t>with</w:t>
      </w:r>
      <w:r>
        <w:rPr>
          <w:spacing w:val="-2"/>
        </w:rPr>
        <w:t> </w:t>
      </w:r>
      <w:r>
        <w:rPr/>
        <w:t>higher</w:t>
      </w:r>
      <w:r>
        <w:rPr>
          <w:spacing w:val="-1"/>
        </w:rPr>
        <w:t> </w:t>
      </w:r>
      <w:r>
        <w:rPr/>
        <w:t>local</w:t>
      </w:r>
      <w:r>
        <w:rPr>
          <w:spacing w:val="-3"/>
        </w:rPr>
        <w:t> </w:t>
      </w:r>
      <w:r>
        <w:rPr/>
        <w:t>survival,</w:t>
      </w:r>
      <w:r>
        <w:rPr>
          <w:spacing w:val="-4"/>
        </w:rPr>
        <w:t> </w:t>
      </w:r>
      <w:r>
        <w:rPr/>
        <w:t>whereas</w:t>
      </w:r>
      <w:r>
        <w:rPr>
          <w:spacing w:val="-2"/>
        </w:rPr>
        <w:t> </w:t>
      </w:r>
      <w:r>
        <w:rPr/>
        <w:t>the opposite occurred at sites in NFCMLs.</w:t>
      </w:r>
    </w:p>
    <w:p>
      <w:pPr>
        <w:pStyle w:val="BodyText"/>
        <w:spacing w:after="0"/>
        <w:sectPr>
          <w:footerReference w:type="default" r:id="rId47"/>
          <w:pgSz w:w="11910" w:h="16850"/>
          <w:pgMar w:header="0" w:footer="688" w:top="1060" w:bottom="880" w:left="0" w:right="0"/>
        </w:sectPr>
      </w:pPr>
    </w:p>
    <w:p>
      <w:pPr>
        <w:spacing w:line="240" w:lineRule="auto"/>
        <w:ind w:left="1134" w:right="0" w:firstLine="0"/>
        <w:rPr>
          <w:sz w:val="20"/>
        </w:rPr>
      </w:pPr>
      <w:r>
        <w:rPr>
          <w:sz w:val="20"/>
        </w:rPr>
        <w:drawing>
          <wp:inline distT="0" distB="0" distL="0" distR="0">
            <wp:extent cx="5992465" cy="3203257"/>
            <wp:effectExtent l="0" t="0" r="0" b="0"/>
            <wp:docPr id="104" name="Image 104"/>
            <wp:cNvGraphicFramePr>
              <a:graphicFrameLocks/>
            </wp:cNvGraphicFramePr>
            <a:graphic>
              <a:graphicData uri="http://schemas.openxmlformats.org/drawingml/2006/picture">
                <pic:pic>
                  <pic:nvPicPr>
                    <pic:cNvPr id="104" name="Image 104"/>
                    <pic:cNvPicPr/>
                  </pic:nvPicPr>
                  <pic:blipFill>
                    <a:blip r:embed="rId50" cstate="print"/>
                    <a:stretch>
                      <a:fillRect/>
                    </a:stretch>
                  </pic:blipFill>
                  <pic:spPr>
                    <a:xfrm>
                      <a:off x="0" y="0"/>
                      <a:ext cx="5992465" cy="3203257"/>
                    </a:xfrm>
                    <a:prstGeom prst="rect">
                      <a:avLst/>
                    </a:prstGeom>
                  </pic:spPr>
                </pic:pic>
              </a:graphicData>
            </a:graphic>
          </wp:inline>
        </w:drawing>
      </w:r>
      <w:r>
        <w:rPr>
          <w:sz w:val="20"/>
        </w:rPr>
      </w:r>
    </w:p>
    <w:p>
      <w:pPr>
        <w:pStyle w:val="BodyText"/>
        <w:spacing w:before="2"/>
        <w:rPr>
          <w:sz w:val="18"/>
        </w:rPr>
      </w:pPr>
      <w:r>
        <w:rPr>
          <w:sz w:val="18"/>
        </w:rPr>
        <w:drawing>
          <wp:anchor distT="0" distB="0" distL="0" distR="0" allowOverlap="1" layoutInCell="1" locked="0" behindDoc="1" simplePos="0" relativeHeight="487598592">
            <wp:simplePos x="0" y="0"/>
            <wp:positionH relativeFrom="page">
              <wp:posOffset>764018</wp:posOffset>
            </wp:positionH>
            <wp:positionV relativeFrom="paragraph">
              <wp:posOffset>148345</wp:posOffset>
            </wp:positionV>
            <wp:extent cx="2946231" cy="3123628"/>
            <wp:effectExtent l="0" t="0" r="0" b="0"/>
            <wp:wrapTopAndBottom/>
            <wp:docPr id="105" name="Image 105" descr="A graph of a graph with numbers and lines  Description automatically generated with medium confidence"/>
            <wp:cNvGraphicFramePr>
              <a:graphicFrameLocks/>
            </wp:cNvGraphicFramePr>
            <a:graphic>
              <a:graphicData uri="http://schemas.openxmlformats.org/drawingml/2006/picture">
                <pic:pic>
                  <pic:nvPicPr>
                    <pic:cNvPr id="105" name="Image 105" descr="A graph of a graph with numbers and lines  Description automatically generated with medium confidence"/>
                    <pic:cNvPicPr/>
                  </pic:nvPicPr>
                  <pic:blipFill>
                    <a:blip r:embed="rId51" cstate="print"/>
                    <a:stretch>
                      <a:fillRect/>
                    </a:stretch>
                  </pic:blipFill>
                  <pic:spPr>
                    <a:xfrm>
                      <a:off x="0" y="0"/>
                      <a:ext cx="2946231" cy="3123628"/>
                    </a:xfrm>
                    <a:prstGeom prst="rect">
                      <a:avLst/>
                    </a:prstGeom>
                  </pic:spPr>
                </pic:pic>
              </a:graphicData>
            </a:graphic>
          </wp:anchor>
        </w:drawing>
      </w:r>
    </w:p>
    <w:p>
      <w:pPr>
        <w:pStyle w:val="BodyText"/>
        <w:spacing w:before="10"/>
      </w:pPr>
    </w:p>
    <w:p>
      <w:pPr>
        <w:pStyle w:val="Heading5"/>
        <w:ind w:right="1204"/>
      </w:pPr>
      <w:bookmarkStart w:name="_bookmark10" w:id="25"/>
      <w:bookmarkEnd w:id="25"/>
      <w:r>
        <w:rPr>
          <w:b w:val="0"/>
        </w:rPr>
      </w:r>
      <w:r>
        <w:rPr>
          <w:color w:val="1F1546"/>
        </w:rPr>
        <w:t>Figure 10. Site survival rate for the Southern Brown Bandicoot across different times-since-fire, distances</w:t>
      </w:r>
      <w:r>
        <w:rPr>
          <w:color w:val="1F1546"/>
          <w:spacing w:val="-2"/>
        </w:rPr>
        <w:t> </w:t>
      </w:r>
      <w:r>
        <w:rPr>
          <w:color w:val="1F1546"/>
        </w:rPr>
        <w:t>to</w:t>
      </w:r>
      <w:r>
        <w:rPr>
          <w:color w:val="1F1546"/>
          <w:spacing w:val="-3"/>
        </w:rPr>
        <w:t> </w:t>
      </w:r>
      <w:r>
        <w:rPr>
          <w:color w:val="1F1546"/>
        </w:rPr>
        <w:t>nearest</w:t>
      </w:r>
      <w:r>
        <w:rPr>
          <w:color w:val="1F1546"/>
          <w:spacing w:val="-3"/>
        </w:rPr>
        <w:t> </w:t>
      </w:r>
      <w:r>
        <w:rPr>
          <w:color w:val="1F1546"/>
        </w:rPr>
        <w:t>water</w:t>
      </w:r>
      <w:r>
        <w:rPr>
          <w:color w:val="1F1546"/>
          <w:spacing w:val="-4"/>
        </w:rPr>
        <w:t> </w:t>
      </w:r>
      <w:r>
        <w:rPr>
          <w:color w:val="1F1546"/>
        </w:rPr>
        <w:t>and</w:t>
      </w:r>
      <w:r>
        <w:rPr>
          <w:color w:val="1F1546"/>
          <w:spacing w:val="-3"/>
        </w:rPr>
        <w:t> </w:t>
      </w:r>
      <w:r>
        <w:rPr>
          <w:color w:val="1F1546"/>
        </w:rPr>
        <w:t>elevations</w:t>
      </w:r>
      <w:r>
        <w:rPr>
          <w:color w:val="1F1546"/>
          <w:spacing w:val="-4"/>
        </w:rPr>
        <w:t> </w:t>
      </w:r>
      <w:r>
        <w:rPr>
          <w:color w:val="1F1546"/>
        </w:rPr>
        <w:t>separated</w:t>
      </w:r>
      <w:r>
        <w:rPr>
          <w:color w:val="1F1546"/>
          <w:spacing w:val="-3"/>
        </w:rPr>
        <w:t> </w:t>
      </w:r>
      <w:r>
        <w:rPr>
          <w:color w:val="1F1546"/>
        </w:rPr>
        <w:t>by</w:t>
      </w:r>
      <w:r>
        <w:rPr>
          <w:color w:val="1F1546"/>
          <w:spacing w:val="-4"/>
        </w:rPr>
        <w:t> </w:t>
      </w:r>
      <w:r>
        <w:rPr>
          <w:color w:val="1F1546"/>
        </w:rPr>
        <w:t>fox</w:t>
      </w:r>
      <w:r>
        <w:rPr>
          <w:color w:val="1F1546"/>
          <w:spacing w:val="-4"/>
        </w:rPr>
        <w:t> </w:t>
      </w:r>
      <w:r>
        <w:rPr>
          <w:color w:val="1F1546"/>
        </w:rPr>
        <w:t>control</w:t>
      </w:r>
      <w:r>
        <w:rPr>
          <w:color w:val="1F1546"/>
          <w:spacing w:val="-2"/>
        </w:rPr>
        <w:t> </w:t>
      </w:r>
      <w:r>
        <w:rPr>
          <w:color w:val="1F1546"/>
        </w:rPr>
        <w:t>status,</w:t>
      </w:r>
      <w:r>
        <w:rPr>
          <w:color w:val="1F1546"/>
          <w:spacing w:val="-4"/>
        </w:rPr>
        <w:t> </w:t>
      </w:r>
      <w:r>
        <w:rPr>
          <w:color w:val="1F1546"/>
        </w:rPr>
        <w:t>given</w:t>
      </w:r>
      <w:r>
        <w:rPr>
          <w:color w:val="1F1546"/>
          <w:spacing w:val="-3"/>
        </w:rPr>
        <w:t> </w:t>
      </w:r>
      <w:r>
        <w:rPr>
          <w:color w:val="1F1546"/>
        </w:rPr>
        <w:t>all</w:t>
      </w:r>
      <w:r>
        <w:rPr>
          <w:color w:val="1F1546"/>
          <w:spacing w:val="-2"/>
        </w:rPr>
        <w:t> </w:t>
      </w:r>
      <w:r>
        <w:rPr>
          <w:color w:val="1F1546"/>
        </w:rPr>
        <w:t>other</w:t>
      </w:r>
      <w:r>
        <w:rPr>
          <w:color w:val="1F1546"/>
          <w:spacing w:val="-5"/>
        </w:rPr>
        <w:t> </w:t>
      </w:r>
      <w:r>
        <w:rPr>
          <w:color w:val="1F1546"/>
        </w:rPr>
        <w:t>covariates were average.</w:t>
      </w:r>
    </w:p>
    <w:p>
      <w:pPr>
        <w:spacing w:before="119"/>
        <w:ind w:left="1132" w:right="0" w:firstLine="0"/>
        <w:jc w:val="left"/>
        <w:rPr>
          <w:sz w:val="18"/>
        </w:rPr>
      </w:pPr>
      <w:r>
        <w:rPr>
          <w:sz w:val="18"/>
        </w:rPr>
        <w:t>The</w:t>
      </w:r>
      <w:r>
        <w:rPr>
          <w:spacing w:val="-3"/>
          <w:sz w:val="18"/>
        </w:rPr>
        <w:t> </w:t>
      </w:r>
      <w:r>
        <w:rPr>
          <w:sz w:val="18"/>
        </w:rPr>
        <w:t>line</w:t>
      </w:r>
      <w:r>
        <w:rPr>
          <w:spacing w:val="-4"/>
          <w:sz w:val="18"/>
        </w:rPr>
        <w:t> </w:t>
      </w:r>
      <w:r>
        <w:rPr>
          <w:sz w:val="18"/>
        </w:rPr>
        <w:t>is</w:t>
      </w:r>
      <w:r>
        <w:rPr>
          <w:spacing w:val="-1"/>
          <w:sz w:val="18"/>
        </w:rPr>
        <w:t> </w:t>
      </w:r>
      <w:r>
        <w:rPr>
          <w:sz w:val="18"/>
        </w:rPr>
        <w:t>the</w:t>
      </w:r>
      <w:r>
        <w:rPr>
          <w:spacing w:val="-4"/>
          <w:sz w:val="18"/>
        </w:rPr>
        <w:t> </w:t>
      </w:r>
      <w:r>
        <w:rPr>
          <w:sz w:val="18"/>
        </w:rPr>
        <w:t>median</w:t>
      </w:r>
      <w:r>
        <w:rPr>
          <w:spacing w:val="-1"/>
          <w:sz w:val="18"/>
        </w:rPr>
        <w:t> </w:t>
      </w:r>
      <w:r>
        <w:rPr>
          <w:sz w:val="18"/>
        </w:rPr>
        <w:t>fitted</w:t>
      </w:r>
      <w:r>
        <w:rPr>
          <w:spacing w:val="-2"/>
          <w:sz w:val="18"/>
        </w:rPr>
        <w:t> </w:t>
      </w:r>
      <w:r>
        <w:rPr>
          <w:sz w:val="18"/>
        </w:rPr>
        <w:t>value</w:t>
      </w:r>
      <w:r>
        <w:rPr>
          <w:spacing w:val="-2"/>
          <w:sz w:val="18"/>
        </w:rPr>
        <w:t> </w:t>
      </w:r>
      <w:r>
        <w:rPr>
          <w:sz w:val="18"/>
        </w:rPr>
        <w:t>and</w:t>
      </w:r>
      <w:r>
        <w:rPr>
          <w:spacing w:val="-2"/>
          <w:sz w:val="18"/>
        </w:rPr>
        <w:t> </w:t>
      </w:r>
      <w:r>
        <w:rPr>
          <w:sz w:val="18"/>
        </w:rPr>
        <w:t>the</w:t>
      </w:r>
      <w:r>
        <w:rPr>
          <w:spacing w:val="-2"/>
          <w:sz w:val="18"/>
        </w:rPr>
        <w:t> </w:t>
      </w:r>
      <w:r>
        <w:rPr>
          <w:sz w:val="18"/>
        </w:rPr>
        <w:t>shaded</w:t>
      </w:r>
      <w:r>
        <w:rPr>
          <w:spacing w:val="-2"/>
          <w:sz w:val="18"/>
        </w:rPr>
        <w:t> </w:t>
      </w:r>
      <w:r>
        <w:rPr>
          <w:sz w:val="18"/>
        </w:rPr>
        <w:t>areas</w:t>
      </w:r>
      <w:r>
        <w:rPr>
          <w:spacing w:val="-3"/>
          <w:sz w:val="18"/>
        </w:rPr>
        <w:t> </w:t>
      </w:r>
      <w:r>
        <w:rPr>
          <w:sz w:val="18"/>
        </w:rPr>
        <w:t>represent</w:t>
      </w:r>
      <w:r>
        <w:rPr>
          <w:spacing w:val="-3"/>
          <w:sz w:val="18"/>
        </w:rPr>
        <w:t> </w:t>
      </w:r>
      <w:r>
        <w:rPr>
          <w:sz w:val="18"/>
        </w:rPr>
        <w:t>the</w:t>
      </w:r>
      <w:r>
        <w:rPr>
          <w:spacing w:val="-4"/>
          <w:sz w:val="18"/>
        </w:rPr>
        <w:t> </w:t>
      </w:r>
      <w:r>
        <w:rPr>
          <w:sz w:val="18"/>
        </w:rPr>
        <w:t>95%</w:t>
      </w:r>
      <w:r>
        <w:rPr>
          <w:spacing w:val="-4"/>
          <w:sz w:val="18"/>
        </w:rPr>
        <w:t> </w:t>
      </w:r>
      <w:r>
        <w:rPr>
          <w:sz w:val="18"/>
        </w:rPr>
        <w:t>high</w:t>
      </w:r>
      <w:r>
        <w:rPr>
          <w:spacing w:val="-2"/>
          <w:sz w:val="18"/>
        </w:rPr>
        <w:t> </w:t>
      </w:r>
      <w:r>
        <w:rPr>
          <w:sz w:val="18"/>
        </w:rPr>
        <w:t>density</w:t>
      </w:r>
      <w:r>
        <w:rPr>
          <w:spacing w:val="-3"/>
          <w:sz w:val="18"/>
        </w:rPr>
        <w:t> </w:t>
      </w:r>
      <w:r>
        <w:rPr>
          <w:spacing w:val="-2"/>
          <w:sz w:val="18"/>
        </w:rPr>
        <w:t>interval.</w:t>
      </w:r>
    </w:p>
    <w:p>
      <w:pPr>
        <w:pStyle w:val="BodyText"/>
        <w:spacing w:before="184"/>
        <w:rPr>
          <w:sz w:val="18"/>
        </w:rPr>
      </w:pPr>
    </w:p>
    <w:p>
      <w:pPr>
        <w:pStyle w:val="Heading6"/>
        <w:rPr>
          <w:i/>
        </w:rPr>
      </w:pPr>
      <w:r>
        <w:rPr>
          <w:i/>
        </w:rPr>
        <w:t>Site</w:t>
      </w:r>
      <w:r>
        <w:rPr>
          <w:i/>
          <w:spacing w:val="-6"/>
        </w:rPr>
        <w:t> </w:t>
      </w:r>
      <w:r>
        <w:rPr>
          <w:i/>
          <w:spacing w:val="-2"/>
        </w:rPr>
        <w:t>colonisation</w:t>
      </w:r>
    </w:p>
    <w:p>
      <w:pPr>
        <w:pStyle w:val="BodyText"/>
        <w:spacing w:before="120"/>
        <w:ind w:left="1132" w:right="1157"/>
        <w:jc w:val="both"/>
      </w:pPr>
      <w:r>
        <w:rPr/>
        <w:t>The</w:t>
      </w:r>
      <w:r>
        <w:rPr>
          <w:spacing w:val="-5"/>
        </w:rPr>
        <w:t> </w:t>
      </w:r>
      <w:r>
        <w:rPr/>
        <w:t>odds</w:t>
      </w:r>
      <w:r>
        <w:rPr>
          <w:spacing w:val="-3"/>
        </w:rPr>
        <w:t> </w:t>
      </w:r>
      <w:r>
        <w:rPr/>
        <w:t>of</w:t>
      </w:r>
      <w:r>
        <w:rPr>
          <w:spacing w:val="-2"/>
        </w:rPr>
        <w:t> </w:t>
      </w:r>
      <w:r>
        <w:rPr/>
        <w:t>an</w:t>
      </w:r>
      <w:r>
        <w:rPr>
          <w:spacing w:val="-5"/>
        </w:rPr>
        <w:t> </w:t>
      </w:r>
      <w:r>
        <w:rPr/>
        <w:t>unoccupied site</w:t>
      </w:r>
      <w:r>
        <w:rPr>
          <w:spacing w:val="-4"/>
        </w:rPr>
        <w:t> </w:t>
      </w:r>
      <w:r>
        <w:rPr/>
        <w:t>becoming</w:t>
      </w:r>
      <w:r>
        <w:rPr>
          <w:spacing w:val="-2"/>
        </w:rPr>
        <w:t> </w:t>
      </w:r>
      <w:r>
        <w:rPr/>
        <w:t>occupied</w:t>
      </w:r>
      <w:r>
        <w:rPr>
          <w:spacing w:val="-2"/>
        </w:rPr>
        <w:t> </w:t>
      </w:r>
      <w:r>
        <w:rPr/>
        <w:t>were</w:t>
      </w:r>
      <w:r>
        <w:rPr>
          <w:spacing w:val="-4"/>
        </w:rPr>
        <w:t> </w:t>
      </w:r>
      <w:r>
        <w:rPr/>
        <w:t>consistently larger</w:t>
      </w:r>
      <w:r>
        <w:rPr>
          <w:spacing w:val="-1"/>
        </w:rPr>
        <w:t> </w:t>
      </w:r>
      <w:r>
        <w:rPr/>
        <w:t>in</w:t>
      </w:r>
      <w:r>
        <w:rPr>
          <w:spacing w:val="-4"/>
        </w:rPr>
        <w:t> </w:t>
      </w:r>
      <w:r>
        <w:rPr/>
        <w:t>FCMLs</w:t>
      </w:r>
      <w:r>
        <w:rPr>
          <w:spacing w:val="-3"/>
        </w:rPr>
        <w:t> </w:t>
      </w:r>
      <w:r>
        <w:rPr/>
        <w:t>than</w:t>
      </w:r>
      <w:r>
        <w:rPr>
          <w:spacing w:val="-1"/>
        </w:rPr>
        <w:t> </w:t>
      </w:r>
      <w:r>
        <w:rPr/>
        <w:t>in</w:t>
      </w:r>
      <w:r>
        <w:rPr>
          <w:spacing w:val="-4"/>
        </w:rPr>
        <w:t> </w:t>
      </w:r>
      <w:r>
        <w:rPr/>
        <w:t>NFCMLs,</w:t>
      </w:r>
      <w:r>
        <w:rPr>
          <w:spacing w:val="-1"/>
        </w:rPr>
        <w:t> </w:t>
      </w:r>
      <w:r>
        <w:rPr/>
        <w:t>by</w:t>
      </w:r>
      <w:r>
        <w:rPr>
          <w:spacing w:val="-3"/>
        </w:rPr>
        <w:t> </w:t>
      </w:r>
      <w:r>
        <w:rPr/>
        <w:t>a factor</w:t>
      </w:r>
      <w:r>
        <w:rPr>
          <w:spacing w:val="-3"/>
        </w:rPr>
        <w:t> </w:t>
      </w:r>
      <w:r>
        <w:rPr/>
        <w:t>of</w:t>
      </w:r>
      <w:r>
        <w:rPr>
          <w:spacing w:val="-1"/>
        </w:rPr>
        <w:t> </w:t>
      </w:r>
      <w:r>
        <w:rPr/>
        <w:t>3.2</w:t>
      </w:r>
      <w:r>
        <w:rPr>
          <w:spacing w:val="-3"/>
        </w:rPr>
        <w:t> </w:t>
      </w:r>
      <w:r>
        <w:rPr/>
        <w:t>(95%</w:t>
      </w:r>
      <w:r>
        <w:rPr>
          <w:spacing w:val="-1"/>
        </w:rPr>
        <w:t> </w:t>
      </w:r>
      <w:r>
        <w:rPr/>
        <w:t>CI:</w:t>
      </w:r>
      <w:r>
        <w:rPr>
          <w:spacing w:val="-1"/>
        </w:rPr>
        <w:t> </w:t>
      </w:r>
      <w:r>
        <w:rPr/>
        <w:t>2.0–5.3).</w:t>
      </w:r>
      <w:r>
        <w:rPr>
          <w:spacing w:val="-3"/>
        </w:rPr>
        <w:t> </w:t>
      </w:r>
      <w:r>
        <w:rPr/>
        <w:t>Colonisation</w:t>
      </w:r>
      <w:r>
        <w:rPr>
          <w:spacing w:val="-2"/>
        </w:rPr>
        <w:t> </w:t>
      </w:r>
      <w:r>
        <w:rPr/>
        <w:t>increased</w:t>
      </w:r>
      <w:r>
        <w:rPr>
          <w:spacing w:val="-1"/>
        </w:rPr>
        <w:t> </w:t>
      </w:r>
      <w:r>
        <w:rPr/>
        <w:t>with</w:t>
      </w:r>
      <w:r>
        <w:rPr>
          <w:spacing w:val="-1"/>
        </w:rPr>
        <w:t> </w:t>
      </w:r>
      <w:r>
        <w:rPr/>
        <w:t>distance</w:t>
      </w:r>
      <w:r>
        <w:rPr>
          <w:spacing w:val="-3"/>
        </w:rPr>
        <w:t> </w:t>
      </w:r>
      <w:r>
        <w:rPr/>
        <w:t>to</w:t>
      </w:r>
      <w:r>
        <w:rPr>
          <w:spacing w:val="-1"/>
        </w:rPr>
        <w:t> </w:t>
      </w:r>
      <w:r>
        <w:rPr/>
        <w:t>non-native</w:t>
      </w:r>
      <w:r>
        <w:rPr>
          <w:spacing w:val="-1"/>
        </w:rPr>
        <w:t> </w:t>
      </w:r>
      <w:r>
        <w:rPr/>
        <w:t>vegetation</w:t>
      </w:r>
      <w:r>
        <w:rPr>
          <w:spacing w:val="-3"/>
        </w:rPr>
        <w:t> </w:t>
      </w:r>
      <w:r>
        <w:rPr/>
        <w:t>and</w:t>
      </w:r>
      <w:r>
        <w:rPr>
          <w:spacing w:val="-3"/>
        </w:rPr>
        <w:t> </w:t>
      </w:r>
      <w:r>
        <w:rPr/>
        <w:t>decreased with time-since-fire in both FCMLs and NFCMLs (Table A5-C; Figure 11).</w:t>
      </w:r>
    </w:p>
    <w:p>
      <w:pPr>
        <w:pStyle w:val="BodyText"/>
        <w:spacing w:after="0"/>
        <w:jc w:val="both"/>
        <w:sectPr>
          <w:footerReference w:type="default" r:id="rId49"/>
          <w:pgSz w:w="11910" w:h="16850"/>
          <w:pgMar w:header="0" w:footer="688" w:top="1140" w:bottom="880" w:left="0" w:right="0"/>
        </w:sectPr>
      </w:pPr>
    </w:p>
    <w:p>
      <w:pPr>
        <w:spacing w:line="240" w:lineRule="auto"/>
        <w:ind w:left="1134" w:right="0" w:firstLine="0"/>
        <w:rPr>
          <w:sz w:val="20"/>
        </w:rPr>
      </w:pPr>
      <w:r>
        <w:rPr>
          <w:sz w:val="20"/>
        </w:rPr>
        <w:drawing>
          <wp:inline distT="0" distB="0" distL="0" distR="0">
            <wp:extent cx="5984478" cy="3203257"/>
            <wp:effectExtent l="0" t="0" r="0" b="0"/>
            <wp:docPr id="109" name="Image 109"/>
            <wp:cNvGraphicFramePr>
              <a:graphicFrameLocks/>
            </wp:cNvGraphicFramePr>
            <a:graphic>
              <a:graphicData uri="http://schemas.openxmlformats.org/drawingml/2006/picture">
                <pic:pic>
                  <pic:nvPicPr>
                    <pic:cNvPr id="109" name="Image 109"/>
                    <pic:cNvPicPr/>
                  </pic:nvPicPr>
                  <pic:blipFill>
                    <a:blip r:embed="rId53" cstate="print"/>
                    <a:stretch>
                      <a:fillRect/>
                    </a:stretch>
                  </pic:blipFill>
                  <pic:spPr>
                    <a:xfrm>
                      <a:off x="0" y="0"/>
                      <a:ext cx="5984478" cy="3203257"/>
                    </a:xfrm>
                    <a:prstGeom prst="rect">
                      <a:avLst/>
                    </a:prstGeom>
                  </pic:spPr>
                </pic:pic>
              </a:graphicData>
            </a:graphic>
          </wp:inline>
        </w:drawing>
      </w:r>
      <w:r>
        <w:rPr>
          <w:sz w:val="20"/>
        </w:rPr>
      </w:r>
    </w:p>
    <w:p>
      <w:pPr>
        <w:pStyle w:val="Heading5"/>
        <w:spacing w:before="180"/>
        <w:ind w:right="1264"/>
      </w:pPr>
      <w:bookmarkStart w:name="_bookmark11" w:id="26"/>
      <w:bookmarkEnd w:id="26"/>
      <w:r>
        <w:rPr>
          <w:b w:val="0"/>
        </w:rPr>
      </w:r>
      <w:r>
        <w:rPr>
          <w:color w:val="1F1546"/>
        </w:rPr>
        <w:t>Figure</w:t>
      </w:r>
      <w:r>
        <w:rPr>
          <w:color w:val="1F1546"/>
          <w:spacing w:val="-3"/>
        </w:rPr>
        <w:t> </w:t>
      </w:r>
      <w:r>
        <w:rPr>
          <w:color w:val="1F1546"/>
        </w:rPr>
        <w:t>11.</w:t>
      </w:r>
      <w:r>
        <w:rPr>
          <w:color w:val="1F1546"/>
          <w:spacing w:val="-4"/>
        </w:rPr>
        <w:t> </w:t>
      </w:r>
      <w:r>
        <w:rPr>
          <w:color w:val="1F1546"/>
        </w:rPr>
        <w:t>Estimated</w:t>
      </w:r>
      <w:r>
        <w:rPr>
          <w:color w:val="1F1546"/>
          <w:spacing w:val="-3"/>
        </w:rPr>
        <w:t> </w:t>
      </w:r>
      <w:r>
        <w:rPr>
          <w:color w:val="1F1546"/>
        </w:rPr>
        <w:t>local</w:t>
      </w:r>
      <w:r>
        <w:rPr>
          <w:color w:val="1F1546"/>
          <w:spacing w:val="-3"/>
        </w:rPr>
        <w:t> </w:t>
      </w:r>
      <w:r>
        <w:rPr>
          <w:color w:val="1F1546"/>
        </w:rPr>
        <w:t>colonisation rate</w:t>
      </w:r>
      <w:r>
        <w:rPr>
          <w:color w:val="1F1546"/>
          <w:spacing w:val="-4"/>
        </w:rPr>
        <w:t> </w:t>
      </w:r>
      <w:r>
        <w:rPr>
          <w:color w:val="1F1546"/>
        </w:rPr>
        <w:t>for</w:t>
      </w:r>
      <w:r>
        <w:rPr>
          <w:color w:val="1F1546"/>
          <w:spacing w:val="-2"/>
        </w:rPr>
        <w:t> </w:t>
      </w:r>
      <w:r>
        <w:rPr>
          <w:color w:val="1F1546"/>
        </w:rPr>
        <w:t>the</w:t>
      </w:r>
      <w:r>
        <w:rPr>
          <w:color w:val="1F1546"/>
          <w:spacing w:val="-2"/>
        </w:rPr>
        <w:t> </w:t>
      </w:r>
      <w:r>
        <w:rPr>
          <w:color w:val="1F1546"/>
        </w:rPr>
        <w:t>Southern</w:t>
      </w:r>
      <w:r>
        <w:rPr>
          <w:color w:val="1F1546"/>
          <w:spacing w:val="-3"/>
        </w:rPr>
        <w:t> </w:t>
      </w:r>
      <w:r>
        <w:rPr>
          <w:color w:val="1F1546"/>
        </w:rPr>
        <w:t>Brown</w:t>
      </w:r>
      <w:r>
        <w:rPr>
          <w:color w:val="1F1546"/>
          <w:spacing w:val="-3"/>
        </w:rPr>
        <w:t> </w:t>
      </w:r>
      <w:r>
        <w:rPr>
          <w:color w:val="1F1546"/>
        </w:rPr>
        <w:t>Bandicoot</w:t>
      </w:r>
      <w:r>
        <w:rPr>
          <w:color w:val="1F1546"/>
          <w:spacing w:val="-3"/>
        </w:rPr>
        <w:t> </w:t>
      </w:r>
      <w:r>
        <w:rPr>
          <w:color w:val="1F1546"/>
        </w:rPr>
        <w:t>related</w:t>
      </w:r>
      <w:r>
        <w:rPr>
          <w:color w:val="1F1546"/>
          <w:spacing w:val="-4"/>
        </w:rPr>
        <w:t> </w:t>
      </w:r>
      <w:r>
        <w:rPr>
          <w:color w:val="1F1546"/>
        </w:rPr>
        <w:t>to</w:t>
      </w:r>
      <w:r>
        <w:rPr>
          <w:color w:val="1F1546"/>
          <w:spacing w:val="-3"/>
        </w:rPr>
        <w:t> </w:t>
      </w:r>
      <w:r>
        <w:rPr>
          <w:color w:val="1F1546"/>
        </w:rPr>
        <w:t>distance</w:t>
      </w:r>
      <w:r>
        <w:rPr>
          <w:color w:val="1F1546"/>
          <w:spacing w:val="-4"/>
        </w:rPr>
        <w:t> </w:t>
      </w:r>
      <w:r>
        <w:rPr>
          <w:color w:val="1F1546"/>
        </w:rPr>
        <w:t>to non-native vegetation and time since last fire, separated by fox control status.</w:t>
      </w:r>
    </w:p>
    <w:p>
      <w:pPr>
        <w:spacing w:before="118"/>
        <w:ind w:left="1132" w:right="0" w:firstLine="0"/>
        <w:jc w:val="left"/>
        <w:rPr>
          <w:sz w:val="18"/>
        </w:rPr>
      </w:pPr>
      <w:r>
        <w:rPr>
          <w:sz w:val="18"/>
        </w:rPr>
        <w:t>The</w:t>
      </w:r>
      <w:r>
        <w:rPr>
          <w:spacing w:val="-3"/>
          <w:sz w:val="18"/>
        </w:rPr>
        <w:t> </w:t>
      </w:r>
      <w:r>
        <w:rPr>
          <w:sz w:val="18"/>
        </w:rPr>
        <w:t>line</w:t>
      </w:r>
      <w:r>
        <w:rPr>
          <w:spacing w:val="-4"/>
          <w:sz w:val="18"/>
        </w:rPr>
        <w:t> </w:t>
      </w:r>
      <w:r>
        <w:rPr>
          <w:sz w:val="18"/>
        </w:rPr>
        <w:t>is</w:t>
      </w:r>
      <w:r>
        <w:rPr>
          <w:spacing w:val="-1"/>
          <w:sz w:val="18"/>
        </w:rPr>
        <w:t> </w:t>
      </w:r>
      <w:r>
        <w:rPr>
          <w:sz w:val="18"/>
        </w:rPr>
        <w:t>the</w:t>
      </w:r>
      <w:r>
        <w:rPr>
          <w:spacing w:val="-4"/>
          <w:sz w:val="18"/>
        </w:rPr>
        <w:t> </w:t>
      </w:r>
      <w:r>
        <w:rPr>
          <w:sz w:val="18"/>
        </w:rPr>
        <w:t>median</w:t>
      </w:r>
      <w:r>
        <w:rPr>
          <w:spacing w:val="-1"/>
          <w:sz w:val="18"/>
        </w:rPr>
        <w:t> </w:t>
      </w:r>
      <w:r>
        <w:rPr>
          <w:sz w:val="18"/>
        </w:rPr>
        <w:t>fitted</w:t>
      </w:r>
      <w:r>
        <w:rPr>
          <w:spacing w:val="-2"/>
          <w:sz w:val="18"/>
        </w:rPr>
        <w:t> </w:t>
      </w:r>
      <w:r>
        <w:rPr>
          <w:sz w:val="18"/>
        </w:rPr>
        <w:t>value</w:t>
      </w:r>
      <w:r>
        <w:rPr>
          <w:spacing w:val="-2"/>
          <w:sz w:val="18"/>
        </w:rPr>
        <w:t> </w:t>
      </w:r>
      <w:r>
        <w:rPr>
          <w:sz w:val="18"/>
        </w:rPr>
        <w:t>and</w:t>
      </w:r>
      <w:r>
        <w:rPr>
          <w:spacing w:val="-2"/>
          <w:sz w:val="18"/>
        </w:rPr>
        <w:t> </w:t>
      </w:r>
      <w:r>
        <w:rPr>
          <w:sz w:val="18"/>
        </w:rPr>
        <w:t>the</w:t>
      </w:r>
      <w:r>
        <w:rPr>
          <w:spacing w:val="-2"/>
          <w:sz w:val="18"/>
        </w:rPr>
        <w:t> </w:t>
      </w:r>
      <w:r>
        <w:rPr>
          <w:sz w:val="18"/>
        </w:rPr>
        <w:t>shaded</w:t>
      </w:r>
      <w:r>
        <w:rPr>
          <w:spacing w:val="-2"/>
          <w:sz w:val="18"/>
        </w:rPr>
        <w:t> </w:t>
      </w:r>
      <w:r>
        <w:rPr>
          <w:sz w:val="18"/>
        </w:rPr>
        <w:t>areas</w:t>
      </w:r>
      <w:r>
        <w:rPr>
          <w:spacing w:val="-3"/>
          <w:sz w:val="18"/>
        </w:rPr>
        <w:t> </w:t>
      </w:r>
      <w:r>
        <w:rPr>
          <w:sz w:val="18"/>
        </w:rPr>
        <w:t>represent</w:t>
      </w:r>
      <w:r>
        <w:rPr>
          <w:spacing w:val="-3"/>
          <w:sz w:val="18"/>
        </w:rPr>
        <w:t> </w:t>
      </w:r>
      <w:r>
        <w:rPr>
          <w:sz w:val="18"/>
        </w:rPr>
        <w:t>the</w:t>
      </w:r>
      <w:r>
        <w:rPr>
          <w:spacing w:val="-4"/>
          <w:sz w:val="18"/>
        </w:rPr>
        <w:t> </w:t>
      </w:r>
      <w:r>
        <w:rPr>
          <w:sz w:val="18"/>
        </w:rPr>
        <w:t>95%</w:t>
      </w:r>
      <w:r>
        <w:rPr>
          <w:spacing w:val="-4"/>
          <w:sz w:val="18"/>
        </w:rPr>
        <w:t> </w:t>
      </w:r>
      <w:r>
        <w:rPr>
          <w:sz w:val="18"/>
        </w:rPr>
        <w:t>high</w:t>
      </w:r>
      <w:r>
        <w:rPr>
          <w:spacing w:val="-2"/>
          <w:sz w:val="18"/>
        </w:rPr>
        <w:t> </w:t>
      </w:r>
      <w:r>
        <w:rPr>
          <w:sz w:val="18"/>
        </w:rPr>
        <w:t>density</w:t>
      </w:r>
      <w:r>
        <w:rPr>
          <w:spacing w:val="-3"/>
          <w:sz w:val="18"/>
        </w:rPr>
        <w:t> </w:t>
      </w:r>
      <w:r>
        <w:rPr>
          <w:spacing w:val="-2"/>
          <w:sz w:val="18"/>
        </w:rPr>
        <w:t>interval.</w:t>
      </w:r>
    </w:p>
    <w:p>
      <w:pPr>
        <w:pStyle w:val="BodyText"/>
        <w:spacing w:before="186"/>
        <w:rPr>
          <w:sz w:val="18"/>
        </w:rPr>
      </w:pPr>
    </w:p>
    <w:p>
      <w:pPr>
        <w:pStyle w:val="Heading6"/>
        <w:spacing w:before="1"/>
        <w:rPr>
          <w:i/>
        </w:rPr>
      </w:pPr>
      <w:r>
        <w:rPr>
          <w:i/>
        </w:rPr>
        <w:t>Growth</w:t>
      </w:r>
      <w:r>
        <w:rPr>
          <w:i/>
          <w:spacing w:val="-8"/>
        </w:rPr>
        <w:t> </w:t>
      </w:r>
      <w:r>
        <w:rPr>
          <w:i/>
          <w:spacing w:val="-4"/>
        </w:rPr>
        <w:t>rate</w:t>
      </w:r>
    </w:p>
    <w:p>
      <w:pPr>
        <w:pStyle w:val="BodyText"/>
        <w:spacing w:before="118"/>
        <w:ind w:left="1132" w:right="1204"/>
      </w:pPr>
      <w:r>
        <w:rPr/>
        <w:t>Growth rates in both FCMLs and NFCMLs remained around zero (i.e. there were no relative changes in population)</w:t>
      </w:r>
      <w:r>
        <w:rPr>
          <w:spacing w:val="-2"/>
        </w:rPr>
        <w:t> </w:t>
      </w:r>
      <w:r>
        <w:rPr/>
        <w:t>except</w:t>
      </w:r>
      <w:r>
        <w:rPr>
          <w:spacing w:val="-4"/>
        </w:rPr>
        <w:t> </w:t>
      </w:r>
      <w:r>
        <w:rPr/>
        <w:t>for</w:t>
      </w:r>
      <w:r>
        <w:rPr>
          <w:spacing w:val="-3"/>
        </w:rPr>
        <w:t> </w:t>
      </w:r>
      <w:r>
        <w:rPr/>
        <w:t>in</w:t>
      </w:r>
      <w:r>
        <w:rPr>
          <w:spacing w:val="-4"/>
        </w:rPr>
        <w:t> </w:t>
      </w:r>
      <w:r>
        <w:rPr/>
        <w:t>2022,</w:t>
      </w:r>
      <w:r>
        <w:rPr>
          <w:spacing w:val="-4"/>
        </w:rPr>
        <w:t> </w:t>
      </w:r>
      <w:r>
        <w:rPr/>
        <w:t>when</w:t>
      </w:r>
      <w:r>
        <w:rPr>
          <w:spacing w:val="-1"/>
        </w:rPr>
        <w:t> </w:t>
      </w:r>
      <w:r>
        <w:rPr/>
        <w:t>they</w:t>
      </w:r>
      <w:r>
        <w:rPr>
          <w:spacing w:val="-3"/>
        </w:rPr>
        <w:t> </w:t>
      </w:r>
      <w:r>
        <w:rPr/>
        <w:t>were</w:t>
      </w:r>
      <w:r>
        <w:rPr>
          <w:spacing w:val="-3"/>
        </w:rPr>
        <w:t> </w:t>
      </w:r>
      <w:r>
        <w:rPr/>
        <w:t>clearly</w:t>
      </w:r>
      <w:r>
        <w:rPr>
          <w:spacing w:val="-1"/>
        </w:rPr>
        <w:t> </w:t>
      </w:r>
      <w:r>
        <w:rPr/>
        <w:t>positive</w:t>
      </w:r>
      <w:r>
        <w:rPr>
          <w:spacing w:val="-4"/>
        </w:rPr>
        <w:t> </w:t>
      </w:r>
      <w:r>
        <w:rPr/>
        <w:t>at</w:t>
      </w:r>
      <w:r>
        <w:rPr>
          <w:spacing w:val="-2"/>
        </w:rPr>
        <w:t> </w:t>
      </w:r>
      <w:r>
        <w:rPr/>
        <w:t>all</w:t>
      </w:r>
      <w:r>
        <w:rPr>
          <w:spacing w:val="-5"/>
        </w:rPr>
        <w:t> </w:t>
      </w:r>
      <w:r>
        <w:rPr/>
        <w:t>locations.</w:t>
      </w:r>
      <w:r>
        <w:rPr>
          <w:spacing w:val="-4"/>
        </w:rPr>
        <w:t> </w:t>
      </w:r>
      <w:r>
        <w:rPr/>
        <w:t>However,</w:t>
      </w:r>
      <w:r>
        <w:rPr>
          <w:spacing w:val="-4"/>
        </w:rPr>
        <w:t> </w:t>
      </w:r>
      <w:r>
        <w:rPr/>
        <w:t>the</w:t>
      </w:r>
      <w:r>
        <w:rPr>
          <w:spacing w:val="-2"/>
        </w:rPr>
        <w:t> </w:t>
      </w:r>
      <w:r>
        <w:rPr/>
        <w:t>reduced</w:t>
      </w:r>
      <w:r>
        <w:rPr>
          <w:spacing w:val="-4"/>
        </w:rPr>
        <w:t> </w:t>
      </w:r>
      <w:r>
        <w:rPr/>
        <w:t>growth rate in 2023 could have just been an artifact of the model. The proportion of sites that were estimated to be occupied in 2023 may change once the 2024 data is included. For example, consider the case where a site was occupied in 2022, but Southern Brown Bandicoots were not detected in 2023, then there would be a fraction of</w:t>
      </w:r>
      <w:r>
        <w:rPr>
          <w:spacing w:val="-1"/>
        </w:rPr>
        <w:t> </w:t>
      </w:r>
      <w:r>
        <w:rPr/>
        <w:t>the</w:t>
      </w:r>
      <w:r>
        <w:rPr>
          <w:spacing w:val="-2"/>
        </w:rPr>
        <w:t> </w:t>
      </w:r>
      <w:r>
        <w:rPr/>
        <w:t>posterior distribution for</w:t>
      </w:r>
      <w:r>
        <w:rPr>
          <w:spacing w:val="-1"/>
        </w:rPr>
        <w:t> </w:t>
      </w:r>
      <w:r>
        <w:rPr/>
        <w:t>that</w:t>
      </w:r>
      <w:r>
        <w:rPr>
          <w:spacing w:val="-1"/>
        </w:rPr>
        <w:t> </w:t>
      </w:r>
      <w:r>
        <w:rPr/>
        <w:t>site</w:t>
      </w:r>
      <w:r>
        <w:rPr>
          <w:spacing w:val="-1"/>
        </w:rPr>
        <w:t> </w:t>
      </w:r>
      <w:r>
        <w:rPr/>
        <w:t>that</w:t>
      </w:r>
      <w:r>
        <w:rPr>
          <w:spacing w:val="-1"/>
        </w:rPr>
        <w:t> </w:t>
      </w:r>
      <w:r>
        <w:rPr/>
        <w:t>would be unoccupied.</w:t>
      </w:r>
      <w:r>
        <w:rPr>
          <w:spacing w:val="-1"/>
        </w:rPr>
        <w:t> </w:t>
      </w:r>
      <w:r>
        <w:rPr/>
        <w:t>Then, if in 2024</w:t>
      </w:r>
      <w:r>
        <w:rPr>
          <w:spacing w:val="-1"/>
        </w:rPr>
        <w:t> </w:t>
      </w:r>
      <w:r>
        <w:rPr/>
        <w:t>that site</w:t>
      </w:r>
      <w:r>
        <w:rPr>
          <w:spacing w:val="-1"/>
        </w:rPr>
        <w:t> </w:t>
      </w:r>
      <w:r>
        <w:rPr/>
        <w:t>detected Southern Brown Bandicoots, the fraction of the posterior distribution for that site that was unoccupied would decrease, because it may be more likely that it was occupied from 2022 to 2024 and not detected in 2023 rather than going from occupied to unoccupied to occupied over the same period.</w:t>
      </w:r>
    </w:p>
    <w:p>
      <w:pPr>
        <w:pStyle w:val="BodyText"/>
        <w:spacing w:before="121"/>
        <w:ind w:left="1132" w:right="1185"/>
      </w:pPr>
      <w:r>
        <w:rPr/>
        <w:t>There was no real difference in average growth rate between fox control treatments (0.8%, 95% CI: -0.4-0.2%), with the annual</w:t>
      </w:r>
      <w:r>
        <w:rPr>
          <w:spacing w:val="-1"/>
        </w:rPr>
        <w:t> </w:t>
      </w:r>
      <w:r>
        <w:rPr/>
        <w:t>growth rate in NFCMLs being 103% (95% CI: 100–106%) and the annual</w:t>
      </w:r>
      <w:r>
        <w:rPr>
          <w:spacing w:val="-1"/>
        </w:rPr>
        <w:t> </w:t>
      </w:r>
      <w:r>
        <w:rPr/>
        <w:t>growth</w:t>
      </w:r>
      <w:r>
        <w:rPr>
          <w:spacing w:val="-1"/>
        </w:rPr>
        <w:t> </w:t>
      </w:r>
      <w:r>
        <w:rPr/>
        <w:t>rate in FCMLs being 102% (95% CI: 100–105%). This effectively indicates that there has been a slight increase</w:t>
      </w:r>
      <w:r>
        <w:rPr>
          <w:spacing w:val="40"/>
        </w:rPr>
        <w:t> </w:t>
      </w:r>
      <w:r>
        <w:rPr/>
        <w:t>in</w:t>
      </w:r>
      <w:r>
        <w:rPr>
          <w:spacing w:val="-4"/>
        </w:rPr>
        <w:t> </w:t>
      </w:r>
      <w:r>
        <w:rPr/>
        <w:t>the</w:t>
      </w:r>
      <w:r>
        <w:rPr>
          <w:spacing w:val="-5"/>
        </w:rPr>
        <w:t> </w:t>
      </w:r>
      <w:r>
        <w:rPr/>
        <w:t>population</w:t>
      </w:r>
      <w:r>
        <w:rPr>
          <w:spacing w:val="-4"/>
        </w:rPr>
        <w:t> </w:t>
      </w:r>
      <w:r>
        <w:rPr/>
        <w:t>growth</w:t>
      </w:r>
      <w:r>
        <w:rPr>
          <w:spacing w:val="-5"/>
        </w:rPr>
        <w:t> </w:t>
      </w:r>
      <w:r>
        <w:rPr/>
        <w:t>rate</w:t>
      </w:r>
      <w:r>
        <w:rPr>
          <w:spacing w:val="-4"/>
        </w:rPr>
        <w:t> </w:t>
      </w:r>
      <w:r>
        <w:rPr/>
        <w:t>of</w:t>
      </w:r>
      <w:r>
        <w:rPr>
          <w:spacing w:val="-2"/>
        </w:rPr>
        <w:t> </w:t>
      </w:r>
      <w:r>
        <w:rPr/>
        <w:t>Southern</w:t>
      </w:r>
      <w:r>
        <w:rPr>
          <w:spacing w:val="-2"/>
        </w:rPr>
        <w:t> </w:t>
      </w:r>
      <w:r>
        <w:rPr/>
        <w:t>Brown</w:t>
      </w:r>
      <w:r>
        <w:rPr>
          <w:spacing w:val="-2"/>
        </w:rPr>
        <w:t> </w:t>
      </w:r>
      <w:r>
        <w:rPr/>
        <w:t>Bandicoots</w:t>
      </w:r>
      <w:r>
        <w:rPr>
          <w:spacing w:val="-3"/>
        </w:rPr>
        <w:t> </w:t>
      </w:r>
      <w:r>
        <w:rPr/>
        <w:t>from</w:t>
      </w:r>
      <w:r>
        <w:rPr>
          <w:spacing w:val="-2"/>
        </w:rPr>
        <w:t> </w:t>
      </w:r>
      <w:r>
        <w:rPr/>
        <w:t>2005</w:t>
      </w:r>
      <w:r>
        <w:rPr>
          <w:spacing w:val="-4"/>
        </w:rPr>
        <w:t> </w:t>
      </w:r>
      <w:r>
        <w:rPr/>
        <w:t>to</w:t>
      </w:r>
      <w:r>
        <w:rPr>
          <w:spacing w:val="-2"/>
        </w:rPr>
        <w:t> </w:t>
      </w:r>
      <w:r>
        <w:rPr/>
        <w:t>2023 in</w:t>
      </w:r>
      <w:r>
        <w:rPr>
          <w:spacing w:val="-2"/>
        </w:rPr>
        <w:t> </w:t>
      </w:r>
      <w:r>
        <w:rPr/>
        <w:t>both</w:t>
      </w:r>
      <w:r>
        <w:rPr>
          <w:spacing w:val="-4"/>
        </w:rPr>
        <w:t> </w:t>
      </w:r>
      <w:r>
        <w:rPr/>
        <w:t>FCMLs</w:t>
      </w:r>
      <w:r>
        <w:rPr>
          <w:spacing w:val="-3"/>
        </w:rPr>
        <w:t> </w:t>
      </w:r>
      <w:r>
        <w:rPr/>
        <w:t>and</w:t>
      </w:r>
      <w:r>
        <w:rPr>
          <w:spacing w:val="-5"/>
        </w:rPr>
        <w:t> </w:t>
      </w:r>
      <w:r>
        <w:rPr/>
        <w:t>NFCMLs.</w:t>
      </w:r>
    </w:p>
    <w:p>
      <w:pPr>
        <w:pStyle w:val="BodyText"/>
        <w:spacing w:after="0"/>
        <w:sectPr>
          <w:footerReference w:type="default" r:id="rId52"/>
          <w:pgSz w:w="11910" w:h="16850"/>
          <w:pgMar w:header="0" w:footer="688" w:top="1480" w:bottom="880" w:left="0" w:right="0"/>
        </w:sectPr>
      </w:pPr>
    </w:p>
    <w:p>
      <w:pPr>
        <w:pStyle w:val="Heading3"/>
        <w:numPr>
          <w:ilvl w:val="1"/>
          <w:numId w:val="5"/>
        </w:numPr>
        <w:tabs>
          <w:tab w:pos="1709" w:val="left" w:leader="none"/>
        </w:tabs>
        <w:spacing w:line="240" w:lineRule="auto" w:before="76" w:after="0"/>
        <w:ind w:left="1709" w:right="0" w:hanging="577"/>
        <w:jc w:val="left"/>
      </w:pPr>
      <w:bookmarkStart w:name="_TOC_250006" w:id="27"/>
      <w:r>
        <w:rPr>
          <w:color w:val="2D1E66"/>
        </w:rPr>
        <w:t>Predator</w:t>
      </w:r>
      <w:r>
        <w:rPr>
          <w:color w:val="2D1E66"/>
          <w:spacing w:val="-3"/>
        </w:rPr>
        <w:t> </w:t>
      </w:r>
      <w:bookmarkEnd w:id="27"/>
      <w:r>
        <w:rPr>
          <w:color w:val="2D1E66"/>
          <w:spacing w:val="-2"/>
        </w:rPr>
        <w:t>activity</w:t>
      </w:r>
    </w:p>
    <w:p>
      <w:pPr>
        <w:pStyle w:val="Heading4"/>
        <w:numPr>
          <w:ilvl w:val="2"/>
          <w:numId w:val="5"/>
        </w:numPr>
        <w:tabs>
          <w:tab w:pos="1853" w:val="left" w:leader="none"/>
        </w:tabs>
        <w:spacing w:line="240" w:lineRule="auto" w:before="142" w:after="0"/>
        <w:ind w:left="1853" w:right="0" w:hanging="721"/>
        <w:jc w:val="left"/>
      </w:pPr>
      <w:bookmarkStart w:name="_TOC_250005" w:id="28"/>
      <w:r>
        <w:rPr/>
        <w:t>Fox</w:t>
      </w:r>
      <w:bookmarkEnd w:id="28"/>
      <w:r>
        <w:rPr>
          <w:spacing w:val="-2"/>
        </w:rPr>
        <w:t> activity</w:t>
      </w:r>
    </w:p>
    <w:p>
      <w:pPr>
        <w:pStyle w:val="BodyText"/>
        <w:spacing w:before="56"/>
        <w:ind w:left="1132" w:right="1140"/>
      </w:pPr>
      <w:r>
        <w:rPr/>
        <w:t>Over</w:t>
      </w:r>
      <w:r>
        <w:rPr>
          <w:spacing w:val="-3"/>
        </w:rPr>
        <w:t> </w:t>
      </w:r>
      <w:r>
        <w:rPr/>
        <w:t>the</w:t>
      </w:r>
      <w:r>
        <w:rPr>
          <w:spacing w:val="-4"/>
        </w:rPr>
        <w:t> </w:t>
      </w:r>
      <w:r>
        <w:rPr/>
        <w:t>11</w:t>
      </w:r>
      <w:r>
        <w:rPr>
          <w:spacing w:val="-1"/>
        </w:rPr>
        <w:t> </w:t>
      </w:r>
      <w:r>
        <w:rPr/>
        <w:t>years</w:t>
      </w:r>
      <w:r>
        <w:rPr>
          <w:spacing w:val="-2"/>
        </w:rPr>
        <w:t> </w:t>
      </w:r>
      <w:r>
        <w:rPr/>
        <w:t>of</w:t>
      </w:r>
      <w:r>
        <w:rPr>
          <w:spacing w:val="-3"/>
        </w:rPr>
        <w:t> </w:t>
      </w:r>
      <w:r>
        <w:rPr/>
        <w:t>camera</w:t>
      </w:r>
      <w:r>
        <w:rPr>
          <w:spacing w:val="-3"/>
        </w:rPr>
        <w:t> </w:t>
      </w:r>
      <w:r>
        <w:rPr/>
        <w:t>trapping,</w:t>
      </w:r>
      <w:r>
        <w:rPr>
          <w:spacing w:val="-3"/>
        </w:rPr>
        <w:t> </w:t>
      </w:r>
      <w:r>
        <w:rPr/>
        <w:t>foxes</w:t>
      </w:r>
      <w:r>
        <w:rPr>
          <w:spacing w:val="-2"/>
        </w:rPr>
        <w:t> </w:t>
      </w:r>
      <w:r>
        <w:rPr/>
        <w:t>were</w:t>
      </w:r>
      <w:r>
        <w:rPr>
          <w:spacing w:val="-3"/>
        </w:rPr>
        <w:t> </w:t>
      </w:r>
      <w:r>
        <w:rPr/>
        <w:t>never</w:t>
      </w:r>
      <w:r>
        <w:rPr>
          <w:spacing w:val="-3"/>
        </w:rPr>
        <w:t> </w:t>
      </w:r>
      <w:r>
        <w:rPr/>
        <w:t>detected</w:t>
      </w:r>
      <w:r>
        <w:rPr>
          <w:spacing w:val="-4"/>
        </w:rPr>
        <w:t> </w:t>
      </w:r>
      <w:r>
        <w:rPr/>
        <w:t>at</w:t>
      </w:r>
      <w:r>
        <w:rPr>
          <w:spacing w:val="-3"/>
        </w:rPr>
        <w:t> </w:t>
      </w:r>
      <w:r>
        <w:rPr/>
        <w:t>7.5%</w:t>
      </w:r>
      <w:r>
        <w:rPr>
          <w:spacing w:val="-3"/>
        </w:rPr>
        <w:t> </w:t>
      </w:r>
      <w:r>
        <w:rPr/>
        <w:t>to</w:t>
      </w:r>
      <w:r>
        <w:rPr>
          <w:spacing w:val="-1"/>
        </w:rPr>
        <w:t> </w:t>
      </w:r>
      <w:r>
        <w:rPr/>
        <w:t>17.5%</w:t>
      </w:r>
      <w:r>
        <w:rPr>
          <w:spacing w:val="-3"/>
        </w:rPr>
        <w:t> </w:t>
      </w:r>
      <w:r>
        <w:rPr/>
        <w:t>of</w:t>
      </w:r>
      <w:r>
        <w:rPr>
          <w:spacing w:val="-3"/>
        </w:rPr>
        <w:t> </w:t>
      </w:r>
      <w:r>
        <w:rPr/>
        <w:t>sites</w:t>
      </w:r>
      <w:r>
        <w:rPr>
          <w:spacing w:val="-2"/>
        </w:rPr>
        <w:t> </w:t>
      </w:r>
      <w:r>
        <w:rPr/>
        <w:t>within the</w:t>
      </w:r>
      <w:r>
        <w:rPr>
          <w:spacing w:val="-3"/>
        </w:rPr>
        <w:t> </w:t>
      </w:r>
      <w:r>
        <w:rPr/>
        <w:t>FCMLs (Table 2). However, foxes were detected at least once in nearly all sites inside the NFCMLs. It should be noted that in 2023, foxes were detected for the first time at eight camera sites in FCMLs, including by five cameras (12.5% of cameras) at Mt Clay. The overall fox index in NFCMLs was greater than in FCMLs.</w:t>
      </w:r>
    </w:p>
    <w:p>
      <w:pPr>
        <w:pStyle w:val="Heading5"/>
        <w:spacing w:before="198"/>
      </w:pPr>
      <w:bookmarkStart w:name="_bookmark12" w:id="29"/>
      <w:bookmarkEnd w:id="29"/>
      <w:r>
        <w:rPr>
          <w:b w:val="0"/>
        </w:rPr>
      </w:r>
      <w:r>
        <w:rPr>
          <w:color w:val="1F1546"/>
        </w:rPr>
        <w:t>Table</w:t>
      </w:r>
      <w:r>
        <w:rPr>
          <w:color w:val="1F1546"/>
          <w:spacing w:val="-6"/>
        </w:rPr>
        <w:t> </w:t>
      </w:r>
      <w:r>
        <w:rPr>
          <w:color w:val="1F1546"/>
        </w:rPr>
        <w:t>2.</w:t>
      </w:r>
      <w:r>
        <w:rPr>
          <w:color w:val="1F1546"/>
          <w:spacing w:val="-5"/>
        </w:rPr>
        <w:t> </w:t>
      </w:r>
      <w:r>
        <w:rPr>
          <w:color w:val="1F1546"/>
        </w:rPr>
        <w:t>Summary</w:t>
      </w:r>
      <w:r>
        <w:rPr>
          <w:color w:val="1F1546"/>
          <w:spacing w:val="-6"/>
        </w:rPr>
        <w:t> </w:t>
      </w:r>
      <w:r>
        <w:rPr>
          <w:color w:val="1F1546"/>
        </w:rPr>
        <w:t>of</w:t>
      </w:r>
      <w:r>
        <w:rPr>
          <w:color w:val="1F1546"/>
          <w:spacing w:val="-6"/>
        </w:rPr>
        <w:t> </w:t>
      </w:r>
      <w:r>
        <w:rPr>
          <w:color w:val="1F1546"/>
        </w:rPr>
        <w:t>fox</w:t>
      </w:r>
      <w:r>
        <w:rPr>
          <w:color w:val="1F1546"/>
          <w:spacing w:val="-4"/>
        </w:rPr>
        <w:t> </w:t>
      </w:r>
      <w:r>
        <w:rPr>
          <w:color w:val="1F1546"/>
        </w:rPr>
        <w:t>detections</w:t>
      </w:r>
      <w:r>
        <w:rPr>
          <w:color w:val="1F1546"/>
          <w:spacing w:val="-7"/>
        </w:rPr>
        <w:t> </w:t>
      </w:r>
      <w:r>
        <w:rPr>
          <w:color w:val="1F1546"/>
        </w:rPr>
        <w:t>across</w:t>
      </w:r>
      <w:r>
        <w:rPr>
          <w:color w:val="1F1546"/>
          <w:spacing w:val="-6"/>
        </w:rPr>
        <w:t> </w:t>
      </w:r>
      <w:r>
        <w:rPr>
          <w:color w:val="1F1546"/>
        </w:rPr>
        <w:t>all</w:t>
      </w:r>
      <w:r>
        <w:rPr>
          <w:color w:val="1F1546"/>
          <w:spacing w:val="-5"/>
        </w:rPr>
        <w:t> </w:t>
      </w:r>
      <w:r>
        <w:rPr>
          <w:color w:val="1F1546"/>
        </w:rPr>
        <w:t>years</w:t>
      </w:r>
      <w:r>
        <w:rPr>
          <w:color w:val="1F1546"/>
          <w:spacing w:val="-6"/>
        </w:rPr>
        <w:t> </w:t>
      </w:r>
      <w:r>
        <w:rPr>
          <w:color w:val="1F1546"/>
        </w:rPr>
        <w:t>by</w:t>
      </w:r>
      <w:r>
        <w:rPr>
          <w:color w:val="1F1546"/>
          <w:spacing w:val="-7"/>
        </w:rPr>
        <w:t> </w:t>
      </w:r>
      <w:r>
        <w:rPr>
          <w:color w:val="1F1546"/>
          <w:spacing w:val="-2"/>
        </w:rPr>
        <w:t>location.</w:t>
      </w:r>
    </w:p>
    <w:p>
      <w:pPr>
        <w:pStyle w:val="BodyText"/>
        <w:spacing w:before="1"/>
        <w:rPr>
          <w:b/>
          <w:sz w:val="10"/>
        </w:rPr>
      </w:pPr>
    </w:p>
    <w:tbl>
      <w:tblPr>
        <w:tblW w:w="0" w:type="auto"/>
        <w:jc w:val="left"/>
        <w:tblInd w:w="1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04"/>
        <w:gridCol w:w="1474"/>
        <w:gridCol w:w="2556"/>
        <w:gridCol w:w="2006"/>
        <w:gridCol w:w="1702"/>
      </w:tblGrid>
      <w:tr>
        <w:trPr>
          <w:trHeight w:val="692" w:hRule="atLeast"/>
        </w:trPr>
        <w:tc>
          <w:tcPr>
            <w:tcW w:w="1904" w:type="dxa"/>
            <w:tcBorders>
              <w:bottom w:val="single" w:sz="2" w:space="0" w:color="000000"/>
            </w:tcBorders>
            <w:shd w:val="clear" w:color="auto" w:fill="004B96"/>
          </w:tcPr>
          <w:p>
            <w:pPr>
              <w:pStyle w:val="TableParagraph"/>
              <w:spacing w:before="70"/>
              <w:rPr>
                <w:b/>
                <w:sz w:val="24"/>
              </w:rPr>
            </w:pPr>
          </w:p>
          <w:p>
            <w:pPr>
              <w:pStyle w:val="TableParagraph"/>
              <w:ind w:left="107"/>
              <w:rPr>
                <w:b/>
                <w:sz w:val="24"/>
              </w:rPr>
            </w:pPr>
            <w:r>
              <w:rPr>
                <w:b/>
                <w:color w:val="FFFFFF"/>
                <w:spacing w:val="-2"/>
                <w:sz w:val="24"/>
              </w:rPr>
              <w:t>Treatment</w:t>
            </w:r>
          </w:p>
        </w:tc>
        <w:tc>
          <w:tcPr>
            <w:tcW w:w="1474" w:type="dxa"/>
            <w:tcBorders>
              <w:bottom w:val="single" w:sz="2" w:space="0" w:color="000000"/>
            </w:tcBorders>
            <w:shd w:val="clear" w:color="auto" w:fill="004B96"/>
          </w:tcPr>
          <w:p>
            <w:pPr>
              <w:pStyle w:val="TableParagraph"/>
              <w:spacing w:before="70"/>
              <w:rPr>
                <w:b/>
                <w:sz w:val="24"/>
              </w:rPr>
            </w:pPr>
          </w:p>
          <w:p>
            <w:pPr>
              <w:pStyle w:val="TableParagraph"/>
              <w:ind w:left="234"/>
              <w:rPr>
                <w:b/>
                <w:sz w:val="24"/>
              </w:rPr>
            </w:pPr>
            <w:r>
              <w:rPr>
                <w:b/>
                <w:color w:val="FFFFFF"/>
                <w:spacing w:val="-2"/>
                <w:sz w:val="24"/>
              </w:rPr>
              <w:t>Location</w:t>
            </w:r>
          </w:p>
        </w:tc>
        <w:tc>
          <w:tcPr>
            <w:tcW w:w="2556" w:type="dxa"/>
            <w:tcBorders>
              <w:bottom w:val="single" w:sz="2" w:space="0" w:color="000000"/>
            </w:tcBorders>
            <w:shd w:val="clear" w:color="auto" w:fill="004B96"/>
          </w:tcPr>
          <w:p>
            <w:pPr>
              <w:pStyle w:val="TableParagraph"/>
              <w:spacing w:line="242" w:lineRule="auto" w:before="70"/>
              <w:ind w:left="638" w:right="7" w:hanging="396"/>
              <w:rPr>
                <w:b/>
                <w:sz w:val="24"/>
              </w:rPr>
            </w:pPr>
            <w:r>
              <w:rPr>
                <w:b/>
                <w:color w:val="FFFFFF"/>
                <w:sz w:val="24"/>
              </w:rPr>
              <w:t>No</w:t>
            </w:r>
            <w:r>
              <w:rPr>
                <w:b/>
                <w:color w:val="FFFFFF"/>
                <w:spacing w:val="-17"/>
                <w:sz w:val="24"/>
              </w:rPr>
              <w:t> </w:t>
            </w:r>
            <w:r>
              <w:rPr>
                <w:b/>
                <w:color w:val="FFFFFF"/>
                <w:sz w:val="24"/>
              </w:rPr>
              <w:t>foxes</w:t>
            </w:r>
            <w:r>
              <w:rPr>
                <w:b/>
                <w:color w:val="FFFFFF"/>
                <w:spacing w:val="-17"/>
                <w:sz w:val="24"/>
              </w:rPr>
              <w:t> </w:t>
            </w:r>
            <w:r>
              <w:rPr>
                <w:b/>
                <w:color w:val="FFFFFF"/>
                <w:sz w:val="24"/>
              </w:rPr>
              <w:t>detected (% of sites)</w:t>
            </w:r>
          </w:p>
        </w:tc>
        <w:tc>
          <w:tcPr>
            <w:tcW w:w="2006" w:type="dxa"/>
            <w:tcBorders>
              <w:bottom w:val="single" w:sz="2" w:space="0" w:color="000000"/>
            </w:tcBorders>
            <w:shd w:val="clear" w:color="auto" w:fill="004B96"/>
          </w:tcPr>
          <w:p>
            <w:pPr>
              <w:pStyle w:val="TableParagraph"/>
              <w:spacing w:line="242" w:lineRule="auto" w:before="70"/>
              <w:ind w:left="403" w:firstLine="98"/>
              <w:rPr>
                <w:b/>
                <w:sz w:val="24"/>
              </w:rPr>
            </w:pPr>
            <w:r>
              <w:rPr>
                <w:b/>
                <w:color w:val="FFFFFF"/>
                <w:sz w:val="24"/>
              </w:rPr>
              <w:t>Total fox </w:t>
            </w:r>
            <w:r>
              <w:rPr>
                <w:b/>
                <w:color w:val="FFFFFF"/>
                <w:spacing w:val="-2"/>
                <w:sz w:val="24"/>
              </w:rPr>
              <w:t>detections</w:t>
            </w:r>
          </w:p>
        </w:tc>
        <w:tc>
          <w:tcPr>
            <w:tcW w:w="1702" w:type="dxa"/>
            <w:tcBorders>
              <w:bottom w:val="single" w:sz="2" w:space="0" w:color="000000"/>
            </w:tcBorders>
            <w:shd w:val="clear" w:color="auto" w:fill="004B96"/>
          </w:tcPr>
          <w:p>
            <w:pPr>
              <w:pStyle w:val="TableParagraph"/>
              <w:spacing w:line="242" w:lineRule="auto" w:before="70"/>
              <w:ind w:left="538" w:hanging="349"/>
              <w:rPr>
                <w:b/>
                <w:sz w:val="24"/>
              </w:rPr>
            </w:pPr>
            <w:r>
              <w:rPr>
                <w:b/>
                <w:color w:val="FFFFFF"/>
                <w:sz w:val="24"/>
              </w:rPr>
              <w:t>Fox</w:t>
            </w:r>
            <w:r>
              <w:rPr>
                <w:b/>
                <w:color w:val="FFFFFF"/>
                <w:spacing w:val="-17"/>
                <w:sz w:val="24"/>
              </w:rPr>
              <w:t> </w:t>
            </w:r>
            <w:r>
              <w:rPr>
                <w:b/>
                <w:color w:val="FFFFFF"/>
                <w:sz w:val="24"/>
              </w:rPr>
              <w:t>activity </w:t>
            </w:r>
            <w:r>
              <w:rPr>
                <w:b/>
                <w:color w:val="FFFFFF"/>
                <w:spacing w:val="-2"/>
                <w:sz w:val="24"/>
              </w:rPr>
              <w:t>index</w:t>
            </w:r>
          </w:p>
        </w:tc>
      </w:tr>
      <w:tr>
        <w:trPr>
          <w:trHeight w:val="319" w:hRule="atLeast"/>
        </w:trPr>
        <w:tc>
          <w:tcPr>
            <w:tcW w:w="1904" w:type="dxa"/>
            <w:tcBorders>
              <w:top w:val="single" w:sz="2" w:space="0" w:color="000000"/>
            </w:tcBorders>
          </w:tcPr>
          <w:p>
            <w:pPr>
              <w:pStyle w:val="TableParagraph"/>
              <w:spacing w:before="56"/>
              <w:ind w:left="107"/>
              <w:rPr>
                <w:sz w:val="20"/>
              </w:rPr>
            </w:pPr>
            <w:r>
              <w:rPr>
                <w:sz w:val="20"/>
              </w:rPr>
              <w:t>Fox</w:t>
            </w:r>
            <w:r>
              <w:rPr>
                <w:spacing w:val="-4"/>
                <w:sz w:val="20"/>
              </w:rPr>
              <w:t> </w:t>
            </w:r>
            <w:r>
              <w:rPr>
                <w:spacing w:val="-2"/>
                <w:sz w:val="20"/>
              </w:rPr>
              <w:t>control</w:t>
            </w:r>
          </w:p>
        </w:tc>
        <w:tc>
          <w:tcPr>
            <w:tcW w:w="1474" w:type="dxa"/>
            <w:tcBorders>
              <w:top w:val="single" w:sz="2" w:space="0" w:color="000000"/>
            </w:tcBorders>
            <w:shd w:val="clear" w:color="auto" w:fill="CCDBEA"/>
          </w:tcPr>
          <w:p>
            <w:pPr>
              <w:pStyle w:val="TableParagraph"/>
              <w:spacing w:before="56"/>
              <w:ind w:left="107"/>
              <w:rPr>
                <w:sz w:val="20"/>
              </w:rPr>
            </w:pPr>
            <w:r>
              <w:rPr>
                <w:spacing w:val="-2"/>
                <w:sz w:val="20"/>
              </w:rPr>
              <w:t>Cobboboonee</w:t>
            </w:r>
          </w:p>
        </w:tc>
        <w:tc>
          <w:tcPr>
            <w:tcW w:w="2556" w:type="dxa"/>
            <w:tcBorders>
              <w:top w:val="single" w:sz="2" w:space="0" w:color="000000"/>
            </w:tcBorders>
          </w:tcPr>
          <w:p>
            <w:pPr>
              <w:pStyle w:val="TableParagraph"/>
              <w:spacing w:line="226" w:lineRule="exact"/>
              <w:ind w:right="3"/>
              <w:jc w:val="center"/>
              <w:rPr>
                <w:sz w:val="20"/>
              </w:rPr>
            </w:pPr>
            <w:r>
              <w:rPr>
                <w:spacing w:val="-5"/>
                <w:sz w:val="20"/>
              </w:rPr>
              <w:t>7.5</w:t>
            </w:r>
          </w:p>
        </w:tc>
        <w:tc>
          <w:tcPr>
            <w:tcW w:w="2006" w:type="dxa"/>
            <w:tcBorders>
              <w:top w:val="single" w:sz="2" w:space="0" w:color="000000"/>
            </w:tcBorders>
            <w:shd w:val="clear" w:color="auto" w:fill="CCDBEA"/>
          </w:tcPr>
          <w:p>
            <w:pPr>
              <w:pStyle w:val="TableParagraph"/>
              <w:spacing w:line="226" w:lineRule="exact"/>
              <w:ind w:right="2"/>
              <w:jc w:val="center"/>
              <w:rPr>
                <w:sz w:val="20"/>
              </w:rPr>
            </w:pPr>
            <w:r>
              <w:rPr>
                <w:spacing w:val="-5"/>
                <w:sz w:val="20"/>
              </w:rPr>
              <w:t>232</w:t>
            </w:r>
          </w:p>
        </w:tc>
        <w:tc>
          <w:tcPr>
            <w:tcW w:w="1702" w:type="dxa"/>
            <w:tcBorders>
              <w:top w:val="single" w:sz="2" w:space="0" w:color="000000"/>
            </w:tcBorders>
          </w:tcPr>
          <w:p>
            <w:pPr>
              <w:pStyle w:val="TableParagraph"/>
              <w:spacing w:line="226" w:lineRule="exact"/>
              <w:ind w:left="163" w:right="163"/>
              <w:jc w:val="center"/>
              <w:rPr>
                <w:sz w:val="20"/>
              </w:rPr>
            </w:pPr>
            <w:r>
              <w:rPr>
                <w:spacing w:val="-4"/>
                <w:sz w:val="20"/>
              </w:rPr>
              <w:t>22.5</w:t>
            </w:r>
          </w:p>
        </w:tc>
      </w:tr>
      <w:tr>
        <w:trPr>
          <w:trHeight w:val="349" w:hRule="atLeast"/>
        </w:trPr>
        <w:tc>
          <w:tcPr>
            <w:tcW w:w="1904" w:type="dxa"/>
          </w:tcPr>
          <w:p>
            <w:pPr>
              <w:pStyle w:val="TableParagraph"/>
              <w:spacing w:before="86"/>
              <w:ind w:left="107"/>
              <w:rPr>
                <w:sz w:val="20"/>
              </w:rPr>
            </w:pPr>
            <w:r>
              <w:rPr>
                <w:sz w:val="20"/>
              </w:rPr>
              <w:t>Fox</w:t>
            </w:r>
            <w:r>
              <w:rPr>
                <w:spacing w:val="-4"/>
                <w:sz w:val="20"/>
              </w:rPr>
              <w:t> </w:t>
            </w:r>
            <w:r>
              <w:rPr>
                <w:spacing w:val="-2"/>
                <w:sz w:val="20"/>
              </w:rPr>
              <w:t>control</w:t>
            </w:r>
          </w:p>
        </w:tc>
        <w:tc>
          <w:tcPr>
            <w:tcW w:w="1474" w:type="dxa"/>
            <w:shd w:val="clear" w:color="auto" w:fill="CCDBEA"/>
          </w:tcPr>
          <w:p>
            <w:pPr>
              <w:pStyle w:val="TableParagraph"/>
              <w:spacing w:before="86"/>
              <w:ind w:left="107"/>
              <w:rPr>
                <w:sz w:val="20"/>
              </w:rPr>
            </w:pPr>
            <w:r>
              <w:rPr>
                <w:sz w:val="20"/>
              </w:rPr>
              <w:t>Mount</w:t>
            </w:r>
            <w:r>
              <w:rPr>
                <w:spacing w:val="-8"/>
                <w:sz w:val="20"/>
              </w:rPr>
              <w:t> </w:t>
            </w:r>
            <w:r>
              <w:rPr>
                <w:spacing w:val="-4"/>
                <w:sz w:val="20"/>
              </w:rPr>
              <w:t>Clay</w:t>
            </w:r>
          </w:p>
        </w:tc>
        <w:tc>
          <w:tcPr>
            <w:tcW w:w="2556" w:type="dxa"/>
          </w:tcPr>
          <w:p>
            <w:pPr>
              <w:pStyle w:val="TableParagraph"/>
              <w:spacing w:before="26"/>
              <w:ind w:right="3"/>
              <w:jc w:val="center"/>
              <w:rPr>
                <w:sz w:val="20"/>
              </w:rPr>
            </w:pPr>
            <w:r>
              <w:rPr>
                <w:spacing w:val="-4"/>
                <w:sz w:val="20"/>
              </w:rPr>
              <w:t>10.0</w:t>
            </w:r>
          </w:p>
        </w:tc>
        <w:tc>
          <w:tcPr>
            <w:tcW w:w="2006" w:type="dxa"/>
            <w:shd w:val="clear" w:color="auto" w:fill="CCDBEA"/>
          </w:tcPr>
          <w:p>
            <w:pPr>
              <w:pStyle w:val="TableParagraph"/>
              <w:spacing w:before="26"/>
              <w:ind w:right="2"/>
              <w:jc w:val="center"/>
              <w:rPr>
                <w:sz w:val="20"/>
              </w:rPr>
            </w:pPr>
            <w:r>
              <w:rPr>
                <w:spacing w:val="-5"/>
                <w:sz w:val="20"/>
              </w:rPr>
              <w:t>196</w:t>
            </w:r>
          </w:p>
        </w:tc>
        <w:tc>
          <w:tcPr>
            <w:tcW w:w="1702" w:type="dxa"/>
          </w:tcPr>
          <w:p>
            <w:pPr>
              <w:pStyle w:val="TableParagraph"/>
              <w:spacing w:before="26"/>
              <w:ind w:left="163" w:right="163"/>
              <w:jc w:val="center"/>
              <w:rPr>
                <w:sz w:val="20"/>
              </w:rPr>
            </w:pPr>
            <w:r>
              <w:rPr>
                <w:spacing w:val="-4"/>
                <w:sz w:val="20"/>
              </w:rPr>
              <w:t>19.1</w:t>
            </w:r>
          </w:p>
        </w:tc>
      </w:tr>
      <w:tr>
        <w:trPr>
          <w:trHeight w:val="376" w:hRule="atLeast"/>
        </w:trPr>
        <w:tc>
          <w:tcPr>
            <w:tcW w:w="1904" w:type="dxa"/>
            <w:tcBorders>
              <w:bottom w:val="single" w:sz="4" w:space="0" w:color="2C908B"/>
            </w:tcBorders>
          </w:tcPr>
          <w:p>
            <w:pPr>
              <w:pStyle w:val="TableParagraph"/>
              <w:spacing w:before="85"/>
              <w:ind w:left="107"/>
              <w:rPr>
                <w:sz w:val="20"/>
              </w:rPr>
            </w:pPr>
            <w:r>
              <w:rPr>
                <w:sz w:val="20"/>
              </w:rPr>
              <w:t>Fox</w:t>
            </w:r>
            <w:r>
              <w:rPr>
                <w:spacing w:val="-4"/>
                <w:sz w:val="20"/>
              </w:rPr>
              <w:t> </w:t>
            </w:r>
            <w:r>
              <w:rPr>
                <w:spacing w:val="-2"/>
                <w:sz w:val="20"/>
              </w:rPr>
              <w:t>control</w:t>
            </w:r>
          </w:p>
        </w:tc>
        <w:tc>
          <w:tcPr>
            <w:tcW w:w="1474" w:type="dxa"/>
            <w:tcBorders>
              <w:bottom w:val="single" w:sz="4" w:space="0" w:color="2C908B"/>
            </w:tcBorders>
            <w:shd w:val="clear" w:color="auto" w:fill="CCDBEA"/>
          </w:tcPr>
          <w:p>
            <w:pPr>
              <w:pStyle w:val="TableParagraph"/>
              <w:spacing w:before="85"/>
              <w:ind w:left="107"/>
              <w:rPr>
                <w:sz w:val="20"/>
              </w:rPr>
            </w:pPr>
            <w:r>
              <w:rPr>
                <w:spacing w:val="-2"/>
                <w:sz w:val="20"/>
              </w:rPr>
              <w:t>LGNP-south</w:t>
            </w:r>
          </w:p>
        </w:tc>
        <w:tc>
          <w:tcPr>
            <w:tcW w:w="2556" w:type="dxa"/>
            <w:tcBorders>
              <w:bottom w:val="single" w:sz="4" w:space="0" w:color="2C908B"/>
            </w:tcBorders>
          </w:tcPr>
          <w:p>
            <w:pPr>
              <w:pStyle w:val="TableParagraph"/>
              <w:spacing w:before="25"/>
              <w:ind w:right="3"/>
              <w:jc w:val="center"/>
              <w:rPr>
                <w:sz w:val="20"/>
              </w:rPr>
            </w:pPr>
            <w:r>
              <w:rPr>
                <w:spacing w:val="-4"/>
                <w:sz w:val="20"/>
              </w:rPr>
              <w:t>17.5</w:t>
            </w:r>
          </w:p>
        </w:tc>
        <w:tc>
          <w:tcPr>
            <w:tcW w:w="2006" w:type="dxa"/>
            <w:tcBorders>
              <w:bottom w:val="single" w:sz="4" w:space="0" w:color="2C908B"/>
            </w:tcBorders>
            <w:shd w:val="clear" w:color="auto" w:fill="CCDBEA"/>
          </w:tcPr>
          <w:p>
            <w:pPr>
              <w:pStyle w:val="TableParagraph"/>
              <w:spacing w:before="25"/>
              <w:ind w:right="2"/>
              <w:jc w:val="center"/>
              <w:rPr>
                <w:sz w:val="20"/>
              </w:rPr>
            </w:pPr>
            <w:r>
              <w:rPr>
                <w:spacing w:val="-5"/>
                <w:sz w:val="20"/>
              </w:rPr>
              <w:t>154</w:t>
            </w:r>
          </w:p>
        </w:tc>
        <w:tc>
          <w:tcPr>
            <w:tcW w:w="1702" w:type="dxa"/>
            <w:tcBorders>
              <w:bottom w:val="single" w:sz="4" w:space="0" w:color="2C908B"/>
            </w:tcBorders>
          </w:tcPr>
          <w:p>
            <w:pPr>
              <w:pStyle w:val="TableParagraph"/>
              <w:spacing w:before="25"/>
              <w:ind w:left="163" w:right="163"/>
              <w:jc w:val="center"/>
              <w:rPr>
                <w:sz w:val="20"/>
              </w:rPr>
            </w:pPr>
            <w:r>
              <w:rPr>
                <w:spacing w:val="-4"/>
                <w:sz w:val="20"/>
              </w:rPr>
              <w:t>14.2</w:t>
            </w:r>
          </w:p>
        </w:tc>
      </w:tr>
      <w:tr>
        <w:trPr>
          <w:trHeight w:val="323" w:hRule="atLeast"/>
        </w:trPr>
        <w:tc>
          <w:tcPr>
            <w:tcW w:w="1904" w:type="dxa"/>
            <w:tcBorders>
              <w:top w:val="single" w:sz="4" w:space="0" w:color="2C908B"/>
            </w:tcBorders>
          </w:tcPr>
          <w:p>
            <w:pPr>
              <w:pStyle w:val="TableParagraph"/>
              <w:spacing w:before="60"/>
              <w:ind w:left="107"/>
              <w:rPr>
                <w:sz w:val="20"/>
              </w:rPr>
            </w:pPr>
            <w:r>
              <w:rPr>
                <w:sz w:val="20"/>
              </w:rPr>
              <w:t>No</w:t>
            </w:r>
            <w:r>
              <w:rPr>
                <w:spacing w:val="-6"/>
                <w:sz w:val="20"/>
              </w:rPr>
              <w:t> </w:t>
            </w:r>
            <w:r>
              <w:rPr>
                <w:sz w:val="20"/>
              </w:rPr>
              <w:t>fox</w:t>
            </w:r>
            <w:r>
              <w:rPr>
                <w:spacing w:val="-4"/>
                <w:sz w:val="20"/>
              </w:rPr>
              <w:t> </w:t>
            </w:r>
            <w:r>
              <w:rPr>
                <w:spacing w:val="-2"/>
                <w:sz w:val="20"/>
              </w:rPr>
              <w:t>control</w:t>
            </w:r>
          </w:p>
        </w:tc>
        <w:tc>
          <w:tcPr>
            <w:tcW w:w="1474" w:type="dxa"/>
            <w:tcBorders>
              <w:top w:val="single" w:sz="4" w:space="0" w:color="2C908B"/>
            </w:tcBorders>
            <w:shd w:val="clear" w:color="auto" w:fill="CCDBEA"/>
          </w:tcPr>
          <w:p>
            <w:pPr>
              <w:pStyle w:val="TableParagraph"/>
              <w:spacing w:before="60"/>
              <w:ind w:left="107"/>
              <w:rPr>
                <w:sz w:val="20"/>
              </w:rPr>
            </w:pPr>
            <w:r>
              <w:rPr>
                <w:spacing w:val="-2"/>
                <w:sz w:val="20"/>
              </w:rPr>
              <w:t>Annya</w:t>
            </w:r>
          </w:p>
        </w:tc>
        <w:tc>
          <w:tcPr>
            <w:tcW w:w="2556" w:type="dxa"/>
            <w:tcBorders>
              <w:top w:val="single" w:sz="4" w:space="0" w:color="2C908B"/>
            </w:tcBorders>
          </w:tcPr>
          <w:p>
            <w:pPr>
              <w:pStyle w:val="TableParagraph"/>
              <w:spacing w:line="229" w:lineRule="exact"/>
              <w:ind w:right="3"/>
              <w:jc w:val="center"/>
              <w:rPr>
                <w:sz w:val="20"/>
              </w:rPr>
            </w:pPr>
            <w:r>
              <w:rPr>
                <w:spacing w:val="-5"/>
                <w:sz w:val="20"/>
              </w:rPr>
              <w:t>2.5</w:t>
            </w:r>
          </w:p>
        </w:tc>
        <w:tc>
          <w:tcPr>
            <w:tcW w:w="2006" w:type="dxa"/>
            <w:tcBorders>
              <w:top w:val="single" w:sz="4" w:space="0" w:color="2C908B"/>
            </w:tcBorders>
            <w:shd w:val="clear" w:color="auto" w:fill="CCDBEA"/>
          </w:tcPr>
          <w:p>
            <w:pPr>
              <w:pStyle w:val="TableParagraph"/>
              <w:spacing w:line="229" w:lineRule="exact"/>
              <w:ind w:left="1" w:right="2"/>
              <w:jc w:val="center"/>
              <w:rPr>
                <w:sz w:val="20"/>
              </w:rPr>
            </w:pPr>
            <w:r>
              <w:rPr>
                <w:spacing w:val="-2"/>
                <w:sz w:val="20"/>
              </w:rPr>
              <w:t>1,143</w:t>
            </w:r>
          </w:p>
        </w:tc>
        <w:tc>
          <w:tcPr>
            <w:tcW w:w="1702" w:type="dxa"/>
            <w:tcBorders>
              <w:top w:val="single" w:sz="4" w:space="0" w:color="2C908B"/>
            </w:tcBorders>
          </w:tcPr>
          <w:p>
            <w:pPr>
              <w:pStyle w:val="TableParagraph"/>
              <w:spacing w:line="229" w:lineRule="exact"/>
              <w:ind w:left="163" w:right="163"/>
              <w:jc w:val="center"/>
              <w:rPr>
                <w:sz w:val="20"/>
              </w:rPr>
            </w:pPr>
            <w:r>
              <w:rPr>
                <w:spacing w:val="-2"/>
                <w:sz w:val="20"/>
              </w:rPr>
              <w:t>109.0</w:t>
            </w:r>
          </w:p>
        </w:tc>
      </w:tr>
      <w:tr>
        <w:trPr>
          <w:trHeight w:val="350" w:hRule="atLeast"/>
        </w:trPr>
        <w:tc>
          <w:tcPr>
            <w:tcW w:w="1904" w:type="dxa"/>
          </w:tcPr>
          <w:p>
            <w:pPr>
              <w:pStyle w:val="TableParagraph"/>
              <w:spacing w:before="86"/>
              <w:ind w:left="107"/>
              <w:rPr>
                <w:sz w:val="20"/>
              </w:rPr>
            </w:pPr>
            <w:r>
              <w:rPr>
                <w:sz w:val="20"/>
              </w:rPr>
              <w:t>No</w:t>
            </w:r>
            <w:r>
              <w:rPr>
                <w:spacing w:val="-6"/>
                <w:sz w:val="20"/>
              </w:rPr>
              <w:t> </w:t>
            </w:r>
            <w:r>
              <w:rPr>
                <w:sz w:val="20"/>
              </w:rPr>
              <w:t>fox</w:t>
            </w:r>
            <w:r>
              <w:rPr>
                <w:spacing w:val="-4"/>
                <w:sz w:val="20"/>
              </w:rPr>
              <w:t> </w:t>
            </w:r>
            <w:r>
              <w:rPr>
                <w:spacing w:val="-2"/>
                <w:sz w:val="20"/>
              </w:rPr>
              <w:t>control</w:t>
            </w:r>
          </w:p>
        </w:tc>
        <w:tc>
          <w:tcPr>
            <w:tcW w:w="1474" w:type="dxa"/>
            <w:shd w:val="clear" w:color="auto" w:fill="CCDBEA"/>
          </w:tcPr>
          <w:p>
            <w:pPr>
              <w:pStyle w:val="TableParagraph"/>
              <w:spacing w:before="86"/>
              <w:ind w:left="107"/>
              <w:rPr>
                <w:sz w:val="20"/>
              </w:rPr>
            </w:pPr>
            <w:r>
              <w:rPr>
                <w:spacing w:val="-2"/>
                <w:sz w:val="20"/>
              </w:rPr>
              <w:t>Hotspur</w:t>
            </w:r>
          </w:p>
        </w:tc>
        <w:tc>
          <w:tcPr>
            <w:tcW w:w="2556" w:type="dxa"/>
          </w:tcPr>
          <w:p>
            <w:pPr>
              <w:pStyle w:val="TableParagraph"/>
              <w:spacing w:before="26"/>
              <w:ind w:right="3"/>
              <w:jc w:val="center"/>
              <w:rPr>
                <w:sz w:val="20"/>
              </w:rPr>
            </w:pPr>
            <w:r>
              <w:rPr>
                <w:spacing w:val="-5"/>
                <w:sz w:val="20"/>
              </w:rPr>
              <w:t>0.0</w:t>
            </w:r>
          </w:p>
        </w:tc>
        <w:tc>
          <w:tcPr>
            <w:tcW w:w="2006" w:type="dxa"/>
            <w:shd w:val="clear" w:color="auto" w:fill="CCDBEA"/>
          </w:tcPr>
          <w:p>
            <w:pPr>
              <w:pStyle w:val="TableParagraph"/>
              <w:spacing w:before="26"/>
              <w:ind w:right="2"/>
              <w:jc w:val="center"/>
              <w:rPr>
                <w:sz w:val="20"/>
              </w:rPr>
            </w:pPr>
            <w:r>
              <w:rPr>
                <w:spacing w:val="-5"/>
                <w:sz w:val="20"/>
              </w:rPr>
              <w:t>957</w:t>
            </w:r>
          </w:p>
        </w:tc>
        <w:tc>
          <w:tcPr>
            <w:tcW w:w="1702" w:type="dxa"/>
          </w:tcPr>
          <w:p>
            <w:pPr>
              <w:pStyle w:val="TableParagraph"/>
              <w:spacing w:before="26"/>
              <w:ind w:left="163" w:right="163"/>
              <w:jc w:val="center"/>
              <w:rPr>
                <w:sz w:val="20"/>
              </w:rPr>
            </w:pPr>
            <w:r>
              <w:rPr>
                <w:spacing w:val="-4"/>
                <w:sz w:val="20"/>
              </w:rPr>
              <w:t>85.8</w:t>
            </w:r>
          </w:p>
        </w:tc>
      </w:tr>
      <w:tr>
        <w:trPr>
          <w:trHeight w:val="377" w:hRule="atLeast"/>
        </w:trPr>
        <w:tc>
          <w:tcPr>
            <w:tcW w:w="1904" w:type="dxa"/>
            <w:tcBorders>
              <w:bottom w:val="single" w:sz="4" w:space="0" w:color="2C908B"/>
            </w:tcBorders>
          </w:tcPr>
          <w:p>
            <w:pPr>
              <w:pStyle w:val="TableParagraph"/>
              <w:spacing w:before="86"/>
              <w:ind w:left="107"/>
              <w:rPr>
                <w:sz w:val="20"/>
              </w:rPr>
            </w:pPr>
            <w:r>
              <w:rPr>
                <w:sz w:val="20"/>
              </w:rPr>
              <w:t>No</w:t>
            </w:r>
            <w:r>
              <w:rPr>
                <w:spacing w:val="-6"/>
                <w:sz w:val="20"/>
              </w:rPr>
              <w:t> </w:t>
            </w:r>
            <w:r>
              <w:rPr>
                <w:sz w:val="20"/>
              </w:rPr>
              <w:t>fox</w:t>
            </w:r>
            <w:r>
              <w:rPr>
                <w:spacing w:val="-4"/>
                <w:sz w:val="20"/>
              </w:rPr>
              <w:t> </w:t>
            </w:r>
            <w:r>
              <w:rPr>
                <w:spacing w:val="-2"/>
                <w:sz w:val="20"/>
              </w:rPr>
              <w:t>control</w:t>
            </w:r>
          </w:p>
        </w:tc>
        <w:tc>
          <w:tcPr>
            <w:tcW w:w="1474" w:type="dxa"/>
            <w:tcBorders>
              <w:bottom w:val="single" w:sz="4" w:space="0" w:color="2C908B"/>
            </w:tcBorders>
            <w:shd w:val="clear" w:color="auto" w:fill="CCDBEA"/>
          </w:tcPr>
          <w:p>
            <w:pPr>
              <w:pStyle w:val="TableParagraph"/>
              <w:spacing w:before="86"/>
              <w:ind w:left="107"/>
              <w:rPr>
                <w:sz w:val="20"/>
              </w:rPr>
            </w:pPr>
            <w:r>
              <w:rPr>
                <w:spacing w:val="-2"/>
                <w:sz w:val="20"/>
              </w:rPr>
              <w:t>LGNP-north</w:t>
            </w:r>
          </w:p>
        </w:tc>
        <w:tc>
          <w:tcPr>
            <w:tcW w:w="2556" w:type="dxa"/>
            <w:tcBorders>
              <w:bottom w:val="single" w:sz="4" w:space="0" w:color="2C908B"/>
            </w:tcBorders>
          </w:tcPr>
          <w:p>
            <w:pPr>
              <w:pStyle w:val="TableParagraph"/>
              <w:spacing w:before="26"/>
              <w:ind w:right="3"/>
              <w:jc w:val="center"/>
              <w:rPr>
                <w:sz w:val="20"/>
              </w:rPr>
            </w:pPr>
            <w:r>
              <w:rPr>
                <w:spacing w:val="-5"/>
                <w:sz w:val="20"/>
              </w:rPr>
              <w:t>0.0</w:t>
            </w:r>
          </w:p>
        </w:tc>
        <w:tc>
          <w:tcPr>
            <w:tcW w:w="2006" w:type="dxa"/>
            <w:tcBorders>
              <w:bottom w:val="single" w:sz="4" w:space="0" w:color="2C908B"/>
            </w:tcBorders>
            <w:shd w:val="clear" w:color="auto" w:fill="CCDBEA"/>
          </w:tcPr>
          <w:p>
            <w:pPr>
              <w:pStyle w:val="TableParagraph"/>
              <w:spacing w:before="26"/>
              <w:ind w:right="2"/>
              <w:jc w:val="center"/>
              <w:rPr>
                <w:sz w:val="20"/>
              </w:rPr>
            </w:pPr>
            <w:r>
              <w:rPr>
                <w:spacing w:val="-5"/>
                <w:sz w:val="20"/>
              </w:rPr>
              <w:t>882</w:t>
            </w:r>
          </w:p>
        </w:tc>
        <w:tc>
          <w:tcPr>
            <w:tcW w:w="1702" w:type="dxa"/>
            <w:tcBorders>
              <w:bottom w:val="single" w:sz="4" w:space="0" w:color="2C908B"/>
            </w:tcBorders>
          </w:tcPr>
          <w:p>
            <w:pPr>
              <w:pStyle w:val="TableParagraph"/>
              <w:spacing w:before="26"/>
              <w:ind w:left="163" w:right="163"/>
              <w:jc w:val="center"/>
              <w:rPr>
                <w:sz w:val="20"/>
              </w:rPr>
            </w:pPr>
            <w:r>
              <w:rPr>
                <w:spacing w:val="-4"/>
                <w:sz w:val="20"/>
              </w:rPr>
              <w:t>88.7</w:t>
            </w:r>
          </w:p>
        </w:tc>
      </w:tr>
    </w:tbl>
    <w:p>
      <w:pPr>
        <w:spacing w:before="88"/>
        <w:ind w:left="1132" w:right="0" w:firstLine="0"/>
        <w:jc w:val="left"/>
        <w:rPr>
          <w:sz w:val="18"/>
        </w:rPr>
      </w:pPr>
      <w:r>
        <w:rPr>
          <w:sz w:val="18"/>
        </w:rPr>
        <w:t>LGNP-north:</w:t>
      </w:r>
      <w:r>
        <w:rPr>
          <w:spacing w:val="-3"/>
          <w:sz w:val="18"/>
        </w:rPr>
        <w:t> </w:t>
      </w:r>
      <w:r>
        <w:rPr>
          <w:sz w:val="18"/>
        </w:rPr>
        <w:t>Lower</w:t>
      </w:r>
      <w:r>
        <w:rPr>
          <w:spacing w:val="-3"/>
          <w:sz w:val="18"/>
        </w:rPr>
        <w:t> </w:t>
      </w:r>
      <w:r>
        <w:rPr>
          <w:sz w:val="18"/>
        </w:rPr>
        <w:t>Glenelg</w:t>
      </w:r>
      <w:r>
        <w:rPr>
          <w:spacing w:val="-5"/>
          <w:sz w:val="18"/>
        </w:rPr>
        <w:t> </w:t>
      </w:r>
      <w:r>
        <w:rPr>
          <w:sz w:val="18"/>
        </w:rPr>
        <w:t>National</w:t>
      </w:r>
      <w:r>
        <w:rPr>
          <w:spacing w:val="-4"/>
          <w:sz w:val="18"/>
        </w:rPr>
        <w:t> </w:t>
      </w:r>
      <w:r>
        <w:rPr>
          <w:sz w:val="18"/>
        </w:rPr>
        <w:t>Park</w:t>
      </w:r>
      <w:r>
        <w:rPr>
          <w:spacing w:val="1"/>
          <w:sz w:val="18"/>
        </w:rPr>
        <w:t> </w:t>
      </w:r>
      <w:r>
        <w:rPr>
          <w:sz w:val="18"/>
        </w:rPr>
        <w:t>–</w:t>
      </w:r>
      <w:r>
        <w:rPr>
          <w:spacing w:val="-5"/>
          <w:sz w:val="18"/>
        </w:rPr>
        <w:t> </w:t>
      </w:r>
      <w:r>
        <w:rPr>
          <w:sz w:val="18"/>
        </w:rPr>
        <w:t>North;</w:t>
      </w:r>
      <w:r>
        <w:rPr>
          <w:spacing w:val="-5"/>
          <w:sz w:val="18"/>
        </w:rPr>
        <w:t> </w:t>
      </w:r>
      <w:r>
        <w:rPr>
          <w:sz w:val="18"/>
        </w:rPr>
        <w:t>LGNP-south:</w:t>
      </w:r>
      <w:r>
        <w:rPr>
          <w:spacing w:val="-3"/>
          <w:sz w:val="18"/>
        </w:rPr>
        <w:t> </w:t>
      </w:r>
      <w:r>
        <w:rPr>
          <w:sz w:val="18"/>
        </w:rPr>
        <w:t>Lower</w:t>
      </w:r>
      <w:r>
        <w:rPr>
          <w:spacing w:val="-3"/>
          <w:sz w:val="18"/>
        </w:rPr>
        <w:t> </w:t>
      </w:r>
      <w:r>
        <w:rPr>
          <w:sz w:val="18"/>
        </w:rPr>
        <w:t>Glenelg</w:t>
      </w:r>
      <w:r>
        <w:rPr>
          <w:spacing w:val="-5"/>
          <w:sz w:val="18"/>
        </w:rPr>
        <w:t> </w:t>
      </w:r>
      <w:r>
        <w:rPr>
          <w:sz w:val="18"/>
        </w:rPr>
        <w:t>National</w:t>
      </w:r>
      <w:r>
        <w:rPr>
          <w:spacing w:val="-5"/>
          <w:sz w:val="18"/>
        </w:rPr>
        <w:t> </w:t>
      </w:r>
      <w:r>
        <w:rPr>
          <w:sz w:val="18"/>
        </w:rPr>
        <w:t>Park</w:t>
      </w:r>
      <w:r>
        <w:rPr>
          <w:spacing w:val="-1"/>
          <w:sz w:val="18"/>
        </w:rPr>
        <w:t> </w:t>
      </w:r>
      <w:r>
        <w:rPr>
          <w:sz w:val="18"/>
        </w:rPr>
        <w:t>–</w:t>
      </w:r>
      <w:r>
        <w:rPr>
          <w:spacing w:val="-2"/>
          <w:sz w:val="18"/>
        </w:rPr>
        <w:t> South.</w:t>
      </w:r>
    </w:p>
    <w:p>
      <w:pPr>
        <w:pStyle w:val="BodyText"/>
        <w:spacing w:before="148"/>
        <w:ind w:left="1132" w:right="1204"/>
      </w:pPr>
      <w:r>
        <w:rPr/>
        <w:t>The fox models showed a preference for the treatment interacting with</w:t>
      </w:r>
      <w:r>
        <w:rPr>
          <w:spacing w:val="-1"/>
        </w:rPr>
        <w:t> </w:t>
      </w:r>
      <w:r>
        <w:rPr/>
        <w:t>time model (Table A6). That model showed</w:t>
      </w:r>
      <w:r>
        <w:rPr>
          <w:spacing w:val="-2"/>
        </w:rPr>
        <w:t> </w:t>
      </w:r>
      <w:r>
        <w:rPr/>
        <w:t>there</w:t>
      </w:r>
      <w:r>
        <w:rPr>
          <w:spacing w:val="-2"/>
        </w:rPr>
        <w:t> </w:t>
      </w:r>
      <w:r>
        <w:rPr/>
        <w:t>was</w:t>
      </w:r>
      <w:r>
        <w:rPr>
          <w:spacing w:val="-3"/>
        </w:rPr>
        <w:t> </w:t>
      </w:r>
      <w:r>
        <w:rPr/>
        <w:t>a</w:t>
      </w:r>
      <w:r>
        <w:rPr>
          <w:spacing w:val="-2"/>
        </w:rPr>
        <w:t> </w:t>
      </w:r>
      <w:r>
        <w:rPr/>
        <w:t>difference</w:t>
      </w:r>
      <w:r>
        <w:rPr>
          <w:spacing w:val="-4"/>
        </w:rPr>
        <w:t> </w:t>
      </w:r>
      <w:r>
        <w:rPr/>
        <w:t>between</w:t>
      </w:r>
      <w:r>
        <w:rPr>
          <w:spacing w:val="-4"/>
        </w:rPr>
        <w:t> </w:t>
      </w:r>
      <w:r>
        <w:rPr/>
        <w:t>the</w:t>
      </w:r>
      <w:r>
        <w:rPr>
          <w:spacing w:val="-4"/>
        </w:rPr>
        <w:t> </w:t>
      </w:r>
      <w:r>
        <w:rPr/>
        <w:t>locations, with</w:t>
      </w:r>
      <w:r>
        <w:rPr>
          <w:spacing w:val="-2"/>
        </w:rPr>
        <w:t> </w:t>
      </w:r>
      <w:r>
        <w:rPr/>
        <w:t>fox</w:t>
      </w:r>
      <w:r>
        <w:rPr>
          <w:spacing w:val="-3"/>
        </w:rPr>
        <w:t> </w:t>
      </w:r>
      <w:r>
        <w:rPr/>
        <w:t>activity</w:t>
      </w:r>
      <w:r>
        <w:rPr>
          <w:spacing w:val="-2"/>
        </w:rPr>
        <w:t> </w:t>
      </w:r>
      <w:r>
        <w:rPr/>
        <w:t>higher</w:t>
      </w:r>
      <w:r>
        <w:rPr>
          <w:spacing w:val="-1"/>
        </w:rPr>
        <w:t> </w:t>
      </w:r>
      <w:r>
        <w:rPr/>
        <w:t>but</w:t>
      </w:r>
      <w:r>
        <w:rPr>
          <w:spacing w:val="-1"/>
        </w:rPr>
        <w:t> </w:t>
      </w:r>
      <w:r>
        <w:rPr/>
        <w:t>declining</w:t>
      </w:r>
      <w:r>
        <w:rPr>
          <w:spacing w:val="-2"/>
        </w:rPr>
        <w:t> </w:t>
      </w:r>
      <w:r>
        <w:rPr/>
        <w:t>in</w:t>
      </w:r>
      <w:r>
        <w:rPr>
          <w:spacing w:val="-4"/>
        </w:rPr>
        <w:t> </w:t>
      </w:r>
      <w:r>
        <w:rPr/>
        <w:t>NFCLs,</w:t>
      </w:r>
      <w:r>
        <w:rPr>
          <w:spacing w:val="-4"/>
        </w:rPr>
        <w:t> </w:t>
      </w:r>
      <w:r>
        <w:rPr/>
        <w:t>while remaining consistently low in FCMLs (Figure 12 and Table A6).</w:t>
      </w:r>
    </w:p>
    <w:p>
      <w:pPr>
        <w:pStyle w:val="BodyText"/>
        <w:spacing w:before="10"/>
        <w:rPr>
          <w:sz w:val="16"/>
        </w:rPr>
      </w:pPr>
      <w:r>
        <w:rPr>
          <w:sz w:val="16"/>
        </w:rPr>
        <w:drawing>
          <wp:anchor distT="0" distB="0" distL="0" distR="0" allowOverlap="1" layoutInCell="1" locked="0" behindDoc="1" simplePos="0" relativeHeight="487599104">
            <wp:simplePos x="0" y="0"/>
            <wp:positionH relativeFrom="page">
              <wp:posOffset>787690</wp:posOffset>
            </wp:positionH>
            <wp:positionV relativeFrom="paragraph">
              <wp:posOffset>138961</wp:posOffset>
            </wp:positionV>
            <wp:extent cx="3901148" cy="4158615"/>
            <wp:effectExtent l="0" t="0" r="0" b="0"/>
            <wp:wrapTopAndBottom/>
            <wp:docPr id="113" name="Image 113" descr="A graph of different types of activity  Description automatically generated"/>
            <wp:cNvGraphicFramePr>
              <a:graphicFrameLocks/>
            </wp:cNvGraphicFramePr>
            <a:graphic>
              <a:graphicData uri="http://schemas.openxmlformats.org/drawingml/2006/picture">
                <pic:pic>
                  <pic:nvPicPr>
                    <pic:cNvPr id="113" name="Image 113" descr="A graph of different types of activity  Description automatically generated"/>
                    <pic:cNvPicPr/>
                  </pic:nvPicPr>
                  <pic:blipFill>
                    <a:blip r:embed="rId55" cstate="print"/>
                    <a:stretch>
                      <a:fillRect/>
                    </a:stretch>
                  </pic:blipFill>
                  <pic:spPr>
                    <a:xfrm>
                      <a:off x="0" y="0"/>
                      <a:ext cx="3901148" cy="4158615"/>
                    </a:xfrm>
                    <a:prstGeom prst="rect">
                      <a:avLst/>
                    </a:prstGeom>
                  </pic:spPr>
                </pic:pic>
              </a:graphicData>
            </a:graphic>
          </wp:anchor>
        </w:drawing>
      </w:r>
    </w:p>
    <w:p>
      <w:pPr>
        <w:pStyle w:val="BodyText"/>
        <w:spacing w:before="56"/>
      </w:pPr>
    </w:p>
    <w:p>
      <w:pPr>
        <w:pStyle w:val="Heading5"/>
      </w:pPr>
      <w:bookmarkStart w:name="_bookmark13" w:id="30"/>
      <w:bookmarkEnd w:id="30"/>
      <w:r>
        <w:rPr>
          <w:b w:val="0"/>
        </w:rPr>
      </w:r>
      <w:r>
        <w:rPr>
          <w:color w:val="1F1546"/>
        </w:rPr>
        <w:t>Figure</w:t>
      </w:r>
      <w:r>
        <w:rPr>
          <w:color w:val="1F1546"/>
          <w:spacing w:val="-6"/>
        </w:rPr>
        <w:t> </w:t>
      </w:r>
      <w:r>
        <w:rPr>
          <w:color w:val="1F1546"/>
        </w:rPr>
        <w:t>12.</w:t>
      </w:r>
      <w:r>
        <w:rPr>
          <w:color w:val="1F1546"/>
          <w:spacing w:val="-6"/>
        </w:rPr>
        <w:t> </w:t>
      </w:r>
      <w:r>
        <w:rPr>
          <w:color w:val="1F1546"/>
        </w:rPr>
        <w:t>The</w:t>
      </w:r>
      <w:r>
        <w:rPr>
          <w:color w:val="1F1546"/>
          <w:spacing w:val="-5"/>
        </w:rPr>
        <w:t> </w:t>
      </w:r>
      <w:r>
        <w:rPr>
          <w:color w:val="1F1546"/>
        </w:rPr>
        <w:t>modelled</w:t>
      </w:r>
      <w:r>
        <w:rPr>
          <w:color w:val="1F1546"/>
          <w:spacing w:val="-6"/>
        </w:rPr>
        <w:t> </w:t>
      </w:r>
      <w:r>
        <w:rPr>
          <w:color w:val="1F1546"/>
        </w:rPr>
        <w:t>fox</w:t>
      </w:r>
      <w:r>
        <w:rPr>
          <w:color w:val="1F1546"/>
          <w:spacing w:val="-6"/>
        </w:rPr>
        <w:t> </w:t>
      </w:r>
      <w:r>
        <w:rPr>
          <w:color w:val="1F1546"/>
        </w:rPr>
        <w:t>activity</w:t>
      </w:r>
      <w:r>
        <w:rPr>
          <w:color w:val="1F1546"/>
          <w:spacing w:val="-5"/>
        </w:rPr>
        <w:t> </w:t>
      </w:r>
      <w:r>
        <w:rPr>
          <w:color w:val="1F1546"/>
        </w:rPr>
        <w:t>index</w:t>
      </w:r>
      <w:r>
        <w:rPr>
          <w:color w:val="1F1546"/>
          <w:spacing w:val="-2"/>
        </w:rPr>
        <w:t> </w:t>
      </w:r>
      <w:r>
        <w:rPr>
          <w:color w:val="1F1546"/>
        </w:rPr>
        <w:t>in</w:t>
      </w:r>
      <w:r>
        <w:rPr>
          <w:color w:val="1F1546"/>
          <w:spacing w:val="-5"/>
        </w:rPr>
        <w:t> </w:t>
      </w:r>
      <w:r>
        <w:rPr>
          <w:color w:val="1F1546"/>
        </w:rPr>
        <w:t>each</w:t>
      </w:r>
      <w:r>
        <w:rPr>
          <w:color w:val="1F1546"/>
          <w:spacing w:val="-2"/>
        </w:rPr>
        <w:t> </w:t>
      </w:r>
      <w:r>
        <w:rPr>
          <w:color w:val="1F1546"/>
        </w:rPr>
        <w:t>FCML</w:t>
      </w:r>
      <w:r>
        <w:rPr>
          <w:color w:val="1F1546"/>
          <w:spacing w:val="-5"/>
        </w:rPr>
        <w:t> </w:t>
      </w:r>
      <w:r>
        <w:rPr>
          <w:color w:val="1F1546"/>
        </w:rPr>
        <w:t>and</w:t>
      </w:r>
      <w:r>
        <w:rPr>
          <w:color w:val="1F1546"/>
          <w:spacing w:val="-5"/>
        </w:rPr>
        <w:t> </w:t>
      </w:r>
      <w:r>
        <w:rPr>
          <w:color w:val="1F1546"/>
        </w:rPr>
        <w:t>NFCML</w:t>
      </w:r>
      <w:r>
        <w:rPr>
          <w:color w:val="1F1546"/>
          <w:spacing w:val="-5"/>
        </w:rPr>
        <w:t> </w:t>
      </w:r>
      <w:r>
        <w:rPr>
          <w:color w:val="1F1546"/>
        </w:rPr>
        <w:t>over</w:t>
      </w:r>
      <w:r>
        <w:rPr>
          <w:color w:val="1F1546"/>
          <w:spacing w:val="-6"/>
        </w:rPr>
        <w:t> </w:t>
      </w:r>
      <w:r>
        <w:rPr>
          <w:color w:val="1F1546"/>
          <w:spacing w:val="-2"/>
        </w:rPr>
        <w:t>time.</w:t>
      </w:r>
    </w:p>
    <w:p>
      <w:pPr>
        <w:spacing w:before="120"/>
        <w:ind w:left="1132" w:right="1204" w:firstLine="0"/>
        <w:jc w:val="left"/>
        <w:rPr>
          <w:sz w:val="18"/>
        </w:rPr>
      </w:pPr>
      <w:r>
        <w:rPr>
          <w:sz w:val="18"/>
        </w:rPr>
        <w:t>The dots indicate the observed fox activity indices, the lines represent the model medians, and the shaded regions represent</w:t>
      </w:r>
      <w:r>
        <w:rPr>
          <w:spacing w:val="-2"/>
          <w:sz w:val="18"/>
        </w:rPr>
        <w:t> </w:t>
      </w:r>
      <w:r>
        <w:rPr>
          <w:sz w:val="18"/>
        </w:rPr>
        <w:t>the</w:t>
      </w:r>
      <w:r>
        <w:rPr>
          <w:spacing w:val="-2"/>
          <w:sz w:val="18"/>
        </w:rPr>
        <w:t> </w:t>
      </w:r>
      <w:r>
        <w:rPr>
          <w:sz w:val="18"/>
        </w:rPr>
        <w:t>95%</w:t>
      </w:r>
      <w:r>
        <w:rPr>
          <w:spacing w:val="-4"/>
          <w:sz w:val="18"/>
        </w:rPr>
        <w:t> </w:t>
      </w:r>
      <w:r>
        <w:rPr>
          <w:sz w:val="18"/>
        </w:rPr>
        <w:t>credible</w:t>
      </w:r>
      <w:r>
        <w:rPr>
          <w:spacing w:val="-2"/>
          <w:sz w:val="18"/>
        </w:rPr>
        <w:t> </w:t>
      </w:r>
      <w:r>
        <w:rPr>
          <w:sz w:val="18"/>
        </w:rPr>
        <w:t>intervals.</w:t>
      </w:r>
      <w:r>
        <w:rPr>
          <w:spacing w:val="-2"/>
          <w:sz w:val="18"/>
        </w:rPr>
        <w:t> </w:t>
      </w:r>
      <w:r>
        <w:rPr>
          <w:sz w:val="18"/>
        </w:rPr>
        <w:t>The</w:t>
      </w:r>
      <w:r>
        <w:rPr>
          <w:spacing w:val="-2"/>
          <w:sz w:val="18"/>
        </w:rPr>
        <w:t> </w:t>
      </w:r>
      <w:r>
        <w:rPr>
          <w:sz w:val="18"/>
        </w:rPr>
        <w:t>left-hand</w:t>
      </w:r>
      <w:r>
        <w:rPr>
          <w:spacing w:val="-4"/>
          <w:sz w:val="18"/>
        </w:rPr>
        <w:t> </w:t>
      </w:r>
      <w:r>
        <w:rPr>
          <w:sz w:val="18"/>
        </w:rPr>
        <w:t>panels</w:t>
      </w:r>
      <w:r>
        <w:rPr>
          <w:spacing w:val="-4"/>
          <w:sz w:val="18"/>
        </w:rPr>
        <w:t> </w:t>
      </w:r>
      <w:r>
        <w:rPr>
          <w:sz w:val="18"/>
        </w:rPr>
        <w:t>show</w:t>
      </w:r>
      <w:r>
        <w:rPr>
          <w:spacing w:val="-2"/>
          <w:sz w:val="18"/>
        </w:rPr>
        <w:t> </w:t>
      </w:r>
      <w:r>
        <w:rPr>
          <w:sz w:val="18"/>
        </w:rPr>
        <w:t>data</w:t>
      </w:r>
      <w:r>
        <w:rPr>
          <w:spacing w:val="-2"/>
          <w:sz w:val="18"/>
        </w:rPr>
        <w:t> </w:t>
      </w:r>
      <w:r>
        <w:rPr>
          <w:sz w:val="18"/>
        </w:rPr>
        <w:t>for NFCMLs,</w:t>
      </w:r>
      <w:r>
        <w:rPr>
          <w:spacing w:val="-2"/>
          <w:sz w:val="18"/>
        </w:rPr>
        <w:t> </w:t>
      </w:r>
      <w:r>
        <w:rPr>
          <w:sz w:val="18"/>
        </w:rPr>
        <w:t>and</w:t>
      </w:r>
      <w:r>
        <w:rPr>
          <w:spacing w:val="-2"/>
          <w:sz w:val="18"/>
        </w:rPr>
        <w:t> </w:t>
      </w:r>
      <w:r>
        <w:rPr>
          <w:sz w:val="18"/>
        </w:rPr>
        <w:t>the</w:t>
      </w:r>
      <w:r>
        <w:rPr>
          <w:spacing w:val="-4"/>
          <w:sz w:val="18"/>
        </w:rPr>
        <w:t> </w:t>
      </w:r>
      <w:r>
        <w:rPr>
          <w:sz w:val="18"/>
        </w:rPr>
        <w:t>right-hand</w:t>
      </w:r>
      <w:r>
        <w:rPr>
          <w:spacing w:val="-4"/>
          <w:sz w:val="18"/>
        </w:rPr>
        <w:t> </w:t>
      </w:r>
      <w:r>
        <w:rPr>
          <w:sz w:val="18"/>
        </w:rPr>
        <w:t>panels</w:t>
      </w:r>
      <w:r>
        <w:rPr>
          <w:spacing w:val="-1"/>
          <w:sz w:val="18"/>
        </w:rPr>
        <w:t> </w:t>
      </w:r>
      <w:r>
        <w:rPr>
          <w:sz w:val="18"/>
        </w:rPr>
        <w:t>show</w:t>
      </w:r>
      <w:r>
        <w:rPr>
          <w:spacing w:val="-2"/>
          <w:sz w:val="18"/>
        </w:rPr>
        <w:t> </w:t>
      </w:r>
      <w:r>
        <w:rPr>
          <w:sz w:val="18"/>
        </w:rPr>
        <w:t>data for FCMLs.</w:t>
      </w:r>
    </w:p>
    <w:p>
      <w:pPr>
        <w:spacing w:after="0"/>
        <w:jc w:val="left"/>
        <w:rPr>
          <w:sz w:val="18"/>
        </w:rPr>
        <w:sectPr>
          <w:footerReference w:type="default" r:id="rId54"/>
          <w:pgSz w:w="11910" w:h="16850"/>
          <w:pgMar w:header="0" w:footer="688" w:top="1080" w:bottom="880" w:left="0" w:right="0"/>
        </w:sectPr>
      </w:pPr>
    </w:p>
    <w:p>
      <w:pPr>
        <w:pStyle w:val="BodyText"/>
        <w:spacing w:before="71"/>
        <w:ind w:left="1132" w:right="1204"/>
      </w:pPr>
      <w:r>
        <w:rPr/>
        <w:t>On</w:t>
      </w:r>
      <w:r>
        <w:rPr>
          <w:spacing w:val="-3"/>
        </w:rPr>
        <w:t> </w:t>
      </w:r>
      <w:r>
        <w:rPr/>
        <w:t>average,</w:t>
      </w:r>
      <w:r>
        <w:rPr>
          <w:spacing w:val="-3"/>
        </w:rPr>
        <w:t> </w:t>
      </w:r>
      <w:r>
        <w:rPr/>
        <w:t>the</w:t>
      </w:r>
      <w:r>
        <w:rPr>
          <w:spacing w:val="-2"/>
        </w:rPr>
        <w:t> </w:t>
      </w:r>
      <w:r>
        <w:rPr/>
        <w:t>fox</w:t>
      </w:r>
      <w:r>
        <w:rPr>
          <w:spacing w:val="-2"/>
        </w:rPr>
        <w:t> </w:t>
      </w:r>
      <w:r>
        <w:rPr/>
        <w:t>activity index in</w:t>
      </w:r>
      <w:r>
        <w:rPr>
          <w:spacing w:val="-1"/>
        </w:rPr>
        <w:t> </w:t>
      </w:r>
      <w:r>
        <w:rPr/>
        <w:t>NFCMLs</w:t>
      </w:r>
      <w:r>
        <w:rPr>
          <w:spacing w:val="-1"/>
        </w:rPr>
        <w:t> </w:t>
      </w:r>
      <w:r>
        <w:rPr/>
        <w:t>declined by</w:t>
      </w:r>
      <w:r>
        <w:rPr>
          <w:spacing w:val="-2"/>
        </w:rPr>
        <w:t> </w:t>
      </w:r>
      <w:r>
        <w:rPr/>
        <w:t>7%</w:t>
      </w:r>
      <w:r>
        <w:rPr>
          <w:spacing w:val="-3"/>
        </w:rPr>
        <w:t> </w:t>
      </w:r>
      <w:r>
        <w:rPr/>
        <w:t>per annum</w:t>
      </w:r>
      <w:r>
        <w:rPr>
          <w:spacing w:val="-3"/>
        </w:rPr>
        <w:t> </w:t>
      </w:r>
      <w:r>
        <w:rPr/>
        <w:t>(95%</w:t>
      </w:r>
      <w:r>
        <w:rPr>
          <w:spacing w:val="-3"/>
        </w:rPr>
        <w:t> </w:t>
      </w:r>
      <w:r>
        <w:rPr/>
        <w:t>CI:</w:t>
      </w:r>
      <w:r>
        <w:rPr>
          <w:spacing w:val="-1"/>
        </w:rPr>
        <w:t> </w:t>
      </w:r>
      <w:r>
        <w:rPr/>
        <w:t>1–12%).</w:t>
      </w:r>
      <w:r>
        <w:rPr>
          <w:spacing w:val="-3"/>
        </w:rPr>
        <w:t> </w:t>
      </w:r>
      <w:r>
        <w:rPr/>
        <w:t>In</w:t>
      </w:r>
      <w:r>
        <w:rPr>
          <w:spacing w:val="-4"/>
        </w:rPr>
        <w:t> </w:t>
      </w:r>
      <w:r>
        <w:rPr/>
        <w:t>comparison, there</w:t>
      </w:r>
      <w:r>
        <w:rPr>
          <w:spacing w:val="-3"/>
        </w:rPr>
        <w:t> </w:t>
      </w:r>
      <w:r>
        <w:rPr/>
        <w:t>was</w:t>
      </w:r>
      <w:r>
        <w:rPr>
          <w:spacing w:val="-2"/>
        </w:rPr>
        <w:t> </w:t>
      </w:r>
      <w:r>
        <w:rPr/>
        <w:t>no</w:t>
      </w:r>
      <w:r>
        <w:rPr>
          <w:spacing w:val="-2"/>
        </w:rPr>
        <w:t> </w:t>
      </w:r>
      <w:r>
        <w:rPr/>
        <w:t>evidence</w:t>
      </w:r>
      <w:r>
        <w:rPr>
          <w:spacing w:val="-3"/>
        </w:rPr>
        <w:t> </w:t>
      </w:r>
      <w:r>
        <w:rPr/>
        <w:t>of</w:t>
      </w:r>
      <w:r>
        <w:rPr>
          <w:spacing w:val="-3"/>
        </w:rPr>
        <w:t> </w:t>
      </w:r>
      <w:r>
        <w:rPr/>
        <w:t>a</w:t>
      </w:r>
      <w:r>
        <w:rPr>
          <w:spacing w:val="-2"/>
        </w:rPr>
        <w:t> </w:t>
      </w:r>
      <w:r>
        <w:rPr/>
        <w:t>change in</w:t>
      </w:r>
      <w:r>
        <w:rPr>
          <w:spacing w:val="-1"/>
        </w:rPr>
        <w:t> </w:t>
      </w:r>
      <w:r>
        <w:rPr/>
        <w:t>FCMLs over</w:t>
      </w:r>
      <w:r>
        <w:rPr>
          <w:spacing w:val="-3"/>
        </w:rPr>
        <w:t> </w:t>
      </w:r>
      <w:r>
        <w:rPr/>
        <w:t>time</w:t>
      </w:r>
      <w:r>
        <w:rPr>
          <w:spacing w:val="-1"/>
        </w:rPr>
        <w:t> </w:t>
      </w:r>
      <w:r>
        <w:rPr/>
        <w:t>(increase</w:t>
      </w:r>
      <w:r>
        <w:rPr>
          <w:spacing w:val="-3"/>
        </w:rPr>
        <w:t> </w:t>
      </w:r>
      <w:r>
        <w:rPr/>
        <w:t>of</w:t>
      </w:r>
      <w:r>
        <w:rPr>
          <w:spacing w:val="-3"/>
        </w:rPr>
        <w:t> </w:t>
      </w:r>
      <w:r>
        <w:rPr/>
        <w:t>4% per</w:t>
      </w:r>
      <w:r>
        <w:rPr>
          <w:spacing w:val="-2"/>
        </w:rPr>
        <w:t> </w:t>
      </w:r>
      <w:r>
        <w:rPr/>
        <w:t>annum,</w:t>
      </w:r>
      <w:r>
        <w:rPr>
          <w:spacing w:val="-3"/>
        </w:rPr>
        <w:t> </w:t>
      </w:r>
      <w:r>
        <w:rPr/>
        <w:t>with</w:t>
      </w:r>
      <w:r>
        <w:rPr>
          <w:spacing w:val="-4"/>
        </w:rPr>
        <w:t> </w:t>
      </w:r>
      <w:r>
        <w:rPr/>
        <w:t>95%</w:t>
      </w:r>
      <w:r>
        <w:rPr>
          <w:spacing w:val="-3"/>
        </w:rPr>
        <w:t> </w:t>
      </w:r>
      <w:r>
        <w:rPr/>
        <w:t>CI:</w:t>
      </w:r>
      <w:r>
        <w:rPr>
          <w:spacing w:val="-3"/>
        </w:rPr>
        <w:t> </w:t>
      </w:r>
      <w:r>
        <w:rPr/>
        <w:t>-2–12%). However, given the fox activity index was initially (in 2013) 9.5 times larger (95% CI: 5.5–15.6) in NFCMLs than in FCMLs, they were still 3.0 times larger (95% CI: 1.7–5.0) in 2023.</w:t>
      </w:r>
    </w:p>
    <w:p>
      <w:pPr>
        <w:pStyle w:val="Heading4"/>
        <w:numPr>
          <w:ilvl w:val="2"/>
          <w:numId w:val="5"/>
        </w:numPr>
        <w:tabs>
          <w:tab w:pos="1853" w:val="left" w:leader="none"/>
        </w:tabs>
        <w:spacing w:line="240" w:lineRule="auto" w:before="142" w:after="0"/>
        <w:ind w:left="1853" w:right="0" w:hanging="721"/>
        <w:jc w:val="left"/>
      </w:pPr>
      <w:bookmarkStart w:name="_TOC_250004" w:id="31"/>
      <w:r>
        <w:rPr/>
        <w:t>Feral</w:t>
      </w:r>
      <w:r>
        <w:rPr>
          <w:spacing w:val="-2"/>
        </w:rPr>
        <w:t> </w:t>
      </w:r>
      <w:r>
        <w:rPr/>
        <w:t>cat</w:t>
      </w:r>
      <w:bookmarkEnd w:id="31"/>
      <w:r>
        <w:rPr>
          <w:spacing w:val="-2"/>
        </w:rPr>
        <w:t> activity</w:t>
      </w:r>
    </w:p>
    <w:p>
      <w:pPr>
        <w:pStyle w:val="BodyText"/>
        <w:spacing w:before="56"/>
        <w:ind w:left="1132" w:right="1279"/>
      </w:pPr>
      <w:r>
        <w:rPr/>
        <w:t>Over the 11 years of camera trapping, feral cats were never detected at less than 25% of sites outside of LGNP North and South. Rather, they were detected at least once at 97.5% (39 out of 40) of sites in the LGNP-North</w:t>
      </w:r>
      <w:r>
        <w:rPr>
          <w:spacing w:val="-1"/>
        </w:rPr>
        <w:t> </w:t>
      </w:r>
      <w:r>
        <w:rPr/>
        <w:t>and</w:t>
      </w:r>
      <w:r>
        <w:rPr>
          <w:spacing w:val="-3"/>
        </w:rPr>
        <w:t> </w:t>
      </w:r>
      <w:r>
        <w:rPr/>
        <w:t>87.5%</w:t>
      </w:r>
      <w:r>
        <w:rPr>
          <w:spacing w:val="-2"/>
        </w:rPr>
        <w:t> </w:t>
      </w:r>
      <w:r>
        <w:rPr/>
        <w:t>(35</w:t>
      </w:r>
      <w:r>
        <w:rPr>
          <w:spacing w:val="-3"/>
        </w:rPr>
        <w:t> </w:t>
      </w:r>
      <w:r>
        <w:rPr/>
        <w:t>out</w:t>
      </w:r>
      <w:r>
        <w:rPr>
          <w:spacing w:val="-1"/>
        </w:rPr>
        <w:t> </w:t>
      </w:r>
      <w:r>
        <w:rPr/>
        <w:t>of</w:t>
      </w:r>
      <w:r>
        <w:rPr>
          <w:spacing w:val="-1"/>
        </w:rPr>
        <w:t> </w:t>
      </w:r>
      <w:r>
        <w:rPr/>
        <w:t>40) of</w:t>
      </w:r>
      <w:r>
        <w:rPr>
          <w:spacing w:val="-3"/>
        </w:rPr>
        <w:t> </w:t>
      </w:r>
      <w:r>
        <w:rPr/>
        <w:t>sites</w:t>
      </w:r>
      <w:r>
        <w:rPr>
          <w:spacing w:val="-2"/>
        </w:rPr>
        <w:t> </w:t>
      </w:r>
      <w:r>
        <w:rPr/>
        <w:t>in</w:t>
      </w:r>
      <w:r>
        <w:rPr>
          <w:spacing w:val="-3"/>
        </w:rPr>
        <w:t> </w:t>
      </w:r>
      <w:r>
        <w:rPr/>
        <w:t>the</w:t>
      </w:r>
      <w:r>
        <w:rPr>
          <w:spacing w:val="-3"/>
        </w:rPr>
        <w:t> </w:t>
      </w:r>
      <w:r>
        <w:rPr/>
        <w:t>LGNP-South</w:t>
      </w:r>
      <w:r>
        <w:rPr>
          <w:spacing w:val="-3"/>
        </w:rPr>
        <w:t> </w:t>
      </w:r>
      <w:r>
        <w:rPr/>
        <w:t>(Table</w:t>
      </w:r>
      <w:r>
        <w:rPr>
          <w:spacing w:val="-2"/>
        </w:rPr>
        <w:t> </w:t>
      </w:r>
      <w:r>
        <w:rPr/>
        <w:t>3).</w:t>
      </w:r>
      <w:r>
        <w:rPr>
          <w:spacing w:val="-3"/>
        </w:rPr>
        <w:t> </w:t>
      </w:r>
      <w:r>
        <w:rPr/>
        <w:t>In</w:t>
      </w:r>
      <w:r>
        <w:rPr>
          <w:spacing w:val="-3"/>
        </w:rPr>
        <w:t> </w:t>
      </w:r>
      <w:r>
        <w:rPr/>
        <w:t>2023,</w:t>
      </w:r>
      <w:r>
        <w:rPr>
          <w:spacing w:val="-3"/>
        </w:rPr>
        <w:t> </w:t>
      </w:r>
      <w:r>
        <w:rPr/>
        <w:t>six</w:t>
      </w:r>
      <w:r>
        <w:rPr>
          <w:spacing w:val="-1"/>
        </w:rPr>
        <w:t> </w:t>
      </w:r>
      <w:r>
        <w:rPr/>
        <w:t>camera</w:t>
      </w:r>
      <w:r>
        <w:rPr>
          <w:spacing w:val="-3"/>
        </w:rPr>
        <w:t> </w:t>
      </w:r>
      <w:r>
        <w:rPr/>
        <w:t>sites</w:t>
      </w:r>
      <w:r>
        <w:rPr>
          <w:spacing w:val="-1"/>
        </w:rPr>
        <w:t> </w:t>
      </w:r>
      <w:r>
        <w:rPr/>
        <w:t>–</w:t>
      </w:r>
      <w:r>
        <w:rPr>
          <w:spacing w:val="-3"/>
        </w:rPr>
        <w:t> </w:t>
      </w:r>
      <w:r>
        <w:rPr/>
        <w:t>two camera sites each at Annya, Mt Clay and LNGP-South – detected feral cats for the first time. The overall feral cat index varied greatly between locations.</w:t>
      </w:r>
    </w:p>
    <w:p>
      <w:pPr>
        <w:pStyle w:val="BodyText"/>
        <w:spacing w:before="120"/>
        <w:ind w:left="1132" w:right="1204"/>
      </w:pPr>
      <w:r>
        <w:rPr/>
        <w:t>The</w:t>
      </w:r>
      <w:r>
        <w:rPr>
          <w:spacing w:val="-4"/>
        </w:rPr>
        <w:t> </w:t>
      </w:r>
      <w:r>
        <w:rPr/>
        <w:t>feral</w:t>
      </w:r>
      <w:r>
        <w:rPr>
          <w:spacing w:val="-4"/>
        </w:rPr>
        <w:t> </w:t>
      </w:r>
      <w:r>
        <w:rPr/>
        <w:t>cat</w:t>
      </w:r>
      <w:r>
        <w:rPr>
          <w:spacing w:val="-1"/>
        </w:rPr>
        <w:t> </w:t>
      </w:r>
      <w:r>
        <w:rPr/>
        <w:t>models</w:t>
      </w:r>
      <w:r>
        <w:rPr>
          <w:spacing w:val="-2"/>
        </w:rPr>
        <w:t> </w:t>
      </w:r>
      <w:r>
        <w:rPr/>
        <w:t>showed</w:t>
      </w:r>
      <w:r>
        <w:rPr>
          <w:spacing w:val="-3"/>
        </w:rPr>
        <w:t> </w:t>
      </w:r>
      <w:r>
        <w:rPr/>
        <w:t>a</w:t>
      </w:r>
      <w:r>
        <w:rPr>
          <w:spacing w:val="-4"/>
        </w:rPr>
        <w:t> </w:t>
      </w:r>
      <w:r>
        <w:rPr/>
        <w:t>preference</w:t>
      </w:r>
      <w:r>
        <w:rPr>
          <w:spacing w:val="-1"/>
        </w:rPr>
        <w:t> </w:t>
      </w:r>
      <w:r>
        <w:rPr/>
        <w:t>for</w:t>
      </w:r>
      <w:r>
        <w:rPr>
          <w:spacing w:val="-2"/>
        </w:rPr>
        <w:t> </w:t>
      </w:r>
      <w:r>
        <w:rPr/>
        <w:t>the</w:t>
      </w:r>
      <w:r>
        <w:rPr>
          <w:spacing w:val="-2"/>
        </w:rPr>
        <w:t> </w:t>
      </w:r>
      <w:r>
        <w:rPr/>
        <w:t>independent</w:t>
      </w:r>
      <w:r>
        <w:rPr>
          <w:spacing w:val="-1"/>
        </w:rPr>
        <w:t> </w:t>
      </w:r>
      <w:r>
        <w:rPr/>
        <w:t>location</w:t>
      </w:r>
      <w:r>
        <w:rPr>
          <w:spacing w:val="-3"/>
        </w:rPr>
        <w:t> </w:t>
      </w:r>
      <w:r>
        <w:rPr/>
        <w:t>and</w:t>
      </w:r>
      <w:r>
        <w:rPr>
          <w:spacing w:val="-4"/>
        </w:rPr>
        <w:t> </w:t>
      </w:r>
      <w:r>
        <w:rPr/>
        <w:t>year model;</w:t>
      </w:r>
      <w:r>
        <w:rPr>
          <w:spacing w:val="-1"/>
        </w:rPr>
        <w:t> </w:t>
      </w:r>
      <w:r>
        <w:rPr/>
        <w:t>however,</w:t>
      </w:r>
      <w:r>
        <w:rPr>
          <w:spacing w:val="-3"/>
        </w:rPr>
        <w:t> </w:t>
      </w:r>
      <w:r>
        <w:rPr/>
        <w:t>there</w:t>
      </w:r>
      <w:r>
        <w:rPr>
          <w:spacing w:val="-3"/>
        </w:rPr>
        <w:t> </w:t>
      </w:r>
      <w:r>
        <w:rPr/>
        <w:t>was also some support for the location only model (Table A7). The best model showed that there was a difference between the locations and that feral cat activity declined at locations over time until 2021, before increasing again (Figure 13).</w:t>
      </w:r>
    </w:p>
    <w:p>
      <w:pPr>
        <w:pStyle w:val="Heading5"/>
        <w:spacing w:before="201"/>
      </w:pPr>
      <w:bookmarkStart w:name="_bookmark14" w:id="32"/>
      <w:bookmarkEnd w:id="32"/>
      <w:r>
        <w:rPr>
          <w:b w:val="0"/>
        </w:rPr>
      </w:r>
      <w:r>
        <w:rPr>
          <w:color w:val="1F1546"/>
        </w:rPr>
        <w:t>Table</w:t>
      </w:r>
      <w:r>
        <w:rPr>
          <w:color w:val="1F1546"/>
          <w:spacing w:val="-6"/>
        </w:rPr>
        <w:t> </w:t>
      </w:r>
      <w:r>
        <w:rPr>
          <w:color w:val="1F1546"/>
        </w:rPr>
        <w:t>3.</w:t>
      </w:r>
      <w:r>
        <w:rPr>
          <w:color w:val="1F1546"/>
          <w:spacing w:val="-5"/>
        </w:rPr>
        <w:t> </w:t>
      </w:r>
      <w:r>
        <w:rPr>
          <w:color w:val="1F1546"/>
        </w:rPr>
        <w:t>Summary</w:t>
      </w:r>
      <w:r>
        <w:rPr>
          <w:color w:val="1F1546"/>
          <w:spacing w:val="-7"/>
        </w:rPr>
        <w:t> </w:t>
      </w:r>
      <w:r>
        <w:rPr>
          <w:color w:val="1F1546"/>
        </w:rPr>
        <w:t>of</w:t>
      </w:r>
      <w:r>
        <w:rPr>
          <w:color w:val="1F1546"/>
          <w:spacing w:val="-6"/>
        </w:rPr>
        <w:t> </w:t>
      </w:r>
      <w:r>
        <w:rPr>
          <w:color w:val="1F1546"/>
        </w:rPr>
        <w:t>feral</w:t>
      </w:r>
      <w:r>
        <w:rPr>
          <w:color w:val="1F1546"/>
          <w:spacing w:val="-5"/>
        </w:rPr>
        <w:t> </w:t>
      </w:r>
      <w:r>
        <w:rPr>
          <w:color w:val="1F1546"/>
        </w:rPr>
        <w:t>cat</w:t>
      </w:r>
      <w:r>
        <w:rPr>
          <w:color w:val="1F1546"/>
          <w:spacing w:val="-6"/>
        </w:rPr>
        <w:t> </w:t>
      </w:r>
      <w:r>
        <w:rPr>
          <w:color w:val="1F1546"/>
        </w:rPr>
        <w:t>detections</w:t>
      </w:r>
      <w:r>
        <w:rPr>
          <w:color w:val="1F1546"/>
          <w:spacing w:val="-6"/>
        </w:rPr>
        <w:t> </w:t>
      </w:r>
      <w:r>
        <w:rPr>
          <w:color w:val="1F1546"/>
        </w:rPr>
        <w:t>across</w:t>
      </w:r>
      <w:r>
        <w:rPr>
          <w:color w:val="1F1546"/>
          <w:spacing w:val="-5"/>
        </w:rPr>
        <w:t> </w:t>
      </w:r>
      <w:r>
        <w:rPr>
          <w:color w:val="1F1546"/>
        </w:rPr>
        <w:t>all</w:t>
      </w:r>
      <w:r>
        <w:rPr>
          <w:color w:val="1F1546"/>
          <w:spacing w:val="-5"/>
        </w:rPr>
        <w:t> </w:t>
      </w:r>
      <w:r>
        <w:rPr>
          <w:color w:val="1F1546"/>
        </w:rPr>
        <w:t>years</w:t>
      </w:r>
      <w:r>
        <w:rPr>
          <w:color w:val="1F1546"/>
          <w:spacing w:val="-7"/>
        </w:rPr>
        <w:t> </w:t>
      </w:r>
      <w:r>
        <w:rPr>
          <w:color w:val="1F1546"/>
        </w:rPr>
        <w:t>by</w:t>
      </w:r>
      <w:r>
        <w:rPr>
          <w:color w:val="1F1546"/>
          <w:spacing w:val="-5"/>
        </w:rPr>
        <w:t> </w:t>
      </w:r>
      <w:r>
        <w:rPr>
          <w:color w:val="1F1546"/>
          <w:spacing w:val="-2"/>
        </w:rPr>
        <w:t>location.</w:t>
      </w:r>
    </w:p>
    <w:p>
      <w:pPr>
        <w:pStyle w:val="BodyText"/>
        <w:spacing w:before="1"/>
        <w:rPr>
          <w:b/>
          <w:sz w:val="10"/>
        </w:rPr>
      </w:pPr>
    </w:p>
    <w:tbl>
      <w:tblPr>
        <w:tblW w:w="0" w:type="auto"/>
        <w:jc w:val="left"/>
        <w:tblInd w:w="1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04"/>
        <w:gridCol w:w="1474"/>
        <w:gridCol w:w="2578"/>
        <w:gridCol w:w="1560"/>
        <w:gridCol w:w="1702"/>
      </w:tblGrid>
      <w:tr>
        <w:trPr>
          <w:trHeight w:val="966" w:hRule="atLeast"/>
        </w:trPr>
        <w:tc>
          <w:tcPr>
            <w:tcW w:w="1904" w:type="dxa"/>
            <w:tcBorders>
              <w:bottom w:val="single" w:sz="2" w:space="0" w:color="000000"/>
            </w:tcBorders>
            <w:shd w:val="clear" w:color="auto" w:fill="004B96"/>
          </w:tcPr>
          <w:p>
            <w:pPr>
              <w:pStyle w:val="TableParagraph"/>
              <w:rPr>
                <w:b/>
                <w:sz w:val="24"/>
              </w:rPr>
            </w:pPr>
          </w:p>
          <w:p>
            <w:pPr>
              <w:pStyle w:val="TableParagraph"/>
              <w:spacing w:before="70"/>
              <w:rPr>
                <w:b/>
                <w:sz w:val="24"/>
              </w:rPr>
            </w:pPr>
          </w:p>
          <w:p>
            <w:pPr>
              <w:pStyle w:val="TableParagraph"/>
              <w:ind w:left="107"/>
              <w:rPr>
                <w:b/>
                <w:sz w:val="24"/>
              </w:rPr>
            </w:pPr>
            <w:r>
              <w:rPr>
                <w:b/>
                <w:color w:val="FFFFFF"/>
                <w:spacing w:val="-2"/>
                <w:sz w:val="24"/>
              </w:rPr>
              <w:t>Treatment</w:t>
            </w:r>
          </w:p>
        </w:tc>
        <w:tc>
          <w:tcPr>
            <w:tcW w:w="1474" w:type="dxa"/>
            <w:tcBorders>
              <w:bottom w:val="single" w:sz="2" w:space="0" w:color="000000"/>
            </w:tcBorders>
            <w:shd w:val="clear" w:color="auto" w:fill="004B96"/>
          </w:tcPr>
          <w:p>
            <w:pPr>
              <w:pStyle w:val="TableParagraph"/>
              <w:rPr>
                <w:b/>
                <w:sz w:val="24"/>
              </w:rPr>
            </w:pPr>
          </w:p>
          <w:p>
            <w:pPr>
              <w:pStyle w:val="TableParagraph"/>
              <w:spacing w:before="70"/>
              <w:rPr>
                <w:b/>
                <w:sz w:val="24"/>
              </w:rPr>
            </w:pPr>
          </w:p>
          <w:p>
            <w:pPr>
              <w:pStyle w:val="TableParagraph"/>
              <w:ind w:left="234"/>
              <w:rPr>
                <w:b/>
                <w:sz w:val="24"/>
              </w:rPr>
            </w:pPr>
            <w:r>
              <w:rPr>
                <w:b/>
                <w:color w:val="FFFFFF"/>
                <w:spacing w:val="-2"/>
                <w:sz w:val="24"/>
              </w:rPr>
              <w:t>Location</w:t>
            </w:r>
          </w:p>
        </w:tc>
        <w:tc>
          <w:tcPr>
            <w:tcW w:w="2578" w:type="dxa"/>
            <w:tcBorders>
              <w:bottom w:val="single" w:sz="2" w:space="0" w:color="000000"/>
            </w:tcBorders>
            <w:shd w:val="clear" w:color="auto" w:fill="004B96"/>
          </w:tcPr>
          <w:p>
            <w:pPr>
              <w:pStyle w:val="TableParagraph"/>
              <w:spacing w:before="70"/>
              <w:ind w:left="794" w:right="568" w:hanging="228"/>
              <w:rPr>
                <w:b/>
                <w:sz w:val="24"/>
              </w:rPr>
            </w:pPr>
            <w:r>
              <w:rPr>
                <w:b/>
                <w:color w:val="FFFFFF"/>
                <w:sz w:val="24"/>
              </w:rPr>
              <w:t>No</w:t>
            </w:r>
            <w:r>
              <w:rPr>
                <w:b/>
                <w:color w:val="FFFFFF"/>
                <w:spacing w:val="-17"/>
                <w:sz w:val="24"/>
              </w:rPr>
              <w:t> </w:t>
            </w:r>
            <w:r>
              <w:rPr>
                <w:b/>
                <w:color w:val="FFFFFF"/>
                <w:sz w:val="24"/>
              </w:rPr>
              <w:t>feral</w:t>
            </w:r>
            <w:r>
              <w:rPr>
                <w:b/>
                <w:color w:val="FFFFFF"/>
                <w:spacing w:val="-17"/>
                <w:sz w:val="24"/>
              </w:rPr>
              <w:t> </w:t>
            </w:r>
            <w:r>
              <w:rPr>
                <w:b/>
                <w:color w:val="FFFFFF"/>
                <w:sz w:val="24"/>
              </w:rPr>
              <w:t>cats </w:t>
            </w:r>
            <w:r>
              <w:rPr>
                <w:b/>
                <w:color w:val="FFFFFF"/>
                <w:spacing w:val="-2"/>
                <w:sz w:val="24"/>
              </w:rPr>
              <w:t>detected</w:t>
            </w:r>
          </w:p>
          <w:p>
            <w:pPr>
              <w:pStyle w:val="TableParagraph"/>
              <w:ind w:left="647"/>
              <w:rPr>
                <w:b/>
                <w:sz w:val="24"/>
              </w:rPr>
            </w:pPr>
            <w:r>
              <w:rPr>
                <w:b/>
                <w:color w:val="FFFFFF"/>
                <w:sz w:val="24"/>
              </w:rPr>
              <w:t>(%</w:t>
            </w:r>
            <w:r>
              <w:rPr>
                <w:b/>
                <w:color w:val="FFFFFF"/>
                <w:spacing w:val="-2"/>
                <w:sz w:val="24"/>
              </w:rPr>
              <w:t> </w:t>
            </w:r>
            <w:r>
              <w:rPr>
                <w:b/>
                <w:color w:val="FFFFFF"/>
                <w:sz w:val="24"/>
              </w:rPr>
              <w:t>of</w:t>
            </w:r>
            <w:r>
              <w:rPr>
                <w:b/>
                <w:color w:val="FFFFFF"/>
                <w:spacing w:val="-2"/>
                <w:sz w:val="24"/>
              </w:rPr>
              <w:t> sites)</w:t>
            </w:r>
          </w:p>
        </w:tc>
        <w:tc>
          <w:tcPr>
            <w:tcW w:w="1560" w:type="dxa"/>
            <w:tcBorders>
              <w:bottom w:val="single" w:sz="2" w:space="0" w:color="000000"/>
            </w:tcBorders>
            <w:shd w:val="clear" w:color="auto" w:fill="004B96"/>
          </w:tcPr>
          <w:p>
            <w:pPr>
              <w:pStyle w:val="TableParagraph"/>
              <w:spacing w:before="70"/>
              <w:ind w:left="179" w:right="176" w:hanging="6"/>
              <w:jc w:val="center"/>
              <w:rPr>
                <w:b/>
                <w:sz w:val="24"/>
              </w:rPr>
            </w:pPr>
            <w:r>
              <w:rPr>
                <w:b/>
                <w:color w:val="FFFFFF"/>
                <w:sz w:val="24"/>
              </w:rPr>
              <w:t>Total feral </w:t>
            </w:r>
            <w:r>
              <w:rPr>
                <w:b/>
                <w:color w:val="FFFFFF"/>
                <w:spacing w:val="-4"/>
                <w:sz w:val="24"/>
              </w:rPr>
              <w:t>cat </w:t>
            </w:r>
            <w:r>
              <w:rPr>
                <w:b/>
                <w:color w:val="FFFFFF"/>
                <w:spacing w:val="-2"/>
                <w:sz w:val="24"/>
              </w:rPr>
              <w:t>detections</w:t>
            </w:r>
          </w:p>
        </w:tc>
        <w:tc>
          <w:tcPr>
            <w:tcW w:w="1702" w:type="dxa"/>
            <w:tcBorders>
              <w:bottom w:val="single" w:sz="2" w:space="0" w:color="000000"/>
            </w:tcBorders>
            <w:shd w:val="clear" w:color="auto" w:fill="004B96"/>
          </w:tcPr>
          <w:p>
            <w:pPr>
              <w:pStyle w:val="TableParagraph"/>
              <w:spacing w:before="70"/>
              <w:ind w:left="163" w:right="160"/>
              <w:jc w:val="center"/>
              <w:rPr>
                <w:b/>
                <w:sz w:val="24"/>
              </w:rPr>
            </w:pPr>
            <w:r>
              <w:rPr>
                <w:b/>
                <w:color w:val="FFFFFF"/>
                <w:sz w:val="24"/>
              </w:rPr>
              <w:t>Feral</w:t>
            </w:r>
            <w:r>
              <w:rPr>
                <w:b/>
                <w:color w:val="FFFFFF"/>
                <w:spacing w:val="-17"/>
                <w:sz w:val="24"/>
              </w:rPr>
              <w:t> </w:t>
            </w:r>
            <w:r>
              <w:rPr>
                <w:b/>
                <w:color w:val="FFFFFF"/>
                <w:sz w:val="24"/>
              </w:rPr>
              <w:t>cat </w:t>
            </w:r>
            <w:r>
              <w:rPr>
                <w:b/>
                <w:color w:val="FFFFFF"/>
                <w:spacing w:val="-2"/>
                <w:sz w:val="24"/>
              </w:rPr>
              <w:t>activity </w:t>
            </w:r>
            <w:r>
              <w:rPr>
                <w:b/>
                <w:color w:val="FFFFFF"/>
                <w:spacing w:val="-4"/>
                <w:sz w:val="24"/>
              </w:rPr>
              <w:t>index</w:t>
            </w:r>
          </w:p>
        </w:tc>
      </w:tr>
      <w:tr>
        <w:trPr>
          <w:trHeight w:val="319" w:hRule="atLeast"/>
        </w:trPr>
        <w:tc>
          <w:tcPr>
            <w:tcW w:w="1904" w:type="dxa"/>
            <w:tcBorders>
              <w:top w:val="single" w:sz="2" w:space="0" w:color="000000"/>
            </w:tcBorders>
          </w:tcPr>
          <w:p>
            <w:pPr>
              <w:pStyle w:val="TableParagraph"/>
              <w:spacing w:before="56"/>
              <w:ind w:left="107"/>
              <w:rPr>
                <w:sz w:val="20"/>
              </w:rPr>
            </w:pPr>
            <w:r>
              <w:rPr>
                <w:sz w:val="20"/>
              </w:rPr>
              <w:t>Fox</w:t>
            </w:r>
            <w:r>
              <w:rPr>
                <w:spacing w:val="-4"/>
                <w:sz w:val="20"/>
              </w:rPr>
              <w:t> </w:t>
            </w:r>
            <w:r>
              <w:rPr>
                <w:spacing w:val="-2"/>
                <w:sz w:val="20"/>
              </w:rPr>
              <w:t>control</w:t>
            </w:r>
          </w:p>
        </w:tc>
        <w:tc>
          <w:tcPr>
            <w:tcW w:w="1474" w:type="dxa"/>
            <w:tcBorders>
              <w:top w:val="single" w:sz="2" w:space="0" w:color="000000"/>
            </w:tcBorders>
            <w:shd w:val="clear" w:color="auto" w:fill="CCDBEA"/>
          </w:tcPr>
          <w:p>
            <w:pPr>
              <w:pStyle w:val="TableParagraph"/>
              <w:spacing w:before="56"/>
              <w:ind w:left="107"/>
              <w:rPr>
                <w:sz w:val="20"/>
              </w:rPr>
            </w:pPr>
            <w:r>
              <w:rPr>
                <w:spacing w:val="-2"/>
                <w:sz w:val="20"/>
              </w:rPr>
              <w:t>Cobboboonee</w:t>
            </w:r>
          </w:p>
        </w:tc>
        <w:tc>
          <w:tcPr>
            <w:tcW w:w="2578" w:type="dxa"/>
            <w:tcBorders>
              <w:top w:val="single" w:sz="2" w:space="0" w:color="000000"/>
            </w:tcBorders>
          </w:tcPr>
          <w:p>
            <w:pPr>
              <w:pStyle w:val="TableParagraph"/>
              <w:spacing w:line="226" w:lineRule="exact"/>
              <w:ind w:right="1"/>
              <w:jc w:val="center"/>
              <w:rPr>
                <w:sz w:val="20"/>
              </w:rPr>
            </w:pPr>
            <w:r>
              <w:rPr>
                <w:spacing w:val="-4"/>
                <w:sz w:val="20"/>
              </w:rPr>
              <w:t>27.5</w:t>
            </w:r>
          </w:p>
        </w:tc>
        <w:tc>
          <w:tcPr>
            <w:tcW w:w="1560" w:type="dxa"/>
            <w:tcBorders>
              <w:top w:val="single" w:sz="2" w:space="0" w:color="000000"/>
            </w:tcBorders>
            <w:shd w:val="clear" w:color="auto" w:fill="CCDBEA"/>
          </w:tcPr>
          <w:p>
            <w:pPr>
              <w:pStyle w:val="TableParagraph"/>
              <w:spacing w:line="226" w:lineRule="exact"/>
              <w:ind w:left="3" w:right="6"/>
              <w:jc w:val="center"/>
              <w:rPr>
                <w:sz w:val="20"/>
              </w:rPr>
            </w:pPr>
            <w:r>
              <w:rPr>
                <w:spacing w:val="-5"/>
                <w:sz w:val="20"/>
              </w:rPr>
              <w:t>96</w:t>
            </w:r>
          </w:p>
        </w:tc>
        <w:tc>
          <w:tcPr>
            <w:tcW w:w="1702" w:type="dxa"/>
            <w:tcBorders>
              <w:top w:val="single" w:sz="2" w:space="0" w:color="000000"/>
            </w:tcBorders>
          </w:tcPr>
          <w:p>
            <w:pPr>
              <w:pStyle w:val="TableParagraph"/>
              <w:spacing w:line="226" w:lineRule="exact"/>
              <w:ind w:left="163" w:right="165"/>
              <w:jc w:val="center"/>
              <w:rPr>
                <w:sz w:val="20"/>
              </w:rPr>
            </w:pPr>
            <w:r>
              <w:rPr>
                <w:spacing w:val="-5"/>
                <w:sz w:val="20"/>
              </w:rPr>
              <w:t>8.6</w:t>
            </w:r>
          </w:p>
        </w:tc>
      </w:tr>
      <w:tr>
        <w:trPr>
          <w:trHeight w:val="350" w:hRule="atLeast"/>
        </w:trPr>
        <w:tc>
          <w:tcPr>
            <w:tcW w:w="1904" w:type="dxa"/>
          </w:tcPr>
          <w:p>
            <w:pPr>
              <w:pStyle w:val="TableParagraph"/>
              <w:spacing w:before="86"/>
              <w:ind w:left="107"/>
              <w:rPr>
                <w:sz w:val="20"/>
              </w:rPr>
            </w:pPr>
            <w:r>
              <w:rPr>
                <w:sz w:val="20"/>
              </w:rPr>
              <w:t>Fox</w:t>
            </w:r>
            <w:r>
              <w:rPr>
                <w:spacing w:val="-4"/>
                <w:sz w:val="20"/>
              </w:rPr>
              <w:t> </w:t>
            </w:r>
            <w:r>
              <w:rPr>
                <w:spacing w:val="-2"/>
                <w:sz w:val="20"/>
              </w:rPr>
              <w:t>control</w:t>
            </w:r>
          </w:p>
        </w:tc>
        <w:tc>
          <w:tcPr>
            <w:tcW w:w="1474" w:type="dxa"/>
            <w:shd w:val="clear" w:color="auto" w:fill="CCDBEA"/>
          </w:tcPr>
          <w:p>
            <w:pPr>
              <w:pStyle w:val="TableParagraph"/>
              <w:spacing w:before="86"/>
              <w:ind w:left="107"/>
              <w:rPr>
                <w:sz w:val="20"/>
              </w:rPr>
            </w:pPr>
            <w:r>
              <w:rPr>
                <w:sz w:val="20"/>
              </w:rPr>
              <w:t>Mount</w:t>
            </w:r>
            <w:r>
              <w:rPr>
                <w:spacing w:val="-8"/>
                <w:sz w:val="20"/>
              </w:rPr>
              <w:t> </w:t>
            </w:r>
            <w:r>
              <w:rPr>
                <w:spacing w:val="-4"/>
                <w:sz w:val="20"/>
              </w:rPr>
              <w:t>Clay</w:t>
            </w:r>
          </w:p>
        </w:tc>
        <w:tc>
          <w:tcPr>
            <w:tcW w:w="2578" w:type="dxa"/>
          </w:tcPr>
          <w:p>
            <w:pPr>
              <w:pStyle w:val="TableParagraph"/>
              <w:spacing w:before="26"/>
              <w:ind w:right="1"/>
              <w:jc w:val="center"/>
              <w:rPr>
                <w:sz w:val="20"/>
              </w:rPr>
            </w:pPr>
            <w:r>
              <w:rPr>
                <w:spacing w:val="-4"/>
                <w:sz w:val="20"/>
              </w:rPr>
              <w:t>55.0</w:t>
            </w:r>
          </w:p>
        </w:tc>
        <w:tc>
          <w:tcPr>
            <w:tcW w:w="1560" w:type="dxa"/>
            <w:shd w:val="clear" w:color="auto" w:fill="CCDBEA"/>
          </w:tcPr>
          <w:p>
            <w:pPr>
              <w:pStyle w:val="TableParagraph"/>
              <w:spacing w:before="26"/>
              <w:ind w:left="3" w:right="6"/>
              <w:jc w:val="center"/>
              <w:rPr>
                <w:sz w:val="20"/>
              </w:rPr>
            </w:pPr>
            <w:r>
              <w:rPr>
                <w:spacing w:val="-5"/>
                <w:sz w:val="20"/>
              </w:rPr>
              <w:t>53</w:t>
            </w:r>
          </w:p>
        </w:tc>
        <w:tc>
          <w:tcPr>
            <w:tcW w:w="1702" w:type="dxa"/>
          </w:tcPr>
          <w:p>
            <w:pPr>
              <w:pStyle w:val="TableParagraph"/>
              <w:spacing w:before="26"/>
              <w:ind w:left="163" w:right="165"/>
              <w:jc w:val="center"/>
              <w:rPr>
                <w:sz w:val="20"/>
              </w:rPr>
            </w:pPr>
            <w:r>
              <w:rPr>
                <w:spacing w:val="-5"/>
                <w:sz w:val="20"/>
              </w:rPr>
              <w:t>4.7</w:t>
            </w:r>
          </w:p>
        </w:tc>
      </w:tr>
      <w:tr>
        <w:trPr>
          <w:trHeight w:val="377" w:hRule="atLeast"/>
        </w:trPr>
        <w:tc>
          <w:tcPr>
            <w:tcW w:w="1904" w:type="dxa"/>
            <w:tcBorders>
              <w:bottom w:val="single" w:sz="4" w:space="0" w:color="2C908B"/>
            </w:tcBorders>
          </w:tcPr>
          <w:p>
            <w:pPr>
              <w:pStyle w:val="TableParagraph"/>
              <w:spacing w:before="86"/>
              <w:ind w:left="107"/>
              <w:rPr>
                <w:sz w:val="20"/>
              </w:rPr>
            </w:pPr>
            <w:r>
              <w:rPr>
                <w:sz w:val="20"/>
              </w:rPr>
              <w:t>Fox</w:t>
            </w:r>
            <w:r>
              <w:rPr>
                <w:spacing w:val="-4"/>
                <w:sz w:val="20"/>
              </w:rPr>
              <w:t> </w:t>
            </w:r>
            <w:r>
              <w:rPr>
                <w:spacing w:val="-2"/>
                <w:sz w:val="20"/>
              </w:rPr>
              <w:t>control</w:t>
            </w:r>
          </w:p>
        </w:tc>
        <w:tc>
          <w:tcPr>
            <w:tcW w:w="1474" w:type="dxa"/>
            <w:tcBorders>
              <w:bottom w:val="single" w:sz="4" w:space="0" w:color="2C908B"/>
            </w:tcBorders>
            <w:shd w:val="clear" w:color="auto" w:fill="CCDBEA"/>
          </w:tcPr>
          <w:p>
            <w:pPr>
              <w:pStyle w:val="TableParagraph"/>
              <w:spacing w:before="86"/>
              <w:ind w:left="107"/>
              <w:rPr>
                <w:sz w:val="20"/>
              </w:rPr>
            </w:pPr>
            <w:r>
              <w:rPr>
                <w:spacing w:val="-2"/>
                <w:sz w:val="20"/>
              </w:rPr>
              <w:t>LGNP-south</w:t>
            </w:r>
          </w:p>
        </w:tc>
        <w:tc>
          <w:tcPr>
            <w:tcW w:w="2578" w:type="dxa"/>
            <w:tcBorders>
              <w:bottom w:val="single" w:sz="4" w:space="0" w:color="2C908B"/>
            </w:tcBorders>
          </w:tcPr>
          <w:p>
            <w:pPr>
              <w:pStyle w:val="TableParagraph"/>
              <w:spacing w:before="26"/>
              <w:ind w:right="1"/>
              <w:jc w:val="center"/>
              <w:rPr>
                <w:sz w:val="20"/>
              </w:rPr>
            </w:pPr>
            <w:r>
              <w:rPr>
                <w:spacing w:val="-4"/>
                <w:sz w:val="20"/>
              </w:rPr>
              <w:t>12.5</w:t>
            </w:r>
          </w:p>
        </w:tc>
        <w:tc>
          <w:tcPr>
            <w:tcW w:w="1560" w:type="dxa"/>
            <w:tcBorders>
              <w:bottom w:val="single" w:sz="4" w:space="0" w:color="2C908B"/>
            </w:tcBorders>
            <w:shd w:val="clear" w:color="auto" w:fill="CCDBEA"/>
          </w:tcPr>
          <w:p>
            <w:pPr>
              <w:pStyle w:val="TableParagraph"/>
              <w:spacing w:before="26"/>
              <w:ind w:left="3" w:right="6"/>
              <w:jc w:val="center"/>
              <w:rPr>
                <w:sz w:val="20"/>
              </w:rPr>
            </w:pPr>
            <w:r>
              <w:rPr>
                <w:spacing w:val="-5"/>
                <w:sz w:val="20"/>
              </w:rPr>
              <w:t>169</w:t>
            </w:r>
          </w:p>
        </w:tc>
        <w:tc>
          <w:tcPr>
            <w:tcW w:w="1702" w:type="dxa"/>
            <w:tcBorders>
              <w:bottom w:val="single" w:sz="4" w:space="0" w:color="2C908B"/>
            </w:tcBorders>
          </w:tcPr>
          <w:p>
            <w:pPr>
              <w:pStyle w:val="TableParagraph"/>
              <w:spacing w:before="26"/>
              <w:ind w:left="163" w:right="166"/>
              <w:jc w:val="center"/>
              <w:rPr>
                <w:sz w:val="20"/>
              </w:rPr>
            </w:pPr>
            <w:r>
              <w:rPr>
                <w:spacing w:val="-4"/>
                <w:sz w:val="20"/>
              </w:rPr>
              <w:t>14.5</w:t>
            </w:r>
          </w:p>
        </w:tc>
      </w:tr>
      <w:tr>
        <w:trPr>
          <w:trHeight w:val="323" w:hRule="atLeast"/>
        </w:trPr>
        <w:tc>
          <w:tcPr>
            <w:tcW w:w="1904" w:type="dxa"/>
            <w:tcBorders>
              <w:top w:val="single" w:sz="4" w:space="0" w:color="2C908B"/>
            </w:tcBorders>
          </w:tcPr>
          <w:p>
            <w:pPr>
              <w:pStyle w:val="TableParagraph"/>
              <w:spacing w:before="59"/>
              <w:ind w:left="107"/>
              <w:rPr>
                <w:sz w:val="20"/>
              </w:rPr>
            </w:pPr>
            <w:r>
              <w:rPr>
                <w:sz w:val="20"/>
              </w:rPr>
              <w:t>No</w:t>
            </w:r>
            <w:r>
              <w:rPr>
                <w:spacing w:val="-6"/>
                <w:sz w:val="20"/>
              </w:rPr>
              <w:t> </w:t>
            </w:r>
            <w:r>
              <w:rPr>
                <w:sz w:val="20"/>
              </w:rPr>
              <w:t>fox</w:t>
            </w:r>
            <w:r>
              <w:rPr>
                <w:spacing w:val="-4"/>
                <w:sz w:val="20"/>
              </w:rPr>
              <w:t> </w:t>
            </w:r>
            <w:r>
              <w:rPr>
                <w:spacing w:val="-2"/>
                <w:sz w:val="20"/>
              </w:rPr>
              <w:t>control</w:t>
            </w:r>
          </w:p>
        </w:tc>
        <w:tc>
          <w:tcPr>
            <w:tcW w:w="1474" w:type="dxa"/>
            <w:tcBorders>
              <w:top w:val="single" w:sz="4" w:space="0" w:color="2C908B"/>
            </w:tcBorders>
            <w:shd w:val="clear" w:color="auto" w:fill="CCDBEA"/>
          </w:tcPr>
          <w:p>
            <w:pPr>
              <w:pStyle w:val="TableParagraph"/>
              <w:spacing w:before="59"/>
              <w:ind w:left="107"/>
              <w:rPr>
                <w:sz w:val="20"/>
              </w:rPr>
            </w:pPr>
            <w:r>
              <w:rPr>
                <w:spacing w:val="-2"/>
                <w:sz w:val="20"/>
              </w:rPr>
              <w:t>Annya</w:t>
            </w:r>
          </w:p>
        </w:tc>
        <w:tc>
          <w:tcPr>
            <w:tcW w:w="2578" w:type="dxa"/>
            <w:tcBorders>
              <w:top w:val="single" w:sz="4" w:space="0" w:color="2C908B"/>
            </w:tcBorders>
          </w:tcPr>
          <w:p>
            <w:pPr>
              <w:pStyle w:val="TableParagraph"/>
              <w:spacing w:line="229" w:lineRule="exact"/>
              <w:ind w:right="1"/>
              <w:jc w:val="center"/>
              <w:rPr>
                <w:sz w:val="20"/>
              </w:rPr>
            </w:pPr>
            <w:r>
              <w:rPr>
                <w:spacing w:val="-4"/>
                <w:sz w:val="20"/>
              </w:rPr>
              <w:t>47.5</w:t>
            </w:r>
          </w:p>
        </w:tc>
        <w:tc>
          <w:tcPr>
            <w:tcW w:w="1560" w:type="dxa"/>
            <w:tcBorders>
              <w:top w:val="single" w:sz="4" w:space="0" w:color="2C908B"/>
            </w:tcBorders>
            <w:shd w:val="clear" w:color="auto" w:fill="CCDBEA"/>
          </w:tcPr>
          <w:p>
            <w:pPr>
              <w:pStyle w:val="TableParagraph"/>
              <w:spacing w:line="229" w:lineRule="exact"/>
              <w:ind w:left="3" w:right="6"/>
              <w:jc w:val="center"/>
              <w:rPr>
                <w:sz w:val="20"/>
              </w:rPr>
            </w:pPr>
            <w:r>
              <w:rPr>
                <w:spacing w:val="-5"/>
                <w:sz w:val="20"/>
              </w:rPr>
              <w:t>55</w:t>
            </w:r>
          </w:p>
        </w:tc>
        <w:tc>
          <w:tcPr>
            <w:tcW w:w="1702" w:type="dxa"/>
            <w:tcBorders>
              <w:top w:val="single" w:sz="4" w:space="0" w:color="2C908B"/>
            </w:tcBorders>
          </w:tcPr>
          <w:p>
            <w:pPr>
              <w:pStyle w:val="TableParagraph"/>
              <w:spacing w:line="229" w:lineRule="exact"/>
              <w:ind w:left="163" w:right="165"/>
              <w:jc w:val="center"/>
              <w:rPr>
                <w:sz w:val="20"/>
              </w:rPr>
            </w:pPr>
            <w:r>
              <w:rPr>
                <w:spacing w:val="-5"/>
                <w:sz w:val="20"/>
              </w:rPr>
              <w:t>4.8</w:t>
            </w:r>
          </w:p>
        </w:tc>
      </w:tr>
      <w:tr>
        <w:trPr>
          <w:trHeight w:val="349" w:hRule="atLeast"/>
        </w:trPr>
        <w:tc>
          <w:tcPr>
            <w:tcW w:w="1904" w:type="dxa"/>
          </w:tcPr>
          <w:p>
            <w:pPr>
              <w:pStyle w:val="TableParagraph"/>
              <w:spacing w:before="86"/>
              <w:ind w:left="107"/>
              <w:rPr>
                <w:sz w:val="20"/>
              </w:rPr>
            </w:pPr>
            <w:r>
              <w:rPr>
                <w:sz w:val="20"/>
              </w:rPr>
              <w:t>No</w:t>
            </w:r>
            <w:r>
              <w:rPr>
                <w:spacing w:val="-6"/>
                <w:sz w:val="20"/>
              </w:rPr>
              <w:t> </w:t>
            </w:r>
            <w:r>
              <w:rPr>
                <w:sz w:val="20"/>
              </w:rPr>
              <w:t>fox</w:t>
            </w:r>
            <w:r>
              <w:rPr>
                <w:spacing w:val="-4"/>
                <w:sz w:val="20"/>
              </w:rPr>
              <w:t> </w:t>
            </w:r>
            <w:r>
              <w:rPr>
                <w:spacing w:val="-2"/>
                <w:sz w:val="20"/>
              </w:rPr>
              <w:t>control</w:t>
            </w:r>
          </w:p>
        </w:tc>
        <w:tc>
          <w:tcPr>
            <w:tcW w:w="1474" w:type="dxa"/>
            <w:shd w:val="clear" w:color="auto" w:fill="CCDBEA"/>
          </w:tcPr>
          <w:p>
            <w:pPr>
              <w:pStyle w:val="TableParagraph"/>
              <w:spacing w:before="86"/>
              <w:ind w:left="107"/>
              <w:rPr>
                <w:sz w:val="20"/>
              </w:rPr>
            </w:pPr>
            <w:r>
              <w:rPr>
                <w:spacing w:val="-2"/>
                <w:sz w:val="20"/>
              </w:rPr>
              <w:t>Hotspur</w:t>
            </w:r>
          </w:p>
        </w:tc>
        <w:tc>
          <w:tcPr>
            <w:tcW w:w="2578" w:type="dxa"/>
          </w:tcPr>
          <w:p>
            <w:pPr>
              <w:pStyle w:val="TableParagraph"/>
              <w:spacing w:before="26"/>
              <w:ind w:right="1"/>
              <w:jc w:val="center"/>
              <w:rPr>
                <w:sz w:val="20"/>
              </w:rPr>
            </w:pPr>
            <w:r>
              <w:rPr>
                <w:spacing w:val="-4"/>
                <w:sz w:val="20"/>
              </w:rPr>
              <w:t>32.5</w:t>
            </w:r>
          </w:p>
        </w:tc>
        <w:tc>
          <w:tcPr>
            <w:tcW w:w="1560" w:type="dxa"/>
            <w:shd w:val="clear" w:color="auto" w:fill="CCDBEA"/>
          </w:tcPr>
          <w:p>
            <w:pPr>
              <w:pStyle w:val="TableParagraph"/>
              <w:spacing w:before="26"/>
              <w:ind w:left="3" w:right="6"/>
              <w:jc w:val="center"/>
              <w:rPr>
                <w:sz w:val="20"/>
              </w:rPr>
            </w:pPr>
            <w:r>
              <w:rPr>
                <w:spacing w:val="-5"/>
                <w:sz w:val="20"/>
              </w:rPr>
              <w:t>90</w:t>
            </w:r>
          </w:p>
        </w:tc>
        <w:tc>
          <w:tcPr>
            <w:tcW w:w="1702" w:type="dxa"/>
          </w:tcPr>
          <w:p>
            <w:pPr>
              <w:pStyle w:val="TableParagraph"/>
              <w:spacing w:before="26"/>
              <w:ind w:left="163" w:right="165"/>
              <w:jc w:val="center"/>
              <w:rPr>
                <w:sz w:val="20"/>
              </w:rPr>
            </w:pPr>
            <w:r>
              <w:rPr>
                <w:spacing w:val="-5"/>
                <w:sz w:val="20"/>
              </w:rPr>
              <w:t>7.5</w:t>
            </w:r>
          </w:p>
        </w:tc>
      </w:tr>
      <w:tr>
        <w:trPr>
          <w:trHeight w:val="376" w:hRule="atLeast"/>
        </w:trPr>
        <w:tc>
          <w:tcPr>
            <w:tcW w:w="1904" w:type="dxa"/>
            <w:tcBorders>
              <w:bottom w:val="single" w:sz="4" w:space="0" w:color="2C908B"/>
            </w:tcBorders>
          </w:tcPr>
          <w:p>
            <w:pPr>
              <w:pStyle w:val="TableParagraph"/>
              <w:spacing w:before="85"/>
              <w:ind w:left="107"/>
              <w:rPr>
                <w:sz w:val="20"/>
              </w:rPr>
            </w:pPr>
            <w:r>
              <w:rPr>
                <w:sz w:val="20"/>
              </w:rPr>
              <w:t>No</w:t>
            </w:r>
            <w:r>
              <w:rPr>
                <w:spacing w:val="-6"/>
                <w:sz w:val="20"/>
              </w:rPr>
              <w:t> </w:t>
            </w:r>
            <w:r>
              <w:rPr>
                <w:sz w:val="20"/>
              </w:rPr>
              <w:t>fox</w:t>
            </w:r>
            <w:r>
              <w:rPr>
                <w:spacing w:val="-4"/>
                <w:sz w:val="20"/>
              </w:rPr>
              <w:t> </w:t>
            </w:r>
            <w:r>
              <w:rPr>
                <w:spacing w:val="-2"/>
                <w:sz w:val="20"/>
              </w:rPr>
              <w:t>control</w:t>
            </w:r>
          </w:p>
        </w:tc>
        <w:tc>
          <w:tcPr>
            <w:tcW w:w="1474" w:type="dxa"/>
            <w:tcBorders>
              <w:bottom w:val="single" w:sz="4" w:space="0" w:color="2C908B"/>
            </w:tcBorders>
            <w:shd w:val="clear" w:color="auto" w:fill="CCDBEA"/>
          </w:tcPr>
          <w:p>
            <w:pPr>
              <w:pStyle w:val="TableParagraph"/>
              <w:spacing w:before="85"/>
              <w:ind w:left="107"/>
              <w:rPr>
                <w:sz w:val="20"/>
              </w:rPr>
            </w:pPr>
            <w:r>
              <w:rPr>
                <w:spacing w:val="-2"/>
                <w:sz w:val="20"/>
              </w:rPr>
              <w:t>LGNP-north</w:t>
            </w:r>
          </w:p>
        </w:tc>
        <w:tc>
          <w:tcPr>
            <w:tcW w:w="2578" w:type="dxa"/>
            <w:tcBorders>
              <w:bottom w:val="single" w:sz="4" w:space="0" w:color="2C908B"/>
            </w:tcBorders>
          </w:tcPr>
          <w:p>
            <w:pPr>
              <w:pStyle w:val="TableParagraph"/>
              <w:spacing w:before="25"/>
              <w:ind w:right="1"/>
              <w:jc w:val="center"/>
              <w:rPr>
                <w:sz w:val="20"/>
              </w:rPr>
            </w:pPr>
            <w:r>
              <w:rPr>
                <w:spacing w:val="-5"/>
                <w:sz w:val="20"/>
              </w:rPr>
              <w:t>2.5</w:t>
            </w:r>
          </w:p>
        </w:tc>
        <w:tc>
          <w:tcPr>
            <w:tcW w:w="1560" w:type="dxa"/>
            <w:tcBorders>
              <w:bottom w:val="single" w:sz="4" w:space="0" w:color="2C908B"/>
            </w:tcBorders>
            <w:shd w:val="clear" w:color="auto" w:fill="CCDBEA"/>
          </w:tcPr>
          <w:p>
            <w:pPr>
              <w:pStyle w:val="TableParagraph"/>
              <w:spacing w:before="25"/>
              <w:ind w:left="3" w:right="6"/>
              <w:jc w:val="center"/>
              <w:rPr>
                <w:sz w:val="20"/>
              </w:rPr>
            </w:pPr>
            <w:r>
              <w:rPr>
                <w:spacing w:val="-5"/>
                <w:sz w:val="20"/>
              </w:rPr>
              <w:t>199</w:t>
            </w:r>
          </w:p>
        </w:tc>
        <w:tc>
          <w:tcPr>
            <w:tcW w:w="1702" w:type="dxa"/>
            <w:tcBorders>
              <w:bottom w:val="single" w:sz="4" w:space="0" w:color="2C908B"/>
            </w:tcBorders>
          </w:tcPr>
          <w:p>
            <w:pPr>
              <w:pStyle w:val="TableParagraph"/>
              <w:spacing w:before="25"/>
              <w:ind w:left="163" w:right="166"/>
              <w:jc w:val="center"/>
              <w:rPr>
                <w:sz w:val="20"/>
              </w:rPr>
            </w:pPr>
            <w:r>
              <w:rPr>
                <w:spacing w:val="-4"/>
                <w:sz w:val="20"/>
              </w:rPr>
              <w:t>18.5</w:t>
            </w:r>
          </w:p>
        </w:tc>
      </w:tr>
    </w:tbl>
    <w:p>
      <w:pPr>
        <w:spacing w:before="87"/>
        <w:ind w:left="1132" w:right="0" w:firstLine="0"/>
        <w:jc w:val="left"/>
        <w:rPr>
          <w:sz w:val="18"/>
        </w:rPr>
      </w:pPr>
      <w:r>
        <w:rPr>
          <w:sz w:val="18"/>
        </w:rPr>
        <w:t>LGNP-north:</w:t>
      </w:r>
      <w:r>
        <w:rPr>
          <w:spacing w:val="-3"/>
          <w:sz w:val="18"/>
        </w:rPr>
        <w:t> </w:t>
      </w:r>
      <w:r>
        <w:rPr>
          <w:sz w:val="18"/>
        </w:rPr>
        <w:t>Lower</w:t>
      </w:r>
      <w:r>
        <w:rPr>
          <w:spacing w:val="-3"/>
          <w:sz w:val="18"/>
        </w:rPr>
        <w:t> </w:t>
      </w:r>
      <w:r>
        <w:rPr>
          <w:sz w:val="18"/>
        </w:rPr>
        <w:t>Glenelg</w:t>
      </w:r>
      <w:r>
        <w:rPr>
          <w:spacing w:val="-5"/>
          <w:sz w:val="18"/>
        </w:rPr>
        <w:t> </w:t>
      </w:r>
      <w:r>
        <w:rPr>
          <w:sz w:val="18"/>
        </w:rPr>
        <w:t>National</w:t>
      </w:r>
      <w:r>
        <w:rPr>
          <w:spacing w:val="-4"/>
          <w:sz w:val="18"/>
        </w:rPr>
        <w:t> </w:t>
      </w:r>
      <w:r>
        <w:rPr>
          <w:sz w:val="18"/>
        </w:rPr>
        <w:t>Park</w:t>
      </w:r>
      <w:r>
        <w:rPr>
          <w:spacing w:val="1"/>
          <w:sz w:val="18"/>
        </w:rPr>
        <w:t> </w:t>
      </w:r>
      <w:r>
        <w:rPr>
          <w:sz w:val="18"/>
        </w:rPr>
        <w:t>–</w:t>
      </w:r>
      <w:r>
        <w:rPr>
          <w:spacing w:val="-5"/>
          <w:sz w:val="18"/>
        </w:rPr>
        <w:t> </w:t>
      </w:r>
      <w:r>
        <w:rPr>
          <w:sz w:val="18"/>
        </w:rPr>
        <w:t>North;</w:t>
      </w:r>
      <w:r>
        <w:rPr>
          <w:spacing w:val="-5"/>
          <w:sz w:val="18"/>
        </w:rPr>
        <w:t> </w:t>
      </w:r>
      <w:r>
        <w:rPr>
          <w:sz w:val="18"/>
        </w:rPr>
        <w:t>LGNP-south:</w:t>
      </w:r>
      <w:r>
        <w:rPr>
          <w:spacing w:val="-3"/>
          <w:sz w:val="18"/>
        </w:rPr>
        <w:t> </w:t>
      </w:r>
      <w:r>
        <w:rPr>
          <w:sz w:val="18"/>
        </w:rPr>
        <w:t>Lower</w:t>
      </w:r>
      <w:r>
        <w:rPr>
          <w:spacing w:val="-3"/>
          <w:sz w:val="18"/>
        </w:rPr>
        <w:t> </w:t>
      </w:r>
      <w:r>
        <w:rPr>
          <w:sz w:val="18"/>
        </w:rPr>
        <w:t>Glenelg</w:t>
      </w:r>
      <w:r>
        <w:rPr>
          <w:spacing w:val="-5"/>
          <w:sz w:val="18"/>
        </w:rPr>
        <w:t> </w:t>
      </w:r>
      <w:r>
        <w:rPr>
          <w:sz w:val="18"/>
        </w:rPr>
        <w:t>National</w:t>
      </w:r>
      <w:r>
        <w:rPr>
          <w:spacing w:val="-5"/>
          <w:sz w:val="18"/>
        </w:rPr>
        <w:t> </w:t>
      </w:r>
      <w:r>
        <w:rPr>
          <w:sz w:val="18"/>
        </w:rPr>
        <w:t>Park</w:t>
      </w:r>
      <w:r>
        <w:rPr>
          <w:spacing w:val="-1"/>
          <w:sz w:val="18"/>
        </w:rPr>
        <w:t> </w:t>
      </w:r>
      <w:r>
        <w:rPr>
          <w:sz w:val="18"/>
        </w:rPr>
        <w:t>–</w:t>
      </w:r>
      <w:r>
        <w:rPr>
          <w:spacing w:val="-2"/>
          <w:sz w:val="18"/>
        </w:rPr>
        <w:t> South.</w:t>
      </w:r>
    </w:p>
    <w:p>
      <w:pPr>
        <w:pStyle w:val="BodyText"/>
        <w:spacing w:before="152"/>
        <w:ind w:left="1132" w:right="1204"/>
      </w:pPr>
      <w:r>
        <w:rPr/>
        <w:t>There were differences in the feral cat activity index across locations (Figure 13), but these differences did not</w:t>
      </w:r>
      <w:r>
        <w:rPr>
          <w:spacing w:val="-3"/>
        </w:rPr>
        <w:t> </w:t>
      </w:r>
      <w:r>
        <w:rPr/>
        <w:t>relate</w:t>
      </w:r>
      <w:r>
        <w:rPr>
          <w:spacing w:val="-1"/>
        </w:rPr>
        <w:t> </w:t>
      </w:r>
      <w:r>
        <w:rPr/>
        <w:t>to</w:t>
      </w:r>
      <w:r>
        <w:rPr>
          <w:spacing w:val="-4"/>
        </w:rPr>
        <w:t> </w:t>
      </w:r>
      <w:r>
        <w:rPr/>
        <w:t>treatment.</w:t>
      </w:r>
      <w:r>
        <w:rPr>
          <w:spacing w:val="-1"/>
        </w:rPr>
        <w:t> </w:t>
      </w:r>
      <w:r>
        <w:rPr/>
        <w:t>The</w:t>
      </w:r>
      <w:r>
        <w:rPr>
          <w:spacing w:val="-1"/>
        </w:rPr>
        <w:t> </w:t>
      </w:r>
      <w:r>
        <w:rPr/>
        <w:t>feral</w:t>
      </w:r>
      <w:r>
        <w:rPr>
          <w:spacing w:val="-4"/>
        </w:rPr>
        <w:t> </w:t>
      </w:r>
      <w:r>
        <w:rPr/>
        <w:t>cat</w:t>
      </w:r>
      <w:r>
        <w:rPr>
          <w:spacing w:val="-3"/>
        </w:rPr>
        <w:t> </w:t>
      </w:r>
      <w:r>
        <w:rPr/>
        <w:t>activity</w:t>
      </w:r>
      <w:r>
        <w:rPr>
          <w:spacing w:val="-2"/>
        </w:rPr>
        <w:t> </w:t>
      </w:r>
      <w:r>
        <w:rPr/>
        <w:t>index</w:t>
      </w:r>
      <w:r>
        <w:rPr>
          <w:spacing w:val="-2"/>
        </w:rPr>
        <w:t> </w:t>
      </w:r>
      <w:r>
        <w:rPr/>
        <w:t>was</w:t>
      </w:r>
      <w:r>
        <w:rPr>
          <w:spacing w:val="-2"/>
        </w:rPr>
        <w:t> </w:t>
      </w:r>
      <w:r>
        <w:rPr/>
        <w:t>similar in</w:t>
      </w:r>
      <w:r>
        <w:rPr>
          <w:spacing w:val="-3"/>
        </w:rPr>
        <w:t> </w:t>
      </w:r>
      <w:r>
        <w:rPr/>
        <w:t>the</w:t>
      </w:r>
      <w:r>
        <w:rPr>
          <w:spacing w:val="-3"/>
        </w:rPr>
        <w:t> </w:t>
      </w:r>
      <w:r>
        <w:rPr/>
        <w:t>average</w:t>
      </w:r>
      <w:r>
        <w:rPr>
          <w:spacing w:val="-3"/>
        </w:rPr>
        <w:t> </w:t>
      </w:r>
      <w:r>
        <w:rPr/>
        <w:t>FCMLs</w:t>
      </w:r>
      <w:r>
        <w:rPr>
          <w:spacing w:val="-1"/>
        </w:rPr>
        <w:t> </w:t>
      </w:r>
      <w:r>
        <w:rPr/>
        <w:t>and</w:t>
      </w:r>
      <w:r>
        <w:rPr>
          <w:spacing w:val="-1"/>
        </w:rPr>
        <w:t> </w:t>
      </w:r>
      <w:r>
        <w:rPr/>
        <w:t>NFCMLs,</w:t>
      </w:r>
      <w:r>
        <w:rPr>
          <w:spacing w:val="-1"/>
        </w:rPr>
        <w:t> </w:t>
      </w:r>
      <w:r>
        <w:rPr/>
        <w:t>with</w:t>
      </w:r>
      <w:r>
        <w:rPr>
          <w:spacing w:val="-3"/>
        </w:rPr>
        <w:t> </w:t>
      </w:r>
      <w:r>
        <w:rPr/>
        <w:t>the former being 9% larger (95% CI: -20–47%).</w:t>
      </w:r>
    </w:p>
    <w:p>
      <w:pPr>
        <w:pStyle w:val="BodyText"/>
        <w:spacing w:after="0"/>
        <w:sectPr>
          <w:footerReference w:type="default" r:id="rId56"/>
          <w:pgSz w:w="11910" w:h="16850"/>
          <w:pgMar w:header="0" w:footer="688" w:top="1060" w:bottom="880" w:left="0" w:right="0"/>
        </w:sectPr>
      </w:pPr>
    </w:p>
    <w:p>
      <w:pPr>
        <w:spacing w:line="240" w:lineRule="auto"/>
        <w:ind w:left="1240" w:right="0" w:firstLine="0"/>
        <w:rPr>
          <w:sz w:val="20"/>
        </w:rPr>
      </w:pPr>
      <w:r>
        <w:rPr>
          <w:sz w:val="20"/>
        </w:rPr>
        <w:drawing>
          <wp:inline distT="0" distB="0" distL="0" distR="0">
            <wp:extent cx="3901018" cy="4158615"/>
            <wp:effectExtent l="0" t="0" r="0" b="0"/>
            <wp:docPr id="120" name="Image 120" descr="A graph of different types of activity  Description automatically generated"/>
            <wp:cNvGraphicFramePr>
              <a:graphicFrameLocks/>
            </wp:cNvGraphicFramePr>
            <a:graphic>
              <a:graphicData uri="http://schemas.openxmlformats.org/drawingml/2006/picture">
                <pic:pic>
                  <pic:nvPicPr>
                    <pic:cNvPr id="120" name="Image 120" descr="A graph of different types of activity  Description automatically generated"/>
                    <pic:cNvPicPr/>
                  </pic:nvPicPr>
                  <pic:blipFill>
                    <a:blip r:embed="rId58" cstate="print"/>
                    <a:stretch>
                      <a:fillRect/>
                    </a:stretch>
                  </pic:blipFill>
                  <pic:spPr>
                    <a:xfrm>
                      <a:off x="0" y="0"/>
                      <a:ext cx="3901018" cy="4158615"/>
                    </a:xfrm>
                    <a:prstGeom prst="rect">
                      <a:avLst/>
                    </a:prstGeom>
                  </pic:spPr>
                </pic:pic>
              </a:graphicData>
            </a:graphic>
          </wp:inline>
        </w:drawing>
      </w:r>
      <w:r>
        <w:rPr>
          <w:sz w:val="20"/>
        </w:rPr>
      </w:r>
    </w:p>
    <w:p>
      <w:pPr>
        <w:pStyle w:val="BodyText"/>
        <w:spacing w:before="44"/>
      </w:pPr>
    </w:p>
    <w:p>
      <w:pPr>
        <w:pStyle w:val="Heading5"/>
        <w:spacing w:before="1"/>
      </w:pPr>
      <w:bookmarkStart w:name="_bookmark15" w:id="33"/>
      <w:bookmarkEnd w:id="33"/>
      <w:r>
        <w:rPr>
          <w:b w:val="0"/>
        </w:rPr>
      </w:r>
      <w:r>
        <w:rPr>
          <w:color w:val="1F1546"/>
        </w:rPr>
        <w:t>Figure</w:t>
      </w:r>
      <w:r>
        <w:rPr>
          <w:color w:val="1F1546"/>
          <w:spacing w:val="-6"/>
        </w:rPr>
        <w:t> </w:t>
      </w:r>
      <w:r>
        <w:rPr>
          <w:color w:val="1F1546"/>
        </w:rPr>
        <w:t>13.</w:t>
      </w:r>
      <w:r>
        <w:rPr>
          <w:color w:val="1F1546"/>
          <w:spacing w:val="-6"/>
        </w:rPr>
        <w:t> </w:t>
      </w:r>
      <w:r>
        <w:rPr>
          <w:color w:val="1F1546"/>
        </w:rPr>
        <w:t>The</w:t>
      </w:r>
      <w:r>
        <w:rPr>
          <w:color w:val="1F1546"/>
          <w:spacing w:val="-6"/>
        </w:rPr>
        <w:t> </w:t>
      </w:r>
      <w:r>
        <w:rPr>
          <w:color w:val="1F1546"/>
        </w:rPr>
        <w:t>modelled</w:t>
      </w:r>
      <w:r>
        <w:rPr>
          <w:color w:val="1F1546"/>
          <w:spacing w:val="-6"/>
        </w:rPr>
        <w:t> </w:t>
      </w:r>
      <w:r>
        <w:rPr>
          <w:color w:val="1F1546"/>
        </w:rPr>
        <w:t>feral</w:t>
      </w:r>
      <w:r>
        <w:rPr>
          <w:color w:val="1F1546"/>
          <w:spacing w:val="-4"/>
        </w:rPr>
        <w:t> </w:t>
      </w:r>
      <w:r>
        <w:rPr>
          <w:color w:val="1F1546"/>
        </w:rPr>
        <w:t>cat</w:t>
      </w:r>
      <w:r>
        <w:rPr>
          <w:color w:val="1F1546"/>
          <w:spacing w:val="-6"/>
        </w:rPr>
        <w:t> </w:t>
      </w:r>
      <w:r>
        <w:rPr>
          <w:color w:val="1F1546"/>
        </w:rPr>
        <w:t>activity</w:t>
      </w:r>
      <w:r>
        <w:rPr>
          <w:color w:val="1F1546"/>
          <w:spacing w:val="-4"/>
        </w:rPr>
        <w:t> </w:t>
      </w:r>
      <w:r>
        <w:rPr>
          <w:color w:val="1F1546"/>
        </w:rPr>
        <w:t>index</w:t>
      </w:r>
      <w:r>
        <w:rPr>
          <w:color w:val="1F1546"/>
          <w:spacing w:val="-6"/>
        </w:rPr>
        <w:t> </w:t>
      </w:r>
      <w:r>
        <w:rPr>
          <w:color w:val="1F1546"/>
        </w:rPr>
        <w:t>at</w:t>
      </w:r>
      <w:r>
        <w:rPr>
          <w:color w:val="1F1546"/>
          <w:spacing w:val="-6"/>
        </w:rPr>
        <w:t> </w:t>
      </w:r>
      <w:r>
        <w:rPr>
          <w:color w:val="1F1546"/>
        </w:rPr>
        <w:t>each</w:t>
      </w:r>
      <w:r>
        <w:rPr>
          <w:color w:val="1F1546"/>
          <w:spacing w:val="-5"/>
        </w:rPr>
        <w:t> </w:t>
      </w:r>
      <w:r>
        <w:rPr>
          <w:color w:val="1F1546"/>
        </w:rPr>
        <w:t>location</w:t>
      </w:r>
      <w:r>
        <w:rPr>
          <w:color w:val="1F1546"/>
          <w:spacing w:val="-6"/>
        </w:rPr>
        <w:t> </w:t>
      </w:r>
      <w:r>
        <w:rPr>
          <w:color w:val="1F1546"/>
        </w:rPr>
        <w:t>over</w:t>
      </w:r>
      <w:r>
        <w:rPr>
          <w:color w:val="1F1546"/>
          <w:spacing w:val="-4"/>
        </w:rPr>
        <w:t> </w:t>
      </w:r>
      <w:r>
        <w:rPr>
          <w:color w:val="1F1546"/>
          <w:spacing w:val="-2"/>
        </w:rPr>
        <w:t>time.</w:t>
      </w:r>
    </w:p>
    <w:p>
      <w:pPr>
        <w:spacing w:before="120"/>
        <w:ind w:left="1132" w:right="1204" w:firstLine="0"/>
        <w:jc w:val="left"/>
        <w:rPr>
          <w:sz w:val="18"/>
        </w:rPr>
      </w:pPr>
      <w:r>
        <w:rPr>
          <w:sz w:val="18"/>
        </w:rPr>
        <w:t>The</w:t>
      </w:r>
      <w:r>
        <w:rPr>
          <w:spacing w:val="-2"/>
          <w:sz w:val="18"/>
        </w:rPr>
        <w:t> </w:t>
      </w:r>
      <w:r>
        <w:rPr>
          <w:sz w:val="18"/>
        </w:rPr>
        <w:t>dots</w:t>
      </w:r>
      <w:r>
        <w:rPr>
          <w:spacing w:val="-3"/>
          <w:sz w:val="18"/>
        </w:rPr>
        <w:t> </w:t>
      </w:r>
      <w:r>
        <w:rPr>
          <w:sz w:val="18"/>
        </w:rPr>
        <w:t>indicate</w:t>
      </w:r>
      <w:r>
        <w:rPr>
          <w:spacing w:val="-1"/>
          <w:sz w:val="18"/>
        </w:rPr>
        <w:t> </w:t>
      </w:r>
      <w:r>
        <w:rPr>
          <w:sz w:val="18"/>
        </w:rPr>
        <w:t>the</w:t>
      </w:r>
      <w:r>
        <w:rPr>
          <w:spacing w:val="-2"/>
          <w:sz w:val="18"/>
        </w:rPr>
        <w:t> </w:t>
      </w:r>
      <w:r>
        <w:rPr>
          <w:sz w:val="18"/>
        </w:rPr>
        <w:t>observed</w:t>
      </w:r>
      <w:r>
        <w:rPr>
          <w:spacing w:val="-2"/>
          <w:sz w:val="18"/>
        </w:rPr>
        <w:t> </w:t>
      </w:r>
      <w:r>
        <w:rPr>
          <w:sz w:val="18"/>
        </w:rPr>
        <w:t>feral</w:t>
      </w:r>
      <w:r>
        <w:rPr>
          <w:spacing w:val="-2"/>
          <w:sz w:val="18"/>
        </w:rPr>
        <w:t> </w:t>
      </w:r>
      <w:r>
        <w:rPr>
          <w:sz w:val="18"/>
        </w:rPr>
        <w:t>cat</w:t>
      </w:r>
      <w:r>
        <w:rPr>
          <w:spacing w:val="-2"/>
          <w:sz w:val="18"/>
        </w:rPr>
        <w:t> </w:t>
      </w:r>
      <w:r>
        <w:rPr>
          <w:sz w:val="18"/>
        </w:rPr>
        <w:t>activity</w:t>
      </w:r>
      <w:r>
        <w:rPr>
          <w:spacing w:val="-1"/>
          <w:sz w:val="18"/>
        </w:rPr>
        <w:t> </w:t>
      </w:r>
      <w:r>
        <w:rPr>
          <w:sz w:val="18"/>
        </w:rPr>
        <w:t>indices,</w:t>
      </w:r>
      <w:r>
        <w:rPr>
          <w:spacing w:val="-4"/>
          <w:sz w:val="18"/>
        </w:rPr>
        <w:t> </w:t>
      </w:r>
      <w:r>
        <w:rPr>
          <w:sz w:val="18"/>
        </w:rPr>
        <w:t>the</w:t>
      </w:r>
      <w:r>
        <w:rPr>
          <w:spacing w:val="-4"/>
          <w:sz w:val="18"/>
        </w:rPr>
        <w:t> </w:t>
      </w:r>
      <w:r>
        <w:rPr>
          <w:sz w:val="18"/>
        </w:rPr>
        <w:t>lines</w:t>
      </w:r>
      <w:r>
        <w:rPr>
          <w:spacing w:val="-3"/>
          <w:sz w:val="18"/>
        </w:rPr>
        <w:t> </w:t>
      </w:r>
      <w:r>
        <w:rPr>
          <w:sz w:val="18"/>
        </w:rPr>
        <w:t>represent</w:t>
      </w:r>
      <w:r>
        <w:rPr>
          <w:spacing w:val="-1"/>
          <w:sz w:val="18"/>
        </w:rPr>
        <w:t> </w:t>
      </w:r>
      <w:r>
        <w:rPr>
          <w:sz w:val="18"/>
        </w:rPr>
        <w:t>the</w:t>
      </w:r>
      <w:r>
        <w:rPr>
          <w:spacing w:val="-2"/>
          <w:sz w:val="18"/>
        </w:rPr>
        <w:t> </w:t>
      </w:r>
      <w:r>
        <w:rPr>
          <w:sz w:val="18"/>
        </w:rPr>
        <w:t>model</w:t>
      </w:r>
      <w:r>
        <w:rPr>
          <w:spacing w:val="-3"/>
          <w:sz w:val="18"/>
        </w:rPr>
        <w:t> </w:t>
      </w:r>
      <w:r>
        <w:rPr>
          <w:sz w:val="18"/>
        </w:rPr>
        <w:t>medians,</w:t>
      </w:r>
      <w:r>
        <w:rPr>
          <w:spacing w:val="-4"/>
          <w:sz w:val="18"/>
        </w:rPr>
        <w:t> </w:t>
      </w:r>
      <w:r>
        <w:rPr>
          <w:sz w:val="18"/>
        </w:rPr>
        <w:t>and</w:t>
      </w:r>
      <w:r>
        <w:rPr>
          <w:spacing w:val="-4"/>
          <w:sz w:val="18"/>
        </w:rPr>
        <w:t> </w:t>
      </w:r>
      <w:r>
        <w:rPr>
          <w:sz w:val="18"/>
        </w:rPr>
        <w:t>the</w:t>
      </w:r>
      <w:r>
        <w:rPr>
          <w:spacing w:val="-4"/>
          <w:sz w:val="18"/>
        </w:rPr>
        <w:t> </w:t>
      </w:r>
      <w:r>
        <w:rPr>
          <w:sz w:val="18"/>
        </w:rPr>
        <w:t>shaded</w:t>
      </w:r>
      <w:r>
        <w:rPr>
          <w:spacing w:val="-2"/>
          <w:sz w:val="18"/>
        </w:rPr>
        <w:t> </w:t>
      </w:r>
      <w:r>
        <w:rPr>
          <w:sz w:val="18"/>
        </w:rPr>
        <w:t>regions represent the 95% credible intervals.</w:t>
      </w:r>
    </w:p>
    <w:p>
      <w:pPr>
        <w:pStyle w:val="BodyText"/>
        <w:spacing w:before="177"/>
        <w:rPr>
          <w:sz w:val="18"/>
        </w:rPr>
      </w:pPr>
    </w:p>
    <w:p>
      <w:pPr>
        <w:pStyle w:val="Heading3"/>
        <w:numPr>
          <w:ilvl w:val="1"/>
          <w:numId w:val="9"/>
        </w:numPr>
        <w:tabs>
          <w:tab w:pos="1853" w:val="left" w:leader="none"/>
        </w:tabs>
        <w:spacing w:line="240" w:lineRule="auto" w:before="0" w:after="0"/>
        <w:ind w:left="1853" w:right="0" w:hanging="721"/>
        <w:jc w:val="left"/>
      </w:pPr>
      <w:bookmarkStart w:name="_TOC_250003" w:id="34"/>
      <w:r>
        <w:rPr>
          <w:color w:val="2D1E66"/>
        </w:rPr>
        <w:t>Other</w:t>
      </w:r>
      <w:r>
        <w:rPr>
          <w:color w:val="2D1E66"/>
          <w:spacing w:val="-4"/>
        </w:rPr>
        <w:t> </w:t>
      </w:r>
      <w:r>
        <w:rPr>
          <w:color w:val="2D1E66"/>
        </w:rPr>
        <w:t>species’</w:t>
      </w:r>
      <w:r>
        <w:rPr>
          <w:color w:val="2D1E66"/>
          <w:spacing w:val="-4"/>
        </w:rPr>
        <w:t> </w:t>
      </w:r>
      <w:r>
        <w:rPr>
          <w:color w:val="2D1E66"/>
        </w:rPr>
        <w:t>naïve</w:t>
      </w:r>
      <w:r>
        <w:rPr>
          <w:color w:val="2D1E66"/>
          <w:spacing w:val="-5"/>
        </w:rPr>
        <w:t> </w:t>
      </w:r>
      <w:bookmarkEnd w:id="34"/>
      <w:r>
        <w:rPr>
          <w:color w:val="2D1E66"/>
          <w:spacing w:val="-2"/>
        </w:rPr>
        <w:t>occupancy</w:t>
      </w:r>
    </w:p>
    <w:p>
      <w:pPr>
        <w:pStyle w:val="BodyText"/>
        <w:spacing w:before="112"/>
        <w:ind w:left="1132" w:right="1185"/>
      </w:pPr>
      <w:r>
        <w:rPr/>
        <w:t>Forty native and introduced species (not including the three native target species, foxes or feral cats) were detected on cameras from 2013 to 2023, including four introduced mammal, 6 marsupial, 1 monotreme, 1 rodent, 1 reptile, and 23 bird species (Figure A1). Several other species were also detected intermittently during this time; however, we only presented data for species that were detected for at least 6 of the 11 years</w:t>
      </w:r>
      <w:r>
        <w:rPr>
          <w:spacing w:val="-2"/>
        </w:rPr>
        <w:t> </w:t>
      </w:r>
      <w:r>
        <w:rPr/>
        <w:t>of</w:t>
      </w:r>
      <w:r>
        <w:rPr>
          <w:spacing w:val="-3"/>
        </w:rPr>
        <w:t> </w:t>
      </w:r>
      <w:r>
        <w:rPr/>
        <w:t>camera trapping.</w:t>
      </w:r>
      <w:r>
        <w:rPr>
          <w:spacing w:val="-1"/>
        </w:rPr>
        <w:t> </w:t>
      </w:r>
      <w:r>
        <w:rPr/>
        <w:t>The</w:t>
      </w:r>
      <w:r>
        <w:rPr>
          <w:spacing w:val="-4"/>
        </w:rPr>
        <w:t> </w:t>
      </w:r>
      <w:r>
        <w:rPr/>
        <w:t>mean</w:t>
      </w:r>
      <w:r>
        <w:rPr>
          <w:spacing w:val="-1"/>
        </w:rPr>
        <w:t> </w:t>
      </w:r>
      <w:r>
        <w:rPr/>
        <w:t>naïve</w:t>
      </w:r>
      <w:r>
        <w:rPr>
          <w:spacing w:val="-1"/>
        </w:rPr>
        <w:t> </w:t>
      </w:r>
      <w:r>
        <w:rPr/>
        <w:t>occupancy</w:t>
      </w:r>
      <w:r>
        <w:rPr>
          <w:spacing w:val="-2"/>
        </w:rPr>
        <w:t> </w:t>
      </w:r>
      <w:r>
        <w:rPr/>
        <w:t>(percentage</w:t>
      </w:r>
      <w:r>
        <w:rPr>
          <w:spacing w:val="-3"/>
        </w:rPr>
        <w:t> </w:t>
      </w:r>
      <w:r>
        <w:rPr/>
        <w:t>of</w:t>
      </w:r>
      <w:r>
        <w:rPr>
          <w:spacing w:val="-1"/>
        </w:rPr>
        <w:t> </w:t>
      </w:r>
      <w:r>
        <w:rPr/>
        <w:t>sites</w:t>
      </w:r>
      <w:r>
        <w:rPr>
          <w:spacing w:val="-2"/>
        </w:rPr>
        <w:t> </w:t>
      </w:r>
      <w:r>
        <w:rPr/>
        <w:t>at</w:t>
      </w:r>
      <w:r>
        <w:rPr>
          <w:spacing w:val="-3"/>
        </w:rPr>
        <w:t> </w:t>
      </w:r>
      <w:r>
        <w:rPr/>
        <w:t>which</w:t>
      </w:r>
      <w:r>
        <w:rPr>
          <w:spacing w:val="-3"/>
        </w:rPr>
        <w:t> </w:t>
      </w:r>
      <w:r>
        <w:rPr/>
        <w:t>a</w:t>
      </w:r>
      <w:r>
        <w:rPr>
          <w:spacing w:val="-4"/>
        </w:rPr>
        <w:t> </w:t>
      </w:r>
      <w:r>
        <w:rPr/>
        <w:t>species</w:t>
      </w:r>
      <w:r>
        <w:rPr>
          <w:spacing w:val="-2"/>
        </w:rPr>
        <w:t> </w:t>
      </w:r>
      <w:r>
        <w:rPr/>
        <w:t>was</w:t>
      </w:r>
      <w:r>
        <w:rPr>
          <w:spacing w:val="-2"/>
        </w:rPr>
        <w:t> </w:t>
      </w:r>
      <w:r>
        <w:rPr/>
        <w:t>detected) was higher at fox-control sites for Short-beaked Echidna (</w:t>
      </w:r>
      <w:r>
        <w:rPr>
          <w:i/>
        </w:rPr>
        <w:t>Tachyglossus aculeatus) </w:t>
      </w:r>
      <w:r>
        <w:rPr/>
        <w:t>(Figure A1). The mean naïve</w:t>
      </w:r>
      <w:r>
        <w:rPr>
          <w:spacing w:val="-4"/>
        </w:rPr>
        <w:t> </w:t>
      </w:r>
      <w:r>
        <w:rPr/>
        <w:t>occupancy</w:t>
      </w:r>
      <w:r>
        <w:rPr>
          <w:spacing w:val="-3"/>
        </w:rPr>
        <w:t> </w:t>
      </w:r>
      <w:r>
        <w:rPr/>
        <w:t>was</w:t>
      </w:r>
      <w:r>
        <w:rPr>
          <w:spacing w:val="-3"/>
        </w:rPr>
        <w:t> </w:t>
      </w:r>
      <w:r>
        <w:rPr/>
        <w:t>higher</w:t>
      </w:r>
      <w:r>
        <w:rPr>
          <w:spacing w:val="-4"/>
        </w:rPr>
        <w:t> </w:t>
      </w:r>
      <w:r>
        <w:rPr/>
        <w:t>at</w:t>
      </w:r>
      <w:r>
        <w:rPr>
          <w:spacing w:val="-1"/>
        </w:rPr>
        <w:t> </w:t>
      </w:r>
      <w:r>
        <w:rPr/>
        <w:t>sites</w:t>
      </w:r>
      <w:r>
        <w:rPr>
          <w:spacing w:val="-3"/>
        </w:rPr>
        <w:t> </w:t>
      </w:r>
      <w:r>
        <w:rPr/>
        <w:t>in</w:t>
      </w:r>
      <w:r>
        <w:rPr>
          <w:spacing w:val="-2"/>
        </w:rPr>
        <w:t> </w:t>
      </w:r>
      <w:r>
        <w:rPr/>
        <w:t>NFCMLs</w:t>
      </w:r>
      <w:r>
        <w:rPr>
          <w:spacing w:val="-1"/>
        </w:rPr>
        <w:t> </w:t>
      </w:r>
      <w:r>
        <w:rPr/>
        <w:t>than</w:t>
      </w:r>
      <w:r>
        <w:rPr>
          <w:spacing w:val="-2"/>
        </w:rPr>
        <w:t> </w:t>
      </w:r>
      <w:r>
        <w:rPr/>
        <w:t>at</w:t>
      </w:r>
      <w:r>
        <w:rPr>
          <w:spacing w:val="-4"/>
        </w:rPr>
        <w:t> </w:t>
      </w:r>
      <w:r>
        <w:rPr/>
        <w:t>sites</w:t>
      </w:r>
      <w:r>
        <w:rPr>
          <w:spacing w:val="-1"/>
        </w:rPr>
        <w:t> </w:t>
      </w:r>
      <w:r>
        <w:rPr/>
        <w:t>in</w:t>
      </w:r>
      <w:r>
        <w:rPr>
          <w:spacing w:val="-4"/>
        </w:rPr>
        <w:t> </w:t>
      </w:r>
      <w:r>
        <w:rPr/>
        <w:t>FCMLs</w:t>
      </w:r>
      <w:r>
        <w:rPr>
          <w:spacing w:val="-1"/>
        </w:rPr>
        <w:t> </w:t>
      </w:r>
      <w:r>
        <w:rPr/>
        <w:t>for</w:t>
      </w:r>
      <w:r>
        <w:rPr>
          <w:spacing w:val="-1"/>
        </w:rPr>
        <w:t> </w:t>
      </w:r>
      <w:r>
        <w:rPr/>
        <w:t>Koalas</w:t>
      </w:r>
      <w:r>
        <w:rPr>
          <w:spacing w:val="-3"/>
        </w:rPr>
        <w:t> </w:t>
      </w:r>
      <w:r>
        <w:rPr/>
        <w:t>(</w:t>
      </w:r>
      <w:r>
        <w:rPr>
          <w:i/>
        </w:rPr>
        <w:t>Phascolarctos</w:t>
      </w:r>
      <w:r>
        <w:rPr>
          <w:i/>
          <w:spacing w:val="-3"/>
        </w:rPr>
        <w:t> </w:t>
      </w:r>
      <w:r>
        <w:rPr>
          <w:i/>
        </w:rPr>
        <w:t>cinereus</w:t>
      </w:r>
      <w:r>
        <w:rPr/>
        <w:t>). In comparison, the mean naïve occupancy percentages for all other species were highly variable over time and did not clearly differ between FCMLs and NFCMLs.</w:t>
      </w:r>
    </w:p>
    <w:p>
      <w:pPr>
        <w:pStyle w:val="BodyText"/>
        <w:spacing w:after="0"/>
        <w:sectPr>
          <w:footerReference w:type="default" r:id="rId57"/>
          <w:pgSz w:w="11910" w:h="16850"/>
          <w:pgMar w:header="0" w:footer="688" w:top="1240" w:bottom="880" w:left="0" w:right="0"/>
        </w:sectPr>
      </w:pPr>
    </w:p>
    <w:p>
      <w:pPr>
        <w:pStyle w:val="Heading2"/>
        <w:numPr>
          <w:ilvl w:val="0"/>
          <w:numId w:val="5"/>
        </w:numPr>
        <w:tabs>
          <w:tab w:pos="1565" w:val="left" w:leader="none"/>
        </w:tabs>
        <w:spacing w:line="240" w:lineRule="auto" w:before="61" w:after="0"/>
        <w:ind w:left="1565" w:right="0" w:hanging="433"/>
        <w:jc w:val="left"/>
      </w:pPr>
      <w:bookmarkStart w:name="_TOC_250002" w:id="35"/>
      <w:bookmarkEnd w:id="35"/>
      <w:r>
        <w:rPr>
          <w:color w:val="001F5F"/>
          <w:spacing w:val="-2"/>
        </w:rPr>
        <w:t>Discussion</w:t>
      </w:r>
    </w:p>
    <w:p>
      <w:pPr>
        <w:pStyle w:val="BodyText"/>
        <w:spacing w:before="255"/>
        <w:rPr>
          <w:b/>
          <w:sz w:val="32"/>
        </w:rPr>
      </w:pPr>
    </w:p>
    <w:p>
      <w:pPr>
        <w:pStyle w:val="BodyText"/>
        <w:spacing w:before="1"/>
        <w:ind w:left="1132" w:right="1204"/>
      </w:pPr>
      <w:r>
        <w:rPr/>
        <w:t>All three target species had higher rates of occupancy across locations subject to 19 years of fox control compared to locations without fox control. Growth rates of occupied sites across all locations were stable over</w:t>
      </w:r>
      <w:r>
        <w:rPr>
          <w:spacing w:val="-4"/>
        </w:rPr>
        <w:t> </w:t>
      </w:r>
      <w:r>
        <w:rPr/>
        <w:t>the</w:t>
      </w:r>
      <w:r>
        <w:rPr>
          <w:spacing w:val="-2"/>
        </w:rPr>
        <w:t> </w:t>
      </w:r>
      <w:r>
        <w:rPr/>
        <w:t>longer-term,</w:t>
      </w:r>
      <w:r>
        <w:rPr>
          <w:spacing w:val="-4"/>
        </w:rPr>
        <w:t> </w:t>
      </w:r>
      <w:r>
        <w:rPr/>
        <w:t>with</w:t>
      </w:r>
      <w:r>
        <w:rPr>
          <w:spacing w:val="-5"/>
        </w:rPr>
        <w:t> </w:t>
      </w:r>
      <w:r>
        <w:rPr/>
        <w:t>short</w:t>
      </w:r>
      <w:r>
        <w:rPr>
          <w:spacing w:val="-4"/>
        </w:rPr>
        <w:t> </w:t>
      </w:r>
      <w:r>
        <w:rPr/>
        <w:t>term</w:t>
      </w:r>
      <w:r>
        <w:rPr>
          <w:spacing w:val="-2"/>
        </w:rPr>
        <w:t> </w:t>
      </w:r>
      <w:r>
        <w:rPr/>
        <w:t>fluctuations</w:t>
      </w:r>
      <w:r>
        <w:rPr>
          <w:spacing w:val="-3"/>
        </w:rPr>
        <w:t> </w:t>
      </w:r>
      <w:r>
        <w:rPr/>
        <w:t>likely</w:t>
      </w:r>
      <w:r>
        <w:rPr>
          <w:spacing w:val="-1"/>
        </w:rPr>
        <w:t> </w:t>
      </w:r>
      <w:r>
        <w:rPr/>
        <w:t>driven</w:t>
      </w:r>
      <w:r>
        <w:rPr>
          <w:spacing w:val="-5"/>
        </w:rPr>
        <w:t> </w:t>
      </w:r>
      <w:r>
        <w:rPr/>
        <w:t>by</w:t>
      </w:r>
      <w:r>
        <w:rPr>
          <w:spacing w:val="-3"/>
        </w:rPr>
        <w:t> </w:t>
      </w:r>
      <w:r>
        <w:rPr/>
        <w:t>responses</w:t>
      </w:r>
      <w:r>
        <w:rPr>
          <w:spacing w:val="-3"/>
        </w:rPr>
        <w:t> </w:t>
      </w:r>
      <w:r>
        <w:rPr/>
        <w:t>to</w:t>
      </w:r>
      <w:r>
        <w:rPr>
          <w:spacing w:val="-2"/>
        </w:rPr>
        <w:t> </w:t>
      </w:r>
      <w:r>
        <w:rPr/>
        <w:t>factors</w:t>
      </w:r>
      <w:r>
        <w:rPr>
          <w:spacing w:val="-2"/>
        </w:rPr>
        <w:t> </w:t>
      </w:r>
      <w:r>
        <w:rPr/>
        <w:t>other</w:t>
      </w:r>
      <w:r>
        <w:rPr>
          <w:spacing w:val="-3"/>
        </w:rPr>
        <w:t> </w:t>
      </w:r>
      <w:r>
        <w:rPr/>
        <w:t>than</w:t>
      </w:r>
      <w:r>
        <w:rPr>
          <w:spacing w:val="-2"/>
        </w:rPr>
        <w:t> </w:t>
      </w:r>
      <w:r>
        <w:rPr/>
        <w:t>predation pressure from foxes. Fox activity was substantially lower where there was long term control in place.</w:t>
      </w:r>
    </w:p>
    <w:p>
      <w:pPr>
        <w:pStyle w:val="BodyText"/>
        <w:spacing w:before="119"/>
        <w:ind w:left="1132" w:right="1204"/>
      </w:pPr>
      <w:r>
        <w:rPr/>
        <w:t>The Glenelg Ark monitoring program employs an occupancy modelling approach to explore the dynamics influencing changes in site occupancy for three native species. Changes in site occupancy can mirror changes in abundance, with site colonisation and persistence likely to reflect birth and survival rates when surveys</w:t>
      </w:r>
      <w:r>
        <w:rPr>
          <w:spacing w:val="-3"/>
        </w:rPr>
        <w:t> </w:t>
      </w:r>
      <w:r>
        <w:rPr/>
        <w:t>are</w:t>
      </w:r>
      <w:r>
        <w:rPr>
          <w:spacing w:val="-4"/>
        </w:rPr>
        <w:t> </w:t>
      </w:r>
      <w:r>
        <w:rPr/>
        <w:t>conducted</w:t>
      </w:r>
      <w:r>
        <w:rPr>
          <w:spacing w:val="-2"/>
        </w:rPr>
        <w:t> </w:t>
      </w:r>
      <w:r>
        <w:rPr/>
        <w:t>over</w:t>
      </w:r>
      <w:r>
        <w:rPr>
          <w:spacing w:val="-3"/>
        </w:rPr>
        <w:t> </w:t>
      </w:r>
      <w:r>
        <w:rPr/>
        <w:t>a</w:t>
      </w:r>
      <w:r>
        <w:rPr>
          <w:spacing w:val="-5"/>
        </w:rPr>
        <w:t> </w:t>
      </w:r>
      <w:r>
        <w:rPr/>
        <w:t>short</w:t>
      </w:r>
      <w:r>
        <w:rPr>
          <w:spacing w:val="-4"/>
        </w:rPr>
        <w:t> </w:t>
      </w:r>
      <w:r>
        <w:rPr/>
        <w:t>period (MacKenzie</w:t>
      </w:r>
      <w:r>
        <w:rPr>
          <w:spacing w:val="-3"/>
        </w:rPr>
        <w:t> </w:t>
      </w:r>
      <w:r>
        <w:rPr/>
        <w:t>et</w:t>
      </w:r>
      <w:r>
        <w:rPr>
          <w:spacing w:val="-2"/>
        </w:rPr>
        <w:t> </w:t>
      </w:r>
      <w:r>
        <w:rPr/>
        <w:t>al.</w:t>
      </w:r>
      <w:r>
        <w:rPr>
          <w:spacing w:val="-1"/>
        </w:rPr>
        <w:t> </w:t>
      </w:r>
      <w:r>
        <w:rPr/>
        <w:t>2017).</w:t>
      </w:r>
      <w:r>
        <w:rPr>
          <w:spacing w:val="-4"/>
        </w:rPr>
        <w:t> </w:t>
      </w:r>
      <w:r>
        <w:rPr/>
        <w:t>By</w:t>
      </w:r>
      <w:r>
        <w:rPr>
          <w:spacing w:val="-1"/>
        </w:rPr>
        <w:t> </w:t>
      </w:r>
      <w:r>
        <w:rPr/>
        <w:t>evaluating</w:t>
      </w:r>
      <w:r>
        <w:rPr>
          <w:spacing w:val="-4"/>
        </w:rPr>
        <w:t> </w:t>
      </w:r>
      <w:r>
        <w:rPr/>
        <w:t>these</w:t>
      </w:r>
      <w:r>
        <w:rPr>
          <w:spacing w:val="-2"/>
        </w:rPr>
        <w:t> </w:t>
      </w:r>
      <w:r>
        <w:rPr/>
        <w:t>rates</w:t>
      </w:r>
      <w:r>
        <w:rPr>
          <w:spacing w:val="-3"/>
        </w:rPr>
        <w:t> </w:t>
      </w:r>
      <w:r>
        <w:rPr/>
        <w:t>alongside</w:t>
      </w:r>
      <w:r>
        <w:rPr>
          <w:spacing w:val="-4"/>
        </w:rPr>
        <w:t> </w:t>
      </w:r>
      <w:r>
        <w:rPr/>
        <w:t>the factors affecting</w:t>
      </w:r>
      <w:r>
        <w:rPr>
          <w:spacing w:val="-1"/>
        </w:rPr>
        <w:t> </w:t>
      </w:r>
      <w:r>
        <w:rPr/>
        <w:t>them,</w:t>
      </w:r>
      <w:r>
        <w:rPr>
          <w:spacing w:val="-2"/>
        </w:rPr>
        <w:t> </w:t>
      </w:r>
      <w:r>
        <w:rPr/>
        <w:t>we</w:t>
      </w:r>
      <w:r>
        <w:rPr>
          <w:spacing w:val="-2"/>
        </w:rPr>
        <w:t> </w:t>
      </w:r>
      <w:r>
        <w:rPr/>
        <w:t>can</w:t>
      </w:r>
      <w:r>
        <w:rPr>
          <w:spacing w:val="-3"/>
        </w:rPr>
        <w:t> </w:t>
      </w:r>
      <w:r>
        <w:rPr/>
        <w:t>gain insights into</w:t>
      </w:r>
      <w:r>
        <w:rPr>
          <w:spacing w:val="-2"/>
        </w:rPr>
        <w:t> </w:t>
      </w:r>
      <w:r>
        <w:rPr/>
        <w:t>how</w:t>
      </w:r>
      <w:r>
        <w:rPr>
          <w:spacing w:val="-2"/>
        </w:rPr>
        <w:t> </w:t>
      </w:r>
      <w:r>
        <w:rPr/>
        <w:t>reduced</w:t>
      </w:r>
      <w:r>
        <w:rPr>
          <w:spacing w:val="-1"/>
        </w:rPr>
        <w:t> </w:t>
      </w:r>
      <w:r>
        <w:rPr/>
        <w:t>predation</w:t>
      </w:r>
      <w:r>
        <w:rPr>
          <w:spacing w:val="-2"/>
        </w:rPr>
        <w:t> </w:t>
      </w:r>
      <w:r>
        <w:rPr/>
        <w:t>risk</w:t>
      </w:r>
      <w:r>
        <w:rPr>
          <w:spacing w:val="-1"/>
        </w:rPr>
        <w:t> </w:t>
      </w:r>
      <w:r>
        <w:rPr/>
        <w:t>might impact</w:t>
      </w:r>
      <w:r>
        <w:rPr>
          <w:spacing w:val="-2"/>
        </w:rPr>
        <w:t> </w:t>
      </w:r>
      <w:r>
        <w:rPr/>
        <w:t>habitat use</w:t>
      </w:r>
      <w:r>
        <w:rPr>
          <w:spacing w:val="-2"/>
        </w:rPr>
        <w:t> </w:t>
      </w:r>
      <w:r>
        <w:rPr/>
        <w:t>by</w:t>
      </w:r>
      <w:r>
        <w:rPr>
          <w:spacing w:val="-1"/>
        </w:rPr>
        <w:t> </w:t>
      </w:r>
      <w:r>
        <w:rPr/>
        <w:t>the target species.</w:t>
      </w:r>
    </w:p>
    <w:p>
      <w:pPr>
        <w:pStyle w:val="BodyText"/>
        <w:spacing w:before="120"/>
        <w:ind w:left="1132" w:right="1204"/>
      </w:pPr>
      <w:r>
        <w:rPr/>
        <w:t>We made</w:t>
      </w:r>
      <w:r>
        <w:rPr>
          <w:spacing w:val="-3"/>
        </w:rPr>
        <w:t> </w:t>
      </w:r>
      <w:r>
        <w:rPr/>
        <w:t>three</w:t>
      </w:r>
      <w:r>
        <w:rPr>
          <w:spacing w:val="-3"/>
        </w:rPr>
        <w:t> </w:t>
      </w:r>
      <w:r>
        <w:rPr/>
        <w:t>predictions about</w:t>
      </w:r>
      <w:r>
        <w:rPr>
          <w:spacing w:val="-3"/>
        </w:rPr>
        <w:t> </w:t>
      </w:r>
      <w:r>
        <w:rPr/>
        <w:t>the</w:t>
      </w:r>
      <w:r>
        <w:rPr>
          <w:spacing w:val="-3"/>
        </w:rPr>
        <w:t> </w:t>
      </w:r>
      <w:r>
        <w:rPr/>
        <w:t>response</w:t>
      </w:r>
      <w:r>
        <w:rPr>
          <w:spacing w:val="-3"/>
        </w:rPr>
        <w:t> </w:t>
      </w:r>
      <w:r>
        <w:rPr/>
        <w:t>of</w:t>
      </w:r>
      <w:r>
        <w:rPr>
          <w:spacing w:val="-1"/>
        </w:rPr>
        <w:t> </w:t>
      </w:r>
      <w:r>
        <w:rPr/>
        <w:t>the</w:t>
      </w:r>
      <w:r>
        <w:rPr>
          <w:spacing w:val="-2"/>
        </w:rPr>
        <w:t> </w:t>
      </w:r>
      <w:r>
        <w:rPr/>
        <w:t>target</w:t>
      </w:r>
      <w:r>
        <w:rPr>
          <w:spacing w:val="-3"/>
        </w:rPr>
        <w:t> </w:t>
      </w:r>
      <w:r>
        <w:rPr/>
        <w:t>species</w:t>
      </w:r>
      <w:r>
        <w:rPr>
          <w:spacing w:val="-2"/>
        </w:rPr>
        <w:t> </w:t>
      </w:r>
      <w:r>
        <w:rPr/>
        <w:t>to fox</w:t>
      </w:r>
      <w:r>
        <w:rPr>
          <w:spacing w:val="-2"/>
        </w:rPr>
        <w:t> </w:t>
      </w:r>
      <w:r>
        <w:rPr/>
        <w:t>control</w:t>
      </w:r>
      <w:r>
        <w:rPr>
          <w:spacing w:val="-2"/>
        </w:rPr>
        <w:t> </w:t>
      </w:r>
      <w:r>
        <w:rPr/>
        <w:t>at</w:t>
      </w:r>
      <w:r>
        <w:rPr>
          <w:spacing w:val="-3"/>
        </w:rPr>
        <w:t> </w:t>
      </w:r>
      <w:r>
        <w:rPr/>
        <w:t>Glenelg</w:t>
      </w:r>
      <w:r>
        <w:rPr>
          <w:spacing w:val="-1"/>
        </w:rPr>
        <w:t> </w:t>
      </w:r>
      <w:r>
        <w:rPr/>
        <w:t>Ark.</w:t>
      </w:r>
      <w:r>
        <w:rPr>
          <w:spacing w:val="-3"/>
        </w:rPr>
        <w:t> </w:t>
      </w:r>
      <w:r>
        <w:rPr/>
        <w:t>The</w:t>
      </w:r>
      <w:r>
        <w:rPr>
          <w:spacing w:val="-4"/>
        </w:rPr>
        <w:t> </w:t>
      </w:r>
      <w:r>
        <w:rPr/>
        <w:t>first two were:</w:t>
      </w:r>
    </w:p>
    <w:p>
      <w:pPr>
        <w:pStyle w:val="ListParagraph"/>
        <w:numPr>
          <w:ilvl w:val="0"/>
          <w:numId w:val="10"/>
        </w:numPr>
        <w:tabs>
          <w:tab w:pos="1560" w:val="left" w:leader="none"/>
        </w:tabs>
        <w:spacing w:line="280" w:lineRule="auto" w:before="153" w:after="0"/>
        <w:ind w:left="1560" w:right="1200" w:hanging="428"/>
        <w:jc w:val="left"/>
        <w:rPr>
          <w:sz w:val="20"/>
        </w:rPr>
      </w:pPr>
      <w:r>
        <w:rPr>
          <w:sz w:val="20"/>
        </w:rPr>
        <w:t>higher</w:t>
      </w:r>
      <w:r>
        <w:rPr>
          <w:spacing w:val="-4"/>
          <w:sz w:val="20"/>
        </w:rPr>
        <w:t> </w:t>
      </w:r>
      <w:r>
        <w:rPr>
          <w:sz w:val="20"/>
        </w:rPr>
        <w:t>colonisation</w:t>
      </w:r>
      <w:r>
        <w:rPr>
          <w:spacing w:val="-4"/>
          <w:sz w:val="20"/>
        </w:rPr>
        <w:t> </w:t>
      </w:r>
      <w:r>
        <w:rPr>
          <w:sz w:val="20"/>
        </w:rPr>
        <w:t>rates</w:t>
      </w:r>
      <w:r>
        <w:rPr>
          <w:spacing w:val="-4"/>
          <w:sz w:val="20"/>
        </w:rPr>
        <w:t> </w:t>
      </w:r>
      <w:r>
        <w:rPr>
          <w:sz w:val="20"/>
        </w:rPr>
        <w:t>associated</w:t>
      </w:r>
      <w:r>
        <w:rPr>
          <w:spacing w:val="-3"/>
          <w:sz w:val="20"/>
        </w:rPr>
        <w:t> </w:t>
      </w:r>
      <w:r>
        <w:rPr>
          <w:sz w:val="20"/>
        </w:rPr>
        <w:t>with</w:t>
      </w:r>
      <w:r>
        <w:rPr>
          <w:spacing w:val="-4"/>
          <w:sz w:val="20"/>
        </w:rPr>
        <w:t> </w:t>
      </w:r>
      <w:r>
        <w:rPr>
          <w:sz w:val="20"/>
        </w:rPr>
        <w:t>fox</w:t>
      </w:r>
      <w:r>
        <w:rPr>
          <w:spacing w:val="-4"/>
          <w:sz w:val="20"/>
        </w:rPr>
        <w:t> </w:t>
      </w:r>
      <w:r>
        <w:rPr>
          <w:sz w:val="20"/>
        </w:rPr>
        <w:t>control,</w:t>
      </w:r>
      <w:r>
        <w:rPr>
          <w:spacing w:val="-4"/>
          <w:sz w:val="20"/>
        </w:rPr>
        <w:t> </w:t>
      </w:r>
      <w:r>
        <w:rPr>
          <w:sz w:val="20"/>
        </w:rPr>
        <w:t>suggesting</w:t>
      </w:r>
      <w:r>
        <w:rPr>
          <w:spacing w:val="-3"/>
          <w:sz w:val="20"/>
        </w:rPr>
        <w:t> </w:t>
      </w:r>
      <w:r>
        <w:rPr>
          <w:sz w:val="20"/>
        </w:rPr>
        <w:t>that</w:t>
      </w:r>
      <w:r>
        <w:rPr>
          <w:spacing w:val="-4"/>
          <w:sz w:val="20"/>
        </w:rPr>
        <w:t> </w:t>
      </w:r>
      <w:r>
        <w:rPr>
          <w:sz w:val="20"/>
        </w:rPr>
        <w:t>reduced</w:t>
      </w:r>
      <w:r>
        <w:rPr>
          <w:spacing w:val="-5"/>
          <w:sz w:val="20"/>
        </w:rPr>
        <w:t> </w:t>
      </w:r>
      <w:r>
        <w:rPr>
          <w:sz w:val="20"/>
        </w:rPr>
        <w:t>predation</w:t>
      </w:r>
      <w:r>
        <w:rPr>
          <w:spacing w:val="-4"/>
          <w:sz w:val="20"/>
        </w:rPr>
        <w:t> </w:t>
      </w:r>
      <w:r>
        <w:rPr>
          <w:sz w:val="20"/>
        </w:rPr>
        <w:t>pressure</w:t>
      </w:r>
      <w:r>
        <w:rPr>
          <w:spacing w:val="-4"/>
          <w:sz w:val="20"/>
        </w:rPr>
        <w:t> </w:t>
      </w:r>
      <w:r>
        <w:rPr>
          <w:sz w:val="20"/>
        </w:rPr>
        <w:t>allows populations to colonise new sites</w:t>
      </w:r>
    </w:p>
    <w:p>
      <w:pPr>
        <w:pStyle w:val="ListParagraph"/>
        <w:numPr>
          <w:ilvl w:val="0"/>
          <w:numId w:val="10"/>
        </w:numPr>
        <w:tabs>
          <w:tab w:pos="1560" w:val="left" w:leader="none"/>
        </w:tabs>
        <w:spacing w:line="283" w:lineRule="auto" w:before="1" w:after="0"/>
        <w:ind w:left="1560" w:right="1577" w:hanging="428"/>
        <w:jc w:val="left"/>
        <w:rPr>
          <w:sz w:val="20"/>
        </w:rPr>
      </w:pPr>
      <w:r>
        <w:rPr>
          <w:sz w:val="20"/>
        </w:rPr>
        <w:t>higher</w:t>
      </w:r>
      <w:r>
        <w:rPr>
          <w:spacing w:val="-3"/>
          <w:sz w:val="20"/>
        </w:rPr>
        <w:t> </w:t>
      </w:r>
      <w:r>
        <w:rPr>
          <w:sz w:val="20"/>
        </w:rPr>
        <w:t>survival</w:t>
      </w:r>
      <w:r>
        <w:rPr>
          <w:spacing w:val="-5"/>
          <w:sz w:val="20"/>
        </w:rPr>
        <w:t> </w:t>
      </w:r>
      <w:r>
        <w:rPr>
          <w:sz w:val="20"/>
        </w:rPr>
        <w:t>rates</w:t>
      </w:r>
      <w:r>
        <w:rPr>
          <w:spacing w:val="-2"/>
          <w:sz w:val="20"/>
        </w:rPr>
        <w:t> </w:t>
      </w:r>
      <w:r>
        <w:rPr>
          <w:sz w:val="20"/>
        </w:rPr>
        <w:t>associated with</w:t>
      </w:r>
      <w:r>
        <w:rPr>
          <w:spacing w:val="-4"/>
          <w:sz w:val="20"/>
        </w:rPr>
        <w:t> </w:t>
      </w:r>
      <w:r>
        <w:rPr>
          <w:sz w:val="20"/>
        </w:rPr>
        <w:t>fox</w:t>
      </w:r>
      <w:r>
        <w:rPr>
          <w:spacing w:val="-3"/>
          <w:sz w:val="20"/>
        </w:rPr>
        <w:t> </w:t>
      </w:r>
      <w:r>
        <w:rPr>
          <w:sz w:val="20"/>
        </w:rPr>
        <w:t>control,</w:t>
      </w:r>
      <w:r>
        <w:rPr>
          <w:spacing w:val="-4"/>
          <w:sz w:val="20"/>
        </w:rPr>
        <w:t> </w:t>
      </w:r>
      <w:r>
        <w:rPr>
          <w:sz w:val="20"/>
        </w:rPr>
        <w:t>suggesting</w:t>
      </w:r>
      <w:r>
        <w:rPr>
          <w:spacing w:val="-5"/>
          <w:sz w:val="20"/>
        </w:rPr>
        <w:t> </w:t>
      </w:r>
      <w:r>
        <w:rPr>
          <w:sz w:val="20"/>
        </w:rPr>
        <w:t>that</w:t>
      </w:r>
      <w:r>
        <w:rPr>
          <w:spacing w:val="-4"/>
          <w:sz w:val="20"/>
        </w:rPr>
        <w:t> </w:t>
      </w:r>
      <w:r>
        <w:rPr>
          <w:sz w:val="20"/>
        </w:rPr>
        <w:t>reduced</w:t>
      </w:r>
      <w:r>
        <w:rPr>
          <w:spacing w:val="-4"/>
          <w:sz w:val="20"/>
        </w:rPr>
        <w:t> </w:t>
      </w:r>
      <w:r>
        <w:rPr>
          <w:sz w:val="20"/>
        </w:rPr>
        <w:t>predation</w:t>
      </w:r>
      <w:r>
        <w:rPr>
          <w:spacing w:val="-4"/>
          <w:sz w:val="20"/>
        </w:rPr>
        <w:t> </w:t>
      </w:r>
      <w:r>
        <w:rPr>
          <w:sz w:val="20"/>
        </w:rPr>
        <w:t>pressure</w:t>
      </w:r>
      <w:r>
        <w:rPr>
          <w:spacing w:val="-4"/>
          <w:sz w:val="20"/>
        </w:rPr>
        <w:t> </w:t>
      </w:r>
      <w:r>
        <w:rPr>
          <w:sz w:val="20"/>
        </w:rPr>
        <w:t>allows populations to persist.</w:t>
      </w:r>
    </w:p>
    <w:p>
      <w:pPr>
        <w:pStyle w:val="BodyText"/>
        <w:spacing w:before="86"/>
        <w:ind w:left="1132" w:right="1140"/>
      </w:pPr>
      <w:r>
        <w:rPr/>
        <w:t>These predictions held true for the survival and colonisation rates of Long-nosed Potoroos and the colonisation rates of Southern Brown Bandicoots, with these rates being significantly positively influenced by fox</w:t>
      </w:r>
      <w:r>
        <w:rPr>
          <w:spacing w:val="-3"/>
        </w:rPr>
        <w:t> </w:t>
      </w:r>
      <w:r>
        <w:rPr/>
        <w:t>control.</w:t>
      </w:r>
      <w:r>
        <w:rPr>
          <w:spacing w:val="-2"/>
        </w:rPr>
        <w:t> </w:t>
      </w:r>
      <w:r>
        <w:rPr/>
        <w:t>Common</w:t>
      </w:r>
      <w:r>
        <w:rPr>
          <w:spacing w:val="-3"/>
        </w:rPr>
        <w:t> </w:t>
      </w:r>
      <w:r>
        <w:rPr/>
        <w:t>Brush-tailed</w:t>
      </w:r>
      <w:r>
        <w:rPr>
          <w:spacing w:val="-3"/>
        </w:rPr>
        <w:t> </w:t>
      </w:r>
      <w:r>
        <w:rPr/>
        <w:t>Possums</w:t>
      </w:r>
      <w:r>
        <w:rPr>
          <w:spacing w:val="-3"/>
        </w:rPr>
        <w:t> </w:t>
      </w:r>
      <w:r>
        <w:rPr/>
        <w:t>tended</w:t>
      </w:r>
      <w:r>
        <w:rPr>
          <w:spacing w:val="-5"/>
        </w:rPr>
        <w:t> </w:t>
      </w:r>
      <w:r>
        <w:rPr/>
        <w:t>to</w:t>
      </w:r>
      <w:r>
        <w:rPr>
          <w:spacing w:val="-2"/>
        </w:rPr>
        <w:t> </w:t>
      </w:r>
      <w:r>
        <w:rPr/>
        <w:t>use</w:t>
      </w:r>
      <w:r>
        <w:rPr>
          <w:spacing w:val="-4"/>
        </w:rPr>
        <w:t> </w:t>
      </w:r>
      <w:r>
        <w:rPr/>
        <w:t>aspects</w:t>
      </w:r>
      <w:r>
        <w:rPr>
          <w:spacing w:val="-3"/>
        </w:rPr>
        <w:t> </w:t>
      </w:r>
      <w:r>
        <w:rPr/>
        <w:t>of</w:t>
      </w:r>
      <w:r>
        <w:rPr>
          <w:spacing w:val="-2"/>
        </w:rPr>
        <w:t> </w:t>
      </w:r>
      <w:r>
        <w:rPr/>
        <w:t>habitat</w:t>
      </w:r>
      <w:r>
        <w:rPr>
          <w:spacing w:val="-4"/>
        </w:rPr>
        <w:t> </w:t>
      </w:r>
      <w:r>
        <w:rPr/>
        <w:t>differently</w:t>
      </w:r>
      <w:r>
        <w:rPr>
          <w:spacing w:val="-1"/>
        </w:rPr>
        <w:t> </w:t>
      </w:r>
      <w:r>
        <w:rPr/>
        <w:t>in</w:t>
      </w:r>
      <w:r>
        <w:rPr>
          <w:spacing w:val="-4"/>
        </w:rPr>
        <w:t> </w:t>
      </w:r>
      <w:r>
        <w:rPr/>
        <w:t>the</w:t>
      </w:r>
      <w:r>
        <w:rPr>
          <w:spacing w:val="-3"/>
        </w:rPr>
        <w:t> </w:t>
      </w:r>
      <w:r>
        <w:rPr/>
        <w:t>presence</w:t>
      </w:r>
      <w:r>
        <w:rPr>
          <w:spacing w:val="-2"/>
        </w:rPr>
        <w:t> </w:t>
      </w:r>
      <w:r>
        <w:rPr/>
        <w:t>of</w:t>
      </w:r>
      <w:r>
        <w:rPr>
          <w:spacing w:val="-4"/>
        </w:rPr>
        <w:t> </w:t>
      </w:r>
      <w:r>
        <w:rPr/>
        <w:t>fox control. All three species exhibited distinct responses to various biotic and abiotic factors, indicating that reduced predation pressure enables these species to overcome limitations and expand their occupied </w:t>
      </w:r>
      <w:r>
        <w:rPr>
          <w:spacing w:val="-2"/>
        </w:rPr>
        <w:t>habitats.</w:t>
      </w:r>
    </w:p>
    <w:p>
      <w:pPr>
        <w:pStyle w:val="BodyText"/>
        <w:spacing w:before="121"/>
        <w:ind w:left="1132" w:right="1204"/>
      </w:pPr>
      <w:r>
        <w:rPr/>
        <w:t>Possum survival and colonisation rates were higher and tended to increase in Tall Mixed Forest with fox control compared to in other EVDs with fox control and as TRI increased. This likely indicates a habitat preference for Tall Mixed Forest, which is more likely to provide shelter (hollows, nesting sites and better food quality; eucalypt leaves account</w:t>
      </w:r>
      <w:r>
        <w:rPr>
          <w:spacing w:val="-1"/>
        </w:rPr>
        <w:t> </w:t>
      </w:r>
      <w:r>
        <w:rPr/>
        <w:t>for 72% of</w:t>
      </w:r>
      <w:r>
        <w:rPr>
          <w:spacing w:val="-1"/>
        </w:rPr>
        <w:t> </w:t>
      </w:r>
      <w:r>
        <w:rPr/>
        <w:t>the</w:t>
      </w:r>
      <w:r>
        <w:rPr>
          <w:spacing w:val="-1"/>
        </w:rPr>
        <w:t> </w:t>
      </w:r>
      <w:r>
        <w:rPr/>
        <w:t>diet</w:t>
      </w:r>
      <w:r>
        <w:rPr>
          <w:spacing w:val="-1"/>
        </w:rPr>
        <w:t> </w:t>
      </w:r>
      <w:r>
        <w:rPr/>
        <w:t>of possums in</w:t>
      </w:r>
      <w:r>
        <w:rPr>
          <w:spacing w:val="-1"/>
        </w:rPr>
        <w:t> </w:t>
      </w:r>
      <w:r>
        <w:rPr/>
        <w:t>New</w:t>
      </w:r>
      <w:r>
        <w:rPr>
          <w:spacing w:val="-1"/>
        </w:rPr>
        <w:t> </w:t>
      </w:r>
      <w:r>
        <w:rPr/>
        <w:t>South</w:t>
      </w:r>
      <w:r>
        <w:rPr>
          <w:spacing w:val="-1"/>
        </w:rPr>
        <w:t> </w:t>
      </w:r>
      <w:r>
        <w:rPr/>
        <w:t>Wales [Kerle</w:t>
      </w:r>
      <w:r>
        <w:rPr>
          <w:spacing w:val="-1"/>
        </w:rPr>
        <w:t> </w:t>
      </w:r>
      <w:r>
        <w:rPr/>
        <w:t>1984]).</w:t>
      </w:r>
      <w:r>
        <w:rPr>
          <w:spacing w:val="-1"/>
        </w:rPr>
        <w:t> </w:t>
      </w:r>
      <w:r>
        <w:rPr/>
        <w:t>Our findings</w:t>
      </w:r>
      <w:r>
        <w:rPr>
          <w:spacing w:val="-3"/>
        </w:rPr>
        <w:t> </w:t>
      </w:r>
      <w:r>
        <w:rPr/>
        <w:t>support</w:t>
      </w:r>
      <w:r>
        <w:rPr>
          <w:spacing w:val="-2"/>
        </w:rPr>
        <w:t> </w:t>
      </w:r>
      <w:r>
        <w:rPr/>
        <w:t>those</w:t>
      </w:r>
      <w:r>
        <w:rPr>
          <w:spacing w:val="-2"/>
        </w:rPr>
        <w:t> </w:t>
      </w:r>
      <w:r>
        <w:rPr/>
        <w:t>of</w:t>
      </w:r>
      <w:r>
        <w:rPr>
          <w:spacing w:val="-2"/>
        </w:rPr>
        <w:t> </w:t>
      </w:r>
      <w:r>
        <w:rPr/>
        <w:t>Pickett</w:t>
      </w:r>
      <w:r>
        <w:rPr>
          <w:spacing w:val="-4"/>
        </w:rPr>
        <w:t> </w:t>
      </w:r>
      <w:r>
        <w:rPr/>
        <w:t>et</w:t>
      </w:r>
      <w:r>
        <w:rPr>
          <w:spacing w:val="-4"/>
        </w:rPr>
        <w:t> </w:t>
      </w:r>
      <w:r>
        <w:rPr/>
        <w:t>al.</w:t>
      </w:r>
      <w:r>
        <w:rPr>
          <w:spacing w:val="-4"/>
        </w:rPr>
        <w:t> </w:t>
      </w:r>
      <w:r>
        <w:rPr/>
        <w:t>(2005)</w:t>
      </w:r>
      <w:r>
        <w:rPr>
          <w:spacing w:val="-3"/>
        </w:rPr>
        <w:t> </w:t>
      </w:r>
      <w:r>
        <w:rPr/>
        <w:t>who</w:t>
      </w:r>
      <w:r>
        <w:rPr>
          <w:spacing w:val="-3"/>
        </w:rPr>
        <w:t> </w:t>
      </w:r>
      <w:r>
        <w:rPr/>
        <w:t>investigated</w:t>
      </w:r>
      <w:r>
        <w:rPr>
          <w:spacing w:val="-5"/>
        </w:rPr>
        <w:t> </w:t>
      </w:r>
      <w:r>
        <w:rPr/>
        <w:t>the</w:t>
      </w:r>
      <w:r>
        <w:rPr>
          <w:spacing w:val="-3"/>
        </w:rPr>
        <w:t> </w:t>
      </w:r>
      <w:r>
        <w:rPr/>
        <w:t>influence</w:t>
      </w:r>
      <w:r>
        <w:rPr>
          <w:spacing w:val="-4"/>
        </w:rPr>
        <w:t> </w:t>
      </w:r>
      <w:r>
        <w:rPr/>
        <w:t>of</w:t>
      </w:r>
      <w:r>
        <w:rPr>
          <w:spacing w:val="-2"/>
        </w:rPr>
        <w:t> </w:t>
      </w:r>
      <w:r>
        <w:rPr/>
        <w:t>predation</w:t>
      </w:r>
      <w:r>
        <w:rPr>
          <w:spacing w:val="-2"/>
        </w:rPr>
        <w:t> </w:t>
      </w:r>
      <w:r>
        <w:rPr/>
        <w:t>risk</w:t>
      </w:r>
      <w:r>
        <w:rPr>
          <w:spacing w:val="-3"/>
        </w:rPr>
        <w:t> </w:t>
      </w:r>
      <w:r>
        <w:rPr/>
        <w:t>on the</w:t>
      </w:r>
      <w:r>
        <w:rPr>
          <w:spacing w:val="-4"/>
        </w:rPr>
        <w:t> </w:t>
      </w:r>
      <w:r>
        <w:rPr/>
        <w:t>foraging behaviour of brushtail possums across a range of fox densities in eucalypt forest and cypress-pine stands. They found no effect of fox removal on behaviour, body condition or reproduction in eucalypt-dominated forests. By contrast, in cypress-pine (more open habitat, poorer food quality), possums travelled further on the ground, used a greater number of feeders, and had remained at feeders longer in low-fox-density areas than in high-fox-density areas.</w:t>
      </w:r>
    </w:p>
    <w:p>
      <w:pPr>
        <w:pStyle w:val="BodyText"/>
        <w:spacing w:before="119"/>
        <w:ind w:left="1132" w:right="1163"/>
      </w:pPr>
      <w:r>
        <w:rPr/>
        <w:t>In</w:t>
      </w:r>
      <w:r>
        <w:rPr>
          <w:spacing w:val="-2"/>
        </w:rPr>
        <w:t> </w:t>
      </w:r>
      <w:r>
        <w:rPr/>
        <w:t>areas without fox control, possum</w:t>
      </w:r>
      <w:r>
        <w:rPr>
          <w:spacing w:val="-1"/>
        </w:rPr>
        <w:t> </w:t>
      </w:r>
      <w:r>
        <w:rPr/>
        <w:t>survival</w:t>
      </w:r>
      <w:r>
        <w:rPr>
          <w:spacing w:val="-2"/>
        </w:rPr>
        <w:t> </w:t>
      </w:r>
      <w:r>
        <w:rPr/>
        <w:t>rates declined</w:t>
      </w:r>
      <w:r>
        <w:rPr>
          <w:spacing w:val="-1"/>
        </w:rPr>
        <w:t> </w:t>
      </w:r>
      <w:r>
        <w:rPr/>
        <w:t>as the</w:t>
      </w:r>
      <w:r>
        <w:rPr>
          <w:spacing w:val="-1"/>
        </w:rPr>
        <w:t> </w:t>
      </w:r>
      <w:r>
        <w:rPr/>
        <w:t>distance to</w:t>
      </w:r>
      <w:r>
        <w:rPr>
          <w:spacing w:val="-2"/>
        </w:rPr>
        <w:t> </w:t>
      </w:r>
      <w:r>
        <w:rPr/>
        <w:t>non-native</w:t>
      </w:r>
      <w:r>
        <w:rPr>
          <w:spacing w:val="-1"/>
        </w:rPr>
        <w:t> </w:t>
      </w:r>
      <w:r>
        <w:rPr/>
        <w:t>vegetation</w:t>
      </w:r>
      <w:r>
        <w:rPr>
          <w:spacing w:val="-2"/>
        </w:rPr>
        <w:t> </w:t>
      </w:r>
      <w:r>
        <w:rPr/>
        <w:t>and</w:t>
      </w:r>
      <w:r>
        <w:rPr>
          <w:spacing w:val="-2"/>
        </w:rPr>
        <w:t> </w:t>
      </w:r>
      <w:r>
        <w:rPr/>
        <w:t>TRI increased, irrespective of the EVD group – with no difference in colonisation rates between EVD types without</w:t>
      </w:r>
      <w:r>
        <w:rPr>
          <w:spacing w:val="-3"/>
        </w:rPr>
        <w:t> </w:t>
      </w:r>
      <w:r>
        <w:rPr/>
        <w:t>fox</w:t>
      </w:r>
      <w:r>
        <w:rPr>
          <w:spacing w:val="-2"/>
        </w:rPr>
        <w:t> </w:t>
      </w:r>
      <w:r>
        <w:rPr/>
        <w:t>control.</w:t>
      </w:r>
      <w:r>
        <w:rPr>
          <w:spacing w:val="-3"/>
        </w:rPr>
        <w:t> </w:t>
      </w:r>
      <w:r>
        <w:rPr/>
        <w:t>It</w:t>
      </w:r>
      <w:r>
        <w:rPr>
          <w:spacing w:val="-1"/>
        </w:rPr>
        <w:t> </w:t>
      </w:r>
      <w:r>
        <w:rPr/>
        <w:t>is</w:t>
      </w:r>
      <w:r>
        <w:rPr>
          <w:spacing w:val="-2"/>
        </w:rPr>
        <w:t> </w:t>
      </w:r>
      <w:r>
        <w:rPr/>
        <w:t>possible</w:t>
      </w:r>
      <w:r>
        <w:rPr>
          <w:spacing w:val="-1"/>
        </w:rPr>
        <w:t> </w:t>
      </w:r>
      <w:r>
        <w:rPr/>
        <w:t>that</w:t>
      </w:r>
      <w:r>
        <w:rPr>
          <w:spacing w:val="-3"/>
        </w:rPr>
        <w:t> </w:t>
      </w:r>
      <w:r>
        <w:rPr/>
        <w:t>foxes</w:t>
      </w:r>
      <w:r>
        <w:rPr>
          <w:spacing w:val="-2"/>
        </w:rPr>
        <w:t> </w:t>
      </w:r>
      <w:r>
        <w:rPr/>
        <w:t>prefer Tall</w:t>
      </w:r>
      <w:r>
        <w:rPr>
          <w:spacing w:val="-2"/>
        </w:rPr>
        <w:t> </w:t>
      </w:r>
      <w:r>
        <w:rPr/>
        <w:t>Mixed</w:t>
      </w:r>
      <w:r>
        <w:rPr>
          <w:spacing w:val="-4"/>
        </w:rPr>
        <w:t> </w:t>
      </w:r>
      <w:r>
        <w:rPr/>
        <w:t>Forest,</w:t>
      </w:r>
      <w:r>
        <w:rPr>
          <w:spacing w:val="-3"/>
        </w:rPr>
        <w:t> </w:t>
      </w:r>
      <w:r>
        <w:rPr/>
        <w:t>close</w:t>
      </w:r>
      <w:r>
        <w:rPr>
          <w:spacing w:val="-3"/>
        </w:rPr>
        <w:t> </w:t>
      </w:r>
      <w:r>
        <w:rPr/>
        <w:t>to</w:t>
      </w:r>
      <w:r>
        <w:rPr>
          <w:spacing w:val="-1"/>
        </w:rPr>
        <w:t> </w:t>
      </w:r>
      <w:r>
        <w:rPr/>
        <w:t>non-native</w:t>
      </w:r>
      <w:r>
        <w:rPr>
          <w:spacing w:val="-1"/>
        </w:rPr>
        <w:t> </w:t>
      </w:r>
      <w:r>
        <w:rPr/>
        <w:t>vegetation</w:t>
      </w:r>
      <w:r>
        <w:rPr>
          <w:spacing w:val="-2"/>
        </w:rPr>
        <w:t> </w:t>
      </w:r>
      <w:r>
        <w:rPr/>
        <w:t>in</w:t>
      </w:r>
      <w:r>
        <w:rPr>
          <w:spacing w:val="-1"/>
        </w:rPr>
        <w:t> </w:t>
      </w:r>
      <w:r>
        <w:rPr/>
        <w:t>low</w:t>
      </w:r>
      <w:r>
        <w:rPr>
          <w:spacing w:val="-1"/>
        </w:rPr>
        <w:t> </w:t>
      </w:r>
      <w:r>
        <w:rPr/>
        <w:t>TRI areas. Modelling fox occurrence in relation to environmental variables could clarify the effects of distance</w:t>
      </w:r>
      <w:r>
        <w:rPr>
          <w:spacing w:val="40"/>
        </w:rPr>
        <w:t> </w:t>
      </w:r>
      <w:r>
        <w:rPr/>
        <w:t>and EVD in locations without fox control.</w:t>
      </w:r>
    </w:p>
    <w:p>
      <w:pPr>
        <w:pStyle w:val="BodyText"/>
        <w:spacing w:before="120"/>
        <w:ind w:left="1132" w:right="1167"/>
      </w:pPr>
      <w:r>
        <w:rPr/>
        <w:t>Fox control generally resulted in higher survival rates for Southern Brown Bandicoots. While survival and colonisation</w:t>
      </w:r>
      <w:r>
        <w:rPr>
          <w:spacing w:val="-1"/>
        </w:rPr>
        <w:t> </w:t>
      </w:r>
      <w:r>
        <w:rPr/>
        <w:t>rates</w:t>
      </w:r>
      <w:r>
        <w:rPr>
          <w:spacing w:val="-1"/>
        </w:rPr>
        <w:t> </w:t>
      </w:r>
      <w:r>
        <w:rPr/>
        <w:t>typically declined with</w:t>
      </w:r>
      <w:r>
        <w:rPr>
          <w:spacing w:val="-2"/>
        </w:rPr>
        <w:t> </w:t>
      </w:r>
      <w:r>
        <w:rPr/>
        <w:t>increasing</w:t>
      </w:r>
      <w:r>
        <w:rPr>
          <w:spacing w:val="-2"/>
        </w:rPr>
        <w:t> </w:t>
      </w:r>
      <w:r>
        <w:rPr/>
        <w:t>time-since-fire, they</w:t>
      </w:r>
      <w:r>
        <w:rPr>
          <w:spacing w:val="-1"/>
        </w:rPr>
        <w:t> </w:t>
      </w:r>
      <w:r>
        <w:rPr/>
        <w:t>tended</w:t>
      </w:r>
      <w:r>
        <w:rPr>
          <w:spacing w:val="-2"/>
        </w:rPr>
        <w:t> </w:t>
      </w:r>
      <w:r>
        <w:rPr/>
        <w:t>to be</w:t>
      </w:r>
      <w:r>
        <w:rPr>
          <w:spacing w:val="-3"/>
        </w:rPr>
        <w:t> </w:t>
      </w:r>
      <w:r>
        <w:rPr/>
        <w:t>higher</w:t>
      </w:r>
      <w:r>
        <w:rPr>
          <w:spacing w:val="-2"/>
        </w:rPr>
        <w:t> </w:t>
      </w:r>
      <w:r>
        <w:rPr/>
        <w:t>in</w:t>
      </w:r>
      <w:r>
        <w:rPr>
          <w:spacing w:val="-2"/>
        </w:rPr>
        <w:t> </w:t>
      </w:r>
      <w:r>
        <w:rPr/>
        <w:t>areas with</w:t>
      </w:r>
      <w:r>
        <w:rPr>
          <w:spacing w:val="-2"/>
        </w:rPr>
        <w:t> </w:t>
      </w:r>
      <w:r>
        <w:rPr/>
        <w:t>fox control. The negative relationship between time-since-fire and colonisation for bandicoots appears counterintuitive. As vegetation recovers post-wildfire, habitat complexity increases, shifting from low complexity</w:t>
      </w:r>
      <w:r>
        <w:rPr>
          <w:spacing w:val="-3"/>
        </w:rPr>
        <w:t> </w:t>
      </w:r>
      <w:r>
        <w:rPr/>
        <w:t>immediately</w:t>
      </w:r>
      <w:r>
        <w:rPr>
          <w:spacing w:val="-3"/>
        </w:rPr>
        <w:t> </w:t>
      </w:r>
      <w:r>
        <w:rPr/>
        <w:t>post-fire</w:t>
      </w:r>
      <w:r>
        <w:rPr>
          <w:spacing w:val="-4"/>
        </w:rPr>
        <w:t> </w:t>
      </w:r>
      <w:r>
        <w:rPr/>
        <w:t>to</w:t>
      </w:r>
      <w:r>
        <w:rPr>
          <w:spacing w:val="-2"/>
        </w:rPr>
        <w:t> </w:t>
      </w:r>
      <w:r>
        <w:rPr/>
        <w:t>a</w:t>
      </w:r>
      <w:r>
        <w:rPr>
          <w:spacing w:val="-4"/>
        </w:rPr>
        <w:t> </w:t>
      </w:r>
      <w:r>
        <w:rPr/>
        <w:t>more</w:t>
      </w:r>
      <w:r>
        <w:rPr>
          <w:spacing w:val="-4"/>
        </w:rPr>
        <w:t> </w:t>
      </w:r>
      <w:r>
        <w:rPr/>
        <w:t>structurally</w:t>
      </w:r>
      <w:r>
        <w:rPr>
          <w:spacing w:val="-1"/>
        </w:rPr>
        <w:t> </w:t>
      </w:r>
      <w:r>
        <w:rPr/>
        <w:t>complex</w:t>
      </w:r>
      <w:r>
        <w:rPr>
          <w:spacing w:val="-3"/>
        </w:rPr>
        <w:t> </w:t>
      </w:r>
      <w:r>
        <w:rPr/>
        <w:t>forest</w:t>
      </w:r>
      <w:r>
        <w:rPr>
          <w:spacing w:val="-2"/>
        </w:rPr>
        <w:t> </w:t>
      </w:r>
      <w:r>
        <w:rPr/>
        <w:t>in</w:t>
      </w:r>
      <w:r>
        <w:rPr>
          <w:spacing w:val="-2"/>
        </w:rPr>
        <w:t> </w:t>
      </w:r>
      <w:r>
        <w:rPr/>
        <w:t>later</w:t>
      </w:r>
      <w:r>
        <w:rPr>
          <w:spacing w:val="-3"/>
        </w:rPr>
        <w:t> </w:t>
      </w:r>
      <w:r>
        <w:rPr/>
        <w:t>years</w:t>
      </w:r>
      <w:r>
        <w:rPr>
          <w:spacing w:val="-2"/>
        </w:rPr>
        <w:t> </w:t>
      </w:r>
      <w:r>
        <w:rPr/>
        <w:t>(Coop</w:t>
      </w:r>
      <w:r>
        <w:rPr>
          <w:spacing w:val="-4"/>
        </w:rPr>
        <w:t> </w:t>
      </w:r>
      <w:r>
        <w:rPr/>
        <w:t>et</w:t>
      </w:r>
      <w:r>
        <w:rPr>
          <w:spacing w:val="-2"/>
        </w:rPr>
        <w:t> </w:t>
      </w:r>
      <w:r>
        <w:rPr/>
        <w:t>al.</w:t>
      </w:r>
      <w:r>
        <w:rPr>
          <w:spacing w:val="-3"/>
        </w:rPr>
        <w:t> </w:t>
      </w:r>
      <w:r>
        <w:rPr/>
        <w:t>2000),</w:t>
      </w:r>
      <w:r>
        <w:rPr>
          <w:spacing w:val="-4"/>
        </w:rPr>
        <w:t> </w:t>
      </w:r>
      <w:r>
        <w:rPr/>
        <w:t>which should provide protection against fox predation. Arthur et al. (2012) observed that bandicoots (</w:t>
      </w:r>
      <w:r>
        <w:rPr>
          <w:i/>
        </w:rPr>
        <w:t>Isoodon</w:t>
      </w:r>
      <w:r>
        <w:rPr>
          <w:i/>
        </w:rPr>
        <w:t> obesulus </w:t>
      </w:r>
      <w:r>
        <w:rPr/>
        <w:t>and </w:t>
      </w:r>
      <w:r>
        <w:rPr>
          <w:i/>
        </w:rPr>
        <w:t>Perameles nasuta </w:t>
      </w:r>
      <w:r>
        <w:rPr/>
        <w:t>combined) presence initially increased with rising shrub cover post-fire (up to 25 years), but then declined more rapidly than expected, likely due to interactions with feral cats rather than foxes. This relationship with fire is consistent with our findings, where bandicoot colonisation probability was high initially before declining over time, and while the model outcome did not include fox control as a substantial influence, colonisation rates were generally higher in areas with fox control.</w:t>
      </w:r>
    </w:p>
    <w:p>
      <w:pPr>
        <w:pStyle w:val="BodyText"/>
        <w:spacing w:before="121"/>
        <w:ind w:left="1132" w:right="1204"/>
      </w:pPr>
      <w:r>
        <w:rPr/>
        <w:t>Distance to water and distance from non-native vegetation influence bandicoot survival and colonisation. Research indicates that foxes preferentially utilise ecotones or edges, selecting human-modified habitats such</w:t>
      </w:r>
      <w:r>
        <w:rPr>
          <w:spacing w:val="-4"/>
        </w:rPr>
        <w:t> </w:t>
      </w:r>
      <w:r>
        <w:rPr/>
        <w:t>as</w:t>
      </w:r>
      <w:r>
        <w:rPr>
          <w:spacing w:val="-3"/>
        </w:rPr>
        <w:t> </w:t>
      </w:r>
      <w:r>
        <w:rPr/>
        <w:t>reservoirs,</w:t>
      </w:r>
      <w:r>
        <w:rPr>
          <w:spacing w:val="-4"/>
        </w:rPr>
        <w:t> </w:t>
      </w:r>
      <w:r>
        <w:rPr/>
        <w:t>forest</w:t>
      </w:r>
      <w:r>
        <w:rPr>
          <w:spacing w:val="-4"/>
        </w:rPr>
        <w:t> </w:t>
      </w:r>
      <w:r>
        <w:rPr/>
        <w:t>edges,</w:t>
      </w:r>
      <w:r>
        <w:rPr>
          <w:spacing w:val="-4"/>
        </w:rPr>
        <w:t> </w:t>
      </w:r>
      <w:r>
        <w:rPr/>
        <w:t>and</w:t>
      </w:r>
      <w:r>
        <w:rPr>
          <w:spacing w:val="-5"/>
        </w:rPr>
        <w:t> </w:t>
      </w:r>
      <w:r>
        <w:rPr/>
        <w:t>roads</w:t>
      </w:r>
      <w:r>
        <w:rPr>
          <w:spacing w:val="-3"/>
        </w:rPr>
        <w:t> </w:t>
      </w:r>
      <w:r>
        <w:rPr/>
        <w:t>(Hradsky et</w:t>
      </w:r>
      <w:r>
        <w:rPr>
          <w:spacing w:val="-4"/>
        </w:rPr>
        <w:t> </w:t>
      </w:r>
      <w:r>
        <w:rPr/>
        <w:t>al.</w:t>
      </w:r>
      <w:r>
        <w:rPr>
          <w:spacing w:val="-4"/>
        </w:rPr>
        <w:t> </w:t>
      </w:r>
      <w:r>
        <w:rPr/>
        <w:t>2017).</w:t>
      </w:r>
      <w:r>
        <w:rPr>
          <w:spacing w:val="-4"/>
        </w:rPr>
        <w:t> </w:t>
      </w:r>
      <w:r>
        <w:rPr/>
        <w:t>These</w:t>
      </w:r>
      <w:r>
        <w:rPr>
          <w:spacing w:val="-4"/>
        </w:rPr>
        <w:t> </w:t>
      </w:r>
      <w:r>
        <w:rPr/>
        <w:t>areas</w:t>
      </w:r>
      <w:r>
        <w:rPr>
          <w:spacing w:val="-3"/>
        </w:rPr>
        <w:t> </w:t>
      </w:r>
      <w:r>
        <w:rPr/>
        <w:t>are</w:t>
      </w:r>
      <w:r>
        <w:rPr>
          <w:spacing w:val="-4"/>
        </w:rPr>
        <w:t> </w:t>
      </w:r>
      <w:r>
        <w:rPr/>
        <w:t>both</w:t>
      </w:r>
      <w:r>
        <w:rPr>
          <w:spacing w:val="-2"/>
        </w:rPr>
        <w:t> </w:t>
      </w:r>
      <w:r>
        <w:rPr/>
        <w:t>productive</w:t>
      </w:r>
      <w:r>
        <w:rPr>
          <w:spacing w:val="-2"/>
        </w:rPr>
        <w:t> </w:t>
      </w:r>
      <w:r>
        <w:rPr/>
        <w:t>and</w:t>
      </w:r>
      <w:r>
        <w:rPr>
          <w:spacing w:val="-2"/>
        </w:rPr>
        <w:t> </w:t>
      </w:r>
      <w:r>
        <w:rPr/>
        <w:t>offer ample hunting opportunities (Storch et al. 2005). The tendency of bandicoots to colonise new sites away</w:t>
      </w:r>
    </w:p>
    <w:p>
      <w:pPr>
        <w:pStyle w:val="BodyText"/>
        <w:spacing w:after="0"/>
        <w:sectPr>
          <w:footerReference w:type="default" r:id="rId59"/>
          <w:pgSz w:w="11910" w:h="16850"/>
          <w:pgMar w:header="0" w:footer="688" w:top="1140" w:bottom="880" w:left="0" w:right="0"/>
        </w:sectPr>
      </w:pPr>
    </w:p>
    <w:p>
      <w:pPr>
        <w:pStyle w:val="BodyText"/>
        <w:spacing w:before="71"/>
        <w:ind w:left="1132" w:right="1204"/>
      </w:pPr>
      <w:r>
        <w:rPr/>
        <w:t>from</w:t>
      </w:r>
      <w:r>
        <w:rPr>
          <w:spacing w:val="-4"/>
        </w:rPr>
        <w:t> </w:t>
      </w:r>
      <w:r>
        <w:rPr/>
        <w:t>open</w:t>
      </w:r>
      <w:r>
        <w:rPr>
          <w:spacing w:val="-2"/>
        </w:rPr>
        <w:t> </w:t>
      </w:r>
      <w:r>
        <w:rPr/>
        <w:t>non-native</w:t>
      </w:r>
      <w:r>
        <w:rPr>
          <w:spacing w:val="-4"/>
        </w:rPr>
        <w:t> </w:t>
      </w:r>
      <w:r>
        <w:rPr/>
        <w:t>vegetation,</w:t>
      </w:r>
      <w:r>
        <w:rPr>
          <w:spacing w:val="-4"/>
        </w:rPr>
        <w:t> </w:t>
      </w:r>
      <w:r>
        <w:rPr/>
        <w:t>such</w:t>
      </w:r>
      <w:r>
        <w:rPr>
          <w:spacing w:val="-2"/>
        </w:rPr>
        <w:t> </w:t>
      </w:r>
      <w:r>
        <w:rPr/>
        <w:t>as</w:t>
      </w:r>
      <w:r>
        <w:rPr>
          <w:spacing w:val="-3"/>
        </w:rPr>
        <w:t> </w:t>
      </w:r>
      <w:r>
        <w:rPr/>
        <w:t>farm</w:t>
      </w:r>
      <w:r>
        <w:rPr>
          <w:spacing w:val="-2"/>
        </w:rPr>
        <w:t> </w:t>
      </w:r>
      <w:r>
        <w:rPr/>
        <w:t>paddocks</w:t>
      </w:r>
      <w:r>
        <w:rPr>
          <w:spacing w:val="-3"/>
        </w:rPr>
        <w:t> </w:t>
      </w:r>
      <w:r>
        <w:rPr/>
        <w:t>and</w:t>
      </w:r>
      <w:r>
        <w:rPr>
          <w:spacing w:val="-4"/>
        </w:rPr>
        <w:t> </w:t>
      </w:r>
      <w:r>
        <w:rPr/>
        <w:t>pine</w:t>
      </w:r>
      <w:r>
        <w:rPr>
          <w:spacing w:val="-3"/>
        </w:rPr>
        <w:t> </w:t>
      </w:r>
      <w:r>
        <w:rPr/>
        <w:t>plantations,</w:t>
      </w:r>
      <w:r>
        <w:rPr>
          <w:spacing w:val="-4"/>
        </w:rPr>
        <w:t> </w:t>
      </w:r>
      <w:r>
        <w:rPr/>
        <w:t>suggests</w:t>
      </w:r>
      <w:r>
        <w:rPr>
          <w:spacing w:val="-3"/>
        </w:rPr>
        <w:t> </w:t>
      </w:r>
      <w:r>
        <w:rPr/>
        <w:t>an</w:t>
      </w:r>
      <w:r>
        <w:rPr>
          <w:spacing w:val="-2"/>
        </w:rPr>
        <w:t> </w:t>
      </w:r>
      <w:r>
        <w:rPr/>
        <w:t>avoidance</w:t>
      </w:r>
      <w:r>
        <w:rPr>
          <w:spacing w:val="-4"/>
        </w:rPr>
        <w:t> </w:t>
      </w:r>
      <w:r>
        <w:rPr/>
        <w:t>of areas with higher predation risk.</w:t>
      </w:r>
    </w:p>
    <w:p>
      <w:pPr>
        <w:pStyle w:val="BodyText"/>
        <w:spacing w:before="122"/>
        <w:ind w:left="1132" w:right="1228"/>
      </w:pPr>
      <w:r>
        <w:rPr/>
        <w:t>Potoroos exhibited significantly higher colonisation rates in vegetation communities outside of Tall Mixed Forest under fox control, while colonisation rates were very low and showed no variation between EVD groupings at sites without fox control. This pattern likely reflects a habitat preference for areas outside Tall Mixed Forest and suggests that foxes may limit colonisation within this EVD. According to Bennett (1993), Long-nosed Potoroos are associated with dense ground and shrub vegetation across their geographic range. However, Bennett's study also found that potoroos were present in areas with varied vegetation compositions</w:t>
      </w:r>
      <w:r>
        <w:rPr>
          <w:spacing w:val="-3"/>
        </w:rPr>
        <w:t> </w:t>
      </w:r>
      <w:r>
        <w:rPr/>
        <w:t>and</w:t>
      </w:r>
      <w:r>
        <w:rPr>
          <w:spacing w:val="-3"/>
        </w:rPr>
        <w:t> </w:t>
      </w:r>
      <w:r>
        <w:rPr/>
        <w:t>densities</w:t>
      </w:r>
      <w:r>
        <w:rPr>
          <w:spacing w:val="-1"/>
        </w:rPr>
        <w:t> </w:t>
      </w:r>
      <w:r>
        <w:rPr/>
        <w:t>and</w:t>
      </w:r>
      <w:r>
        <w:rPr>
          <w:spacing w:val="-1"/>
        </w:rPr>
        <w:t> </w:t>
      </w:r>
      <w:r>
        <w:rPr/>
        <w:t>were</w:t>
      </w:r>
      <w:r>
        <w:rPr>
          <w:spacing w:val="-3"/>
        </w:rPr>
        <w:t> </w:t>
      </w:r>
      <w:r>
        <w:rPr/>
        <w:t>not</w:t>
      </w:r>
      <w:r>
        <w:rPr>
          <w:spacing w:val="-4"/>
        </w:rPr>
        <w:t> </w:t>
      </w:r>
      <w:r>
        <w:rPr/>
        <w:t>strongly</w:t>
      </w:r>
      <w:r>
        <w:rPr>
          <w:spacing w:val="-3"/>
        </w:rPr>
        <w:t> </w:t>
      </w:r>
      <w:r>
        <w:rPr/>
        <w:t>tied to</w:t>
      </w:r>
      <w:r>
        <w:rPr>
          <w:spacing w:val="-5"/>
        </w:rPr>
        <w:t> </w:t>
      </w:r>
      <w:r>
        <w:rPr/>
        <w:t>a</w:t>
      </w:r>
      <w:r>
        <w:rPr>
          <w:spacing w:val="-4"/>
        </w:rPr>
        <w:t> </w:t>
      </w:r>
      <w:r>
        <w:rPr/>
        <w:t>specific</w:t>
      </w:r>
      <w:r>
        <w:rPr>
          <w:spacing w:val="-3"/>
        </w:rPr>
        <w:t> </w:t>
      </w:r>
      <w:r>
        <w:rPr/>
        <w:t>vegetation</w:t>
      </w:r>
      <w:r>
        <w:rPr>
          <w:spacing w:val="-4"/>
        </w:rPr>
        <w:t> </w:t>
      </w:r>
      <w:r>
        <w:rPr/>
        <w:t>type</w:t>
      </w:r>
      <w:r>
        <w:rPr>
          <w:spacing w:val="-4"/>
        </w:rPr>
        <w:t> </w:t>
      </w:r>
      <w:r>
        <w:rPr/>
        <w:t>or</w:t>
      </w:r>
      <w:r>
        <w:rPr>
          <w:spacing w:val="-3"/>
        </w:rPr>
        <w:t> </w:t>
      </w:r>
      <w:r>
        <w:rPr/>
        <w:t>structural</w:t>
      </w:r>
      <w:r>
        <w:rPr>
          <w:spacing w:val="-3"/>
        </w:rPr>
        <w:t> </w:t>
      </w:r>
      <w:r>
        <w:rPr/>
        <w:t>feature.</w:t>
      </w:r>
      <w:r>
        <w:rPr>
          <w:spacing w:val="-4"/>
        </w:rPr>
        <w:t> </w:t>
      </w:r>
      <w:r>
        <w:rPr/>
        <w:t>This mosaic of dense and open habitats provided both shelter from predators and abundant food resources in more open areas (Bennett 1993). To better understand the local drivers affecting both potoroos and bandicoots, the collection of detailed site-specific habitat variables from each camera site is recommended.</w:t>
      </w:r>
    </w:p>
    <w:p>
      <w:pPr>
        <w:pStyle w:val="BodyText"/>
        <w:spacing w:before="119"/>
        <w:ind w:left="1132" w:right="1167"/>
      </w:pPr>
      <w:r>
        <w:rPr/>
        <w:t>The</w:t>
      </w:r>
      <w:r>
        <w:rPr>
          <w:spacing w:val="-2"/>
        </w:rPr>
        <w:t> </w:t>
      </w:r>
      <w:r>
        <w:rPr/>
        <w:t>relationship</w:t>
      </w:r>
      <w:r>
        <w:rPr>
          <w:spacing w:val="-1"/>
        </w:rPr>
        <w:t> </w:t>
      </w:r>
      <w:r>
        <w:rPr/>
        <w:t>between elevation,</w:t>
      </w:r>
      <w:r>
        <w:rPr>
          <w:spacing w:val="-1"/>
        </w:rPr>
        <w:t> </w:t>
      </w:r>
      <w:r>
        <w:rPr/>
        <w:t>potoroo and</w:t>
      </w:r>
      <w:r>
        <w:rPr>
          <w:spacing w:val="-2"/>
        </w:rPr>
        <w:t> </w:t>
      </w:r>
      <w:r>
        <w:rPr/>
        <w:t>bandicoot parameters remains unclear. Landscape position has been shown to influence the presence of both foxes and Long-footed Potoroos (Lumsden et al. 2012). Lumsden</w:t>
      </w:r>
      <w:r>
        <w:rPr>
          <w:spacing w:val="-3"/>
        </w:rPr>
        <w:t> </w:t>
      </w:r>
      <w:r>
        <w:rPr/>
        <w:t>et</w:t>
      </w:r>
      <w:r>
        <w:rPr>
          <w:spacing w:val="-1"/>
        </w:rPr>
        <w:t> </w:t>
      </w:r>
      <w:r>
        <w:rPr/>
        <w:t>al.</w:t>
      </w:r>
      <w:r>
        <w:rPr>
          <w:spacing w:val="-3"/>
        </w:rPr>
        <w:t> </w:t>
      </w:r>
      <w:r>
        <w:rPr/>
        <w:t>(2012) found</w:t>
      </w:r>
      <w:r>
        <w:rPr>
          <w:spacing w:val="-3"/>
        </w:rPr>
        <w:t> </w:t>
      </w:r>
      <w:r>
        <w:rPr/>
        <w:t>that</w:t>
      </w:r>
      <w:r>
        <w:rPr>
          <w:spacing w:val="-3"/>
        </w:rPr>
        <w:t> </w:t>
      </w:r>
      <w:r>
        <w:rPr/>
        <w:t>foxes</w:t>
      </w:r>
      <w:r>
        <w:rPr>
          <w:spacing w:val="-2"/>
        </w:rPr>
        <w:t> </w:t>
      </w:r>
      <w:r>
        <w:rPr/>
        <w:t>were</w:t>
      </w:r>
      <w:r>
        <w:rPr>
          <w:spacing w:val="-3"/>
        </w:rPr>
        <w:t> </w:t>
      </w:r>
      <w:r>
        <w:rPr/>
        <w:t>more</w:t>
      </w:r>
      <w:r>
        <w:rPr>
          <w:spacing w:val="-3"/>
        </w:rPr>
        <w:t> </w:t>
      </w:r>
      <w:r>
        <w:rPr/>
        <w:t>likely</w:t>
      </w:r>
      <w:r>
        <w:rPr>
          <w:spacing w:val="-2"/>
        </w:rPr>
        <w:t> </w:t>
      </w:r>
      <w:r>
        <w:rPr/>
        <w:t>to</w:t>
      </w:r>
      <w:r>
        <w:rPr>
          <w:spacing w:val="-4"/>
        </w:rPr>
        <w:t> </w:t>
      </w:r>
      <w:r>
        <w:rPr/>
        <w:t>occur</w:t>
      </w:r>
      <w:r>
        <w:rPr>
          <w:spacing w:val="-3"/>
        </w:rPr>
        <w:t> </w:t>
      </w:r>
      <w:r>
        <w:rPr/>
        <w:t>at</w:t>
      </w:r>
      <w:r>
        <w:rPr>
          <w:spacing w:val="-3"/>
        </w:rPr>
        <w:t> </w:t>
      </w:r>
      <w:r>
        <w:rPr/>
        <w:t>sites</w:t>
      </w:r>
      <w:r>
        <w:rPr>
          <w:spacing w:val="-2"/>
        </w:rPr>
        <w:t> </w:t>
      </w:r>
      <w:r>
        <w:rPr/>
        <w:t>with</w:t>
      </w:r>
      <w:r>
        <w:rPr>
          <w:spacing w:val="-3"/>
        </w:rPr>
        <w:t> </w:t>
      </w:r>
      <w:r>
        <w:rPr/>
        <w:t>either</w:t>
      </w:r>
      <w:r>
        <w:rPr>
          <w:spacing w:val="-3"/>
        </w:rPr>
        <w:t> </w:t>
      </w:r>
      <w:r>
        <w:rPr/>
        <w:t>high</w:t>
      </w:r>
      <w:r>
        <w:rPr>
          <w:spacing w:val="-3"/>
        </w:rPr>
        <w:t> </w:t>
      </w:r>
      <w:r>
        <w:rPr/>
        <w:t>or low</w:t>
      </w:r>
      <w:r>
        <w:rPr>
          <w:spacing w:val="-1"/>
        </w:rPr>
        <w:t> </w:t>
      </w:r>
      <w:r>
        <w:rPr/>
        <w:t>elevation</w:t>
      </w:r>
      <w:r>
        <w:rPr>
          <w:spacing w:val="-2"/>
        </w:rPr>
        <w:t> </w:t>
      </w:r>
      <w:r>
        <w:rPr/>
        <w:t>and easterly aspects, but less likely on steep, mid-slope habitats. Conversely, Long-footed Potoroos were somewhat more likely to occur at sites with intermediate elevations, higher stream density, and easterly aspects.</w:t>
      </w:r>
      <w:r>
        <w:rPr>
          <w:spacing w:val="-3"/>
        </w:rPr>
        <w:t> </w:t>
      </w:r>
      <w:r>
        <w:rPr/>
        <w:t>The</w:t>
      </w:r>
      <w:r>
        <w:rPr>
          <w:spacing w:val="-1"/>
        </w:rPr>
        <w:t> </w:t>
      </w:r>
      <w:r>
        <w:rPr/>
        <w:t>elevation</w:t>
      </w:r>
      <w:r>
        <w:rPr>
          <w:spacing w:val="-4"/>
        </w:rPr>
        <w:t> </w:t>
      </w:r>
      <w:r>
        <w:rPr/>
        <w:t>range</w:t>
      </w:r>
      <w:r>
        <w:rPr>
          <w:spacing w:val="-4"/>
        </w:rPr>
        <w:t> </w:t>
      </w:r>
      <w:r>
        <w:rPr/>
        <w:t>at</w:t>
      </w:r>
      <w:r>
        <w:rPr>
          <w:spacing w:val="-1"/>
        </w:rPr>
        <w:t> </w:t>
      </w:r>
      <w:r>
        <w:rPr/>
        <w:t>our</w:t>
      </w:r>
      <w:r>
        <w:rPr>
          <w:spacing w:val="-2"/>
        </w:rPr>
        <w:t> </w:t>
      </w:r>
      <w:r>
        <w:rPr/>
        <w:t>sites was</w:t>
      </w:r>
      <w:r>
        <w:rPr>
          <w:spacing w:val="-2"/>
        </w:rPr>
        <w:t> </w:t>
      </w:r>
      <w:r>
        <w:rPr/>
        <w:t>relatively</w:t>
      </w:r>
      <w:r>
        <w:rPr>
          <w:spacing w:val="-2"/>
        </w:rPr>
        <w:t> </w:t>
      </w:r>
      <w:r>
        <w:rPr/>
        <w:t>small</w:t>
      </w:r>
      <w:r>
        <w:rPr>
          <w:spacing w:val="-4"/>
        </w:rPr>
        <w:t> </w:t>
      </w:r>
      <w:r>
        <w:rPr/>
        <w:t>(sea</w:t>
      </w:r>
      <w:r>
        <w:rPr>
          <w:spacing w:val="-3"/>
        </w:rPr>
        <w:t> </w:t>
      </w:r>
      <w:r>
        <w:rPr/>
        <w:t>level</w:t>
      </w:r>
      <w:r>
        <w:rPr>
          <w:spacing w:val="-4"/>
        </w:rPr>
        <w:t> </w:t>
      </w:r>
      <w:r>
        <w:rPr/>
        <w:t>to</w:t>
      </w:r>
      <w:r>
        <w:rPr>
          <w:spacing w:val="-3"/>
        </w:rPr>
        <w:t> </w:t>
      </w:r>
      <w:r>
        <w:rPr/>
        <w:t>160</w:t>
      </w:r>
      <w:r>
        <w:rPr>
          <w:spacing w:val="-1"/>
        </w:rPr>
        <w:t> </w:t>
      </w:r>
      <w:r>
        <w:rPr/>
        <w:t>m).</w:t>
      </w:r>
      <w:r>
        <w:rPr>
          <w:spacing w:val="-3"/>
        </w:rPr>
        <w:t> </w:t>
      </w:r>
      <w:r>
        <w:rPr/>
        <w:t>Elevation</w:t>
      </w:r>
      <w:r>
        <w:rPr>
          <w:spacing w:val="-4"/>
        </w:rPr>
        <w:t> </w:t>
      </w:r>
      <w:r>
        <w:rPr/>
        <w:t>was</w:t>
      </w:r>
      <w:r>
        <w:rPr>
          <w:spacing w:val="-2"/>
        </w:rPr>
        <w:t> </w:t>
      </w:r>
      <w:r>
        <w:rPr/>
        <w:t>included</w:t>
      </w:r>
      <w:r>
        <w:rPr>
          <w:spacing w:val="-2"/>
        </w:rPr>
        <w:t> </w:t>
      </w:r>
      <w:r>
        <w:rPr/>
        <w:t>as a proxy for soil moisture and temperature gradients, which affect resource availability. However, this may be a poor proxy in our study, and a more informative variable could provide deeper insights. We recommend using the fraction of absorbed photosynthetically active radiation (FAPAR; Qin et al. 2018), which characterises the energy absorption capacity of vegetation canopies and is crucial for estimating the net primary production of terrestrial ecosystems. This variable could help interpret patterns in site occupancy, such as the peaks and troughs observed in Southern Brown Bandicoots, which roughly coincided with significant rainfall events in 2010-2011 and 2020.</w:t>
      </w:r>
    </w:p>
    <w:p>
      <w:pPr>
        <w:pStyle w:val="BodyText"/>
        <w:spacing w:before="121"/>
        <w:ind w:left="1132" w:right="1204"/>
      </w:pPr>
      <w:r>
        <w:rPr/>
        <w:t>The third prediction we made about the target species response was that there would be greater overall growth rates at sites with fox control than at those without fox control.This prediction held true only for potoroos, and even then, to a limited and variable extent. After 19 years of fox control, the growth of occupied sites has stabilised across locations with fox control and remains lower but constant in locations without</w:t>
      </w:r>
      <w:r>
        <w:rPr>
          <w:spacing w:val="-4"/>
        </w:rPr>
        <w:t> </w:t>
      </w:r>
      <w:r>
        <w:rPr/>
        <w:t>fox</w:t>
      </w:r>
      <w:r>
        <w:rPr>
          <w:spacing w:val="-3"/>
        </w:rPr>
        <w:t> </w:t>
      </w:r>
      <w:r>
        <w:rPr/>
        <w:t>control,</w:t>
      </w:r>
      <w:r>
        <w:rPr>
          <w:spacing w:val="-4"/>
        </w:rPr>
        <w:t> </w:t>
      </w:r>
      <w:r>
        <w:rPr/>
        <w:t>resulting</w:t>
      </w:r>
      <w:r>
        <w:rPr>
          <w:spacing w:val="-4"/>
        </w:rPr>
        <w:t> </w:t>
      </w:r>
      <w:r>
        <w:rPr/>
        <w:t>in</w:t>
      </w:r>
      <w:r>
        <w:rPr>
          <w:spacing w:val="-2"/>
        </w:rPr>
        <w:t> </w:t>
      </w:r>
      <w:r>
        <w:rPr/>
        <w:t>minimal</w:t>
      </w:r>
      <w:r>
        <w:rPr>
          <w:spacing w:val="-5"/>
        </w:rPr>
        <w:t> </w:t>
      </w:r>
      <w:r>
        <w:rPr/>
        <w:t>differences</w:t>
      </w:r>
      <w:r>
        <w:rPr>
          <w:spacing w:val="-3"/>
        </w:rPr>
        <w:t> </w:t>
      </w:r>
      <w:r>
        <w:rPr/>
        <w:t>between</w:t>
      </w:r>
      <w:r>
        <w:rPr>
          <w:spacing w:val="-3"/>
        </w:rPr>
        <w:t> </w:t>
      </w:r>
      <w:r>
        <w:rPr/>
        <w:t>the</w:t>
      </w:r>
      <w:r>
        <w:rPr>
          <w:spacing w:val="-3"/>
        </w:rPr>
        <w:t> </w:t>
      </w:r>
      <w:r>
        <w:rPr/>
        <w:t>two.</w:t>
      </w:r>
      <w:r>
        <w:rPr>
          <w:spacing w:val="-4"/>
        </w:rPr>
        <w:t> </w:t>
      </w:r>
      <w:r>
        <w:rPr/>
        <w:t>This</w:t>
      </w:r>
      <w:r>
        <w:rPr>
          <w:spacing w:val="-3"/>
        </w:rPr>
        <w:t> </w:t>
      </w:r>
      <w:r>
        <w:rPr/>
        <w:t>may</w:t>
      </w:r>
      <w:r>
        <w:rPr>
          <w:spacing w:val="-3"/>
        </w:rPr>
        <w:t> </w:t>
      </w:r>
      <w:r>
        <w:rPr/>
        <w:t>indicate</w:t>
      </w:r>
      <w:r>
        <w:rPr>
          <w:spacing w:val="-5"/>
        </w:rPr>
        <w:t> </w:t>
      </w:r>
      <w:r>
        <w:rPr/>
        <w:t>that</w:t>
      </w:r>
      <w:r>
        <w:rPr>
          <w:spacing w:val="-2"/>
        </w:rPr>
        <w:t> </w:t>
      </w:r>
      <w:r>
        <w:rPr/>
        <w:t>fox</w:t>
      </w:r>
      <w:r>
        <w:rPr>
          <w:spacing w:val="-3"/>
        </w:rPr>
        <w:t> </w:t>
      </w:r>
      <w:r>
        <w:rPr/>
        <w:t>abundance has not been sufficiently reduced to eliminate growth limitations, or that other factors, or a combination of factors, such as the availability of suitable habitat, are restricting growth.</w:t>
      </w:r>
    </w:p>
    <w:p>
      <w:pPr>
        <w:pStyle w:val="BodyText"/>
        <w:spacing w:before="121"/>
        <w:ind w:left="1132" w:right="1204"/>
      </w:pPr>
      <w:r>
        <w:rPr/>
        <w:t>In 2005 (pre-fox control), the occurrence of all three species overlapped across all locations, with each species exhibiting distinct responses. Common Brush-tailed Possum occurrence increased at a similar rate across both treated and untreated locations, but with higher rates at treated sites. Long-nosed Potoroo occurrence</w:t>
      </w:r>
      <w:r>
        <w:rPr>
          <w:spacing w:val="-3"/>
        </w:rPr>
        <w:t> </w:t>
      </w:r>
      <w:r>
        <w:rPr/>
        <w:t>decreased</w:t>
      </w:r>
      <w:r>
        <w:rPr>
          <w:spacing w:val="-4"/>
        </w:rPr>
        <w:t> </w:t>
      </w:r>
      <w:r>
        <w:rPr/>
        <w:t>at</w:t>
      </w:r>
      <w:r>
        <w:rPr>
          <w:spacing w:val="-2"/>
        </w:rPr>
        <w:t> </w:t>
      </w:r>
      <w:r>
        <w:rPr/>
        <w:t>untreated</w:t>
      </w:r>
      <w:r>
        <w:rPr>
          <w:spacing w:val="-4"/>
        </w:rPr>
        <w:t> </w:t>
      </w:r>
      <w:r>
        <w:rPr/>
        <w:t>sites</w:t>
      </w:r>
      <w:r>
        <w:rPr>
          <w:spacing w:val="-3"/>
        </w:rPr>
        <w:t> </w:t>
      </w:r>
      <w:r>
        <w:rPr/>
        <w:t>while</w:t>
      </w:r>
      <w:r>
        <w:rPr>
          <w:spacing w:val="-2"/>
        </w:rPr>
        <w:t> </w:t>
      </w:r>
      <w:r>
        <w:rPr/>
        <w:t>initially</w:t>
      </w:r>
      <w:r>
        <w:rPr>
          <w:spacing w:val="-1"/>
        </w:rPr>
        <w:t> </w:t>
      </w:r>
      <w:r>
        <w:rPr/>
        <w:t>increasing</w:t>
      </w:r>
      <w:r>
        <w:rPr>
          <w:spacing w:val="-5"/>
        </w:rPr>
        <w:t> </w:t>
      </w:r>
      <w:r>
        <w:rPr/>
        <w:t>at</w:t>
      </w:r>
      <w:r>
        <w:rPr>
          <w:spacing w:val="-4"/>
        </w:rPr>
        <w:t> </w:t>
      </w:r>
      <w:r>
        <w:rPr/>
        <w:t>treated</w:t>
      </w:r>
      <w:r>
        <w:rPr>
          <w:spacing w:val="-5"/>
        </w:rPr>
        <w:t> </w:t>
      </w:r>
      <w:r>
        <w:rPr/>
        <w:t>sites</w:t>
      </w:r>
      <w:r>
        <w:rPr>
          <w:spacing w:val="-3"/>
        </w:rPr>
        <w:t> </w:t>
      </w:r>
      <w:r>
        <w:rPr/>
        <w:t>before</w:t>
      </w:r>
      <w:r>
        <w:rPr>
          <w:spacing w:val="-4"/>
        </w:rPr>
        <w:t> </w:t>
      </w:r>
      <w:r>
        <w:rPr/>
        <w:t>stabilising.</w:t>
      </w:r>
      <w:r>
        <w:rPr>
          <w:spacing w:val="-2"/>
        </w:rPr>
        <w:t> </w:t>
      </w:r>
      <w:r>
        <w:rPr/>
        <w:t>Southern Brown Bandicoot occurrence initially increased at</w:t>
      </w:r>
      <w:r>
        <w:rPr>
          <w:spacing w:val="-1"/>
        </w:rPr>
        <w:t> </w:t>
      </w:r>
      <w:r>
        <w:rPr/>
        <w:t>all locations, with</w:t>
      </w:r>
      <w:r>
        <w:rPr>
          <w:spacing w:val="-1"/>
        </w:rPr>
        <w:t> </w:t>
      </w:r>
      <w:r>
        <w:rPr/>
        <w:t>higher</w:t>
      </w:r>
      <w:r>
        <w:rPr>
          <w:spacing w:val="-1"/>
        </w:rPr>
        <w:t> </w:t>
      </w:r>
      <w:r>
        <w:rPr/>
        <w:t>rates at treated</w:t>
      </w:r>
      <w:r>
        <w:rPr>
          <w:spacing w:val="-1"/>
        </w:rPr>
        <w:t> </w:t>
      </w:r>
      <w:r>
        <w:rPr/>
        <w:t>sites, before</w:t>
      </w:r>
      <w:r>
        <w:rPr>
          <w:spacing w:val="-1"/>
        </w:rPr>
        <w:t> </w:t>
      </w:r>
      <w:r>
        <w:rPr/>
        <w:t>also stabilising. This suggests that while occurrence is higher at locations with fox control, the populations are now responding to drivers other than reduced fox densities.</w:t>
      </w:r>
    </w:p>
    <w:p>
      <w:pPr>
        <w:pStyle w:val="BodyText"/>
        <w:spacing w:before="121"/>
        <w:ind w:left="1132" w:right="1140"/>
      </w:pPr>
      <w:r>
        <w:rPr/>
        <w:t>An</w:t>
      </w:r>
      <w:r>
        <w:rPr>
          <w:spacing w:val="-4"/>
        </w:rPr>
        <w:t> </w:t>
      </w:r>
      <w:r>
        <w:rPr/>
        <w:t>exception</w:t>
      </w:r>
      <w:r>
        <w:rPr>
          <w:spacing w:val="-3"/>
        </w:rPr>
        <w:t> </w:t>
      </w:r>
      <w:r>
        <w:rPr/>
        <w:t>to</w:t>
      </w:r>
      <w:r>
        <w:rPr>
          <w:spacing w:val="-4"/>
        </w:rPr>
        <w:t> </w:t>
      </w:r>
      <w:r>
        <w:rPr/>
        <w:t>this</w:t>
      </w:r>
      <w:r>
        <w:rPr>
          <w:spacing w:val="-3"/>
        </w:rPr>
        <w:t> </w:t>
      </w:r>
      <w:r>
        <w:rPr/>
        <w:t>was</w:t>
      </w:r>
      <w:r>
        <w:rPr>
          <w:spacing w:val="-2"/>
        </w:rPr>
        <w:t> </w:t>
      </w:r>
      <w:r>
        <w:rPr/>
        <w:t>the</w:t>
      </w:r>
      <w:r>
        <w:rPr>
          <w:spacing w:val="-4"/>
        </w:rPr>
        <w:t> </w:t>
      </w:r>
      <w:r>
        <w:rPr/>
        <w:t>uplift</w:t>
      </w:r>
      <w:r>
        <w:rPr>
          <w:spacing w:val="-4"/>
        </w:rPr>
        <w:t> </w:t>
      </w:r>
      <w:r>
        <w:rPr/>
        <w:t>in</w:t>
      </w:r>
      <w:r>
        <w:rPr>
          <w:spacing w:val="-4"/>
        </w:rPr>
        <w:t> </w:t>
      </w:r>
      <w:r>
        <w:rPr/>
        <w:t>Southern</w:t>
      </w:r>
      <w:r>
        <w:rPr>
          <w:spacing w:val="-2"/>
        </w:rPr>
        <w:t> </w:t>
      </w:r>
      <w:r>
        <w:rPr/>
        <w:t>Brown</w:t>
      </w:r>
      <w:r>
        <w:rPr>
          <w:spacing w:val="-2"/>
        </w:rPr>
        <w:t> </w:t>
      </w:r>
      <w:r>
        <w:rPr/>
        <w:t>Bandicoot</w:t>
      </w:r>
      <w:r>
        <w:rPr>
          <w:spacing w:val="-4"/>
        </w:rPr>
        <w:t> </w:t>
      </w:r>
      <w:r>
        <w:rPr/>
        <w:t>occupancy</w:t>
      </w:r>
      <w:r>
        <w:rPr>
          <w:spacing w:val="-3"/>
        </w:rPr>
        <w:t> </w:t>
      </w:r>
      <w:r>
        <w:rPr/>
        <w:t>from</w:t>
      </w:r>
      <w:r>
        <w:rPr>
          <w:spacing w:val="-2"/>
        </w:rPr>
        <w:t> </w:t>
      </w:r>
      <w:r>
        <w:rPr/>
        <w:t>2021</w:t>
      </w:r>
      <w:r>
        <w:rPr>
          <w:spacing w:val="-2"/>
        </w:rPr>
        <w:t> </w:t>
      </w:r>
      <w:r>
        <w:rPr/>
        <w:t>to</w:t>
      </w:r>
      <w:r>
        <w:rPr>
          <w:spacing w:val="-3"/>
        </w:rPr>
        <w:t> </w:t>
      </w:r>
      <w:r>
        <w:rPr/>
        <w:t>2023.</w:t>
      </w:r>
      <w:r>
        <w:rPr>
          <w:spacing w:val="-4"/>
        </w:rPr>
        <w:t> </w:t>
      </w:r>
      <w:r>
        <w:rPr/>
        <w:t>This</w:t>
      </w:r>
      <w:r>
        <w:rPr>
          <w:spacing w:val="-3"/>
        </w:rPr>
        <w:t> </w:t>
      </w:r>
      <w:r>
        <w:rPr/>
        <w:t>increase occurred across all locations except LGNPN and was generally more pronounced at locations with fox control. The observation that occupancy and overall growth increased in 2022 but not in 2023 is likely an artifact of the modelling process. Sites occupied in 2022 where bandicoots were undetected in 2023 may have been reoccupied in 2024, leading the model to predict these sites as occupied in 2023, and therefore increasing the predicted number of occupied sites for that year.</w:t>
      </w:r>
    </w:p>
    <w:p>
      <w:pPr>
        <w:spacing w:before="120"/>
        <w:ind w:left="1132" w:right="0" w:firstLine="0"/>
        <w:jc w:val="left"/>
        <w:rPr>
          <w:i/>
          <w:sz w:val="20"/>
        </w:rPr>
      </w:pPr>
      <w:r>
        <w:rPr>
          <w:i/>
          <w:sz w:val="20"/>
        </w:rPr>
        <w:t>Variable</w:t>
      </w:r>
      <w:r>
        <w:rPr>
          <w:i/>
          <w:spacing w:val="-12"/>
          <w:sz w:val="20"/>
        </w:rPr>
        <w:t> </w:t>
      </w:r>
      <w:r>
        <w:rPr>
          <w:i/>
          <w:spacing w:val="-2"/>
          <w:sz w:val="20"/>
        </w:rPr>
        <w:t>selection</w:t>
      </w:r>
    </w:p>
    <w:p>
      <w:pPr>
        <w:pStyle w:val="BodyText"/>
        <w:spacing w:before="118"/>
        <w:ind w:left="1132" w:right="1195"/>
      </w:pPr>
      <w:r>
        <w:rPr/>
        <w:t>The static variables incorporated into our model offer valuable insights into the habitat characteristics influencing species presence. For instance, Tall Mixed Forest appears crucial for possums and potoroos, particularly in tandem with fox control, while proximity to water bodies emerges as significant for bandicoots and</w:t>
      </w:r>
      <w:r>
        <w:rPr>
          <w:spacing w:val="-2"/>
        </w:rPr>
        <w:t> </w:t>
      </w:r>
      <w:r>
        <w:rPr/>
        <w:t>potoroos,</w:t>
      </w:r>
      <w:r>
        <w:rPr>
          <w:spacing w:val="-4"/>
        </w:rPr>
        <w:t> </w:t>
      </w:r>
      <w:r>
        <w:rPr/>
        <w:t>again</w:t>
      </w:r>
      <w:r>
        <w:rPr>
          <w:spacing w:val="-4"/>
        </w:rPr>
        <w:t> </w:t>
      </w:r>
      <w:r>
        <w:rPr/>
        <w:t>in</w:t>
      </w:r>
      <w:r>
        <w:rPr>
          <w:spacing w:val="-4"/>
        </w:rPr>
        <w:t> </w:t>
      </w:r>
      <w:r>
        <w:rPr/>
        <w:t>areas</w:t>
      </w:r>
      <w:r>
        <w:rPr>
          <w:spacing w:val="-3"/>
        </w:rPr>
        <w:t> </w:t>
      </w:r>
      <w:r>
        <w:rPr/>
        <w:t>with</w:t>
      </w:r>
      <w:r>
        <w:rPr>
          <w:spacing w:val="-5"/>
        </w:rPr>
        <w:t> </w:t>
      </w:r>
      <w:r>
        <w:rPr/>
        <w:t>fox</w:t>
      </w:r>
      <w:r>
        <w:rPr>
          <w:spacing w:val="-3"/>
        </w:rPr>
        <w:t> </w:t>
      </w:r>
      <w:r>
        <w:rPr/>
        <w:t>control.</w:t>
      </w:r>
      <w:r>
        <w:rPr>
          <w:spacing w:val="-2"/>
        </w:rPr>
        <w:t> </w:t>
      </w:r>
      <w:r>
        <w:rPr/>
        <w:t>Selecting</w:t>
      </w:r>
      <w:r>
        <w:rPr>
          <w:spacing w:val="-2"/>
        </w:rPr>
        <w:t> </w:t>
      </w:r>
      <w:r>
        <w:rPr/>
        <w:t>the</w:t>
      </w:r>
      <w:r>
        <w:rPr>
          <w:spacing w:val="-2"/>
        </w:rPr>
        <w:t> </w:t>
      </w:r>
      <w:r>
        <w:rPr/>
        <w:t>most</w:t>
      </w:r>
      <w:r>
        <w:rPr>
          <w:spacing w:val="-4"/>
        </w:rPr>
        <w:t> </w:t>
      </w:r>
      <w:r>
        <w:rPr/>
        <w:t>informative</w:t>
      </w:r>
      <w:r>
        <w:rPr>
          <w:spacing w:val="-2"/>
        </w:rPr>
        <w:t> </w:t>
      </w:r>
      <w:r>
        <w:rPr/>
        <w:t>predictors</w:t>
      </w:r>
      <w:r>
        <w:rPr>
          <w:spacing w:val="-2"/>
        </w:rPr>
        <w:t> </w:t>
      </w:r>
      <w:r>
        <w:rPr/>
        <w:t>for modelling</w:t>
      </w:r>
      <w:r>
        <w:rPr>
          <w:spacing w:val="-3"/>
        </w:rPr>
        <w:t> </w:t>
      </w:r>
      <w:r>
        <w:rPr/>
        <w:t>species response presents a challenge. Ideally, factors directly impacting population growth, survival, distribution, or relevant biotic and abiotic processes should be prioritised (Phillips et al. 2006). While our analysis</w:t>
      </w:r>
      <w:r>
        <w:rPr/>
        <w:t> considered these criteria, future refinement may involve reviewing and potentially adding or removing variables to elucidate any disparities in habitat use between locations with and without fox control.</w:t>
      </w:r>
    </w:p>
    <w:p>
      <w:pPr>
        <w:pStyle w:val="BodyText"/>
        <w:spacing w:before="121"/>
        <w:ind w:left="1132" w:right="1140"/>
      </w:pPr>
      <w:r>
        <w:rPr/>
        <w:t>Time-varying</w:t>
      </w:r>
      <w:r>
        <w:rPr>
          <w:spacing w:val="-4"/>
        </w:rPr>
        <w:t> </w:t>
      </w:r>
      <w:r>
        <w:rPr/>
        <w:t>variables,</w:t>
      </w:r>
      <w:r>
        <w:rPr>
          <w:spacing w:val="-4"/>
        </w:rPr>
        <w:t> </w:t>
      </w:r>
      <w:r>
        <w:rPr/>
        <w:t>such</w:t>
      </w:r>
      <w:r>
        <w:rPr>
          <w:spacing w:val="-4"/>
        </w:rPr>
        <w:t> </w:t>
      </w:r>
      <w:r>
        <w:rPr/>
        <w:t>as</w:t>
      </w:r>
      <w:r>
        <w:rPr>
          <w:spacing w:val="-4"/>
        </w:rPr>
        <w:t> </w:t>
      </w:r>
      <w:r>
        <w:rPr/>
        <w:t>time-since-fire,</w:t>
      </w:r>
      <w:r>
        <w:rPr>
          <w:spacing w:val="-3"/>
        </w:rPr>
        <w:t> </w:t>
      </w:r>
      <w:r>
        <w:rPr/>
        <w:t>provide</w:t>
      </w:r>
      <w:r>
        <w:rPr>
          <w:spacing w:val="-4"/>
        </w:rPr>
        <w:t> </w:t>
      </w:r>
      <w:r>
        <w:rPr/>
        <w:t>insight</w:t>
      </w:r>
      <w:r>
        <w:rPr>
          <w:spacing w:val="-3"/>
        </w:rPr>
        <w:t> </w:t>
      </w:r>
      <w:r>
        <w:rPr/>
        <w:t>into</w:t>
      </w:r>
      <w:r>
        <w:rPr>
          <w:spacing w:val="-5"/>
        </w:rPr>
        <w:t> </w:t>
      </w:r>
      <w:r>
        <w:rPr/>
        <w:t>temporal</w:t>
      </w:r>
      <w:r>
        <w:rPr>
          <w:spacing w:val="-5"/>
        </w:rPr>
        <w:t> </w:t>
      </w:r>
      <w:r>
        <w:rPr/>
        <w:t>changes</w:t>
      </w:r>
      <w:r>
        <w:rPr>
          <w:spacing w:val="-4"/>
        </w:rPr>
        <w:t> </w:t>
      </w:r>
      <w:r>
        <w:rPr/>
        <w:t>in</w:t>
      </w:r>
      <w:r>
        <w:rPr>
          <w:spacing w:val="-3"/>
        </w:rPr>
        <w:t> </w:t>
      </w:r>
      <w:r>
        <w:rPr/>
        <w:t>species</w:t>
      </w:r>
      <w:r>
        <w:rPr>
          <w:spacing w:val="-2"/>
        </w:rPr>
        <w:t> </w:t>
      </w:r>
      <w:r>
        <w:rPr/>
        <w:t>occurrence. Increasing time-since-fire, for instance, emerged as significant for Southern Brown Bandicoots, but not for other</w:t>
      </w:r>
      <w:r>
        <w:rPr>
          <w:spacing w:val="-1"/>
        </w:rPr>
        <w:t> </w:t>
      </w:r>
      <w:r>
        <w:rPr/>
        <w:t>species. Another potentially informative</w:t>
      </w:r>
      <w:r>
        <w:rPr>
          <w:spacing w:val="-1"/>
        </w:rPr>
        <w:t> </w:t>
      </w:r>
      <w:r>
        <w:rPr/>
        <w:t>variable could</w:t>
      </w:r>
      <w:r>
        <w:rPr>
          <w:spacing w:val="-1"/>
        </w:rPr>
        <w:t> </w:t>
      </w:r>
      <w:r>
        <w:rPr/>
        <w:t>reflect</w:t>
      </w:r>
      <w:r>
        <w:rPr>
          <w:spacing w:val="-1"/>
        </w:rPr>
        <w:t> </w:t>
      </w:r>
      <w:r>
        <w:rPr/>
        <w:t>changes in</w:t>
      </w:r>
      <w:r>
        <w:rPr>
          <w:spacing w:val="-1"/>
        </w:rPr>
        <w:t> </w:t>
      </w:r>
      <w:r>
        <w:rPr/>
        <w:t>productivity.</w:t>
      </w:r>
      <w:r>
        <w:rPr>
          <w:spacing w:val="-1"/>
        </w:rPr>
        <w:t> </w:t>
      </w:r>
      <w:r>
        <w:rPr/>
        <w:t>Terrain Wetness Index (TWI), serving as a proxy for soil moisture and vegetation productivity (Kopecky and Cizkova 2010), and Terrain Ruggedness, representing microhabitat diversity (Dilts et al. 2023), offer broad representations</w:t>
      </w:r>
    </w:p>
    <w:p>
      <w:pPr>
        <w:pStyle w:val="BodyText"/>
        <w:spacing w:after="0"/>
        <w:sectPr>
          <w:footerReference w:type="default" r:id="rId60"/>
          <w:pgSz w:w="11910" w:h="16850"/>
          <w:pgMar w:header="0" w:footer="688" w:top="1060" w:bottom="880" w:left="0" w:right="0"/>
        </w:sectPr>
      </w:pPr>
    </w:p>
    <w:p>
      <w:pPr>
        <w:pStyle w:val="BodyText"/>
        <w:spacing w:before="71"/>
        <w:ind w:left="1132" w:right="1204"/>
      </w:pPr>
      <w:r>
        <w:rPr/>
        <w:t>of</w:t>
      </w:r>
      <w:r>
        <w:rPr>
          <w:spacing w:val="-4"/>
        </w:rPr>
        <w:t> </w:t>
      </w:r>
      <w:r>
        <w:rPr/>
        <w:t>underlying</w:t>
      </w:r>
      <w:r>
        <w:rPr>
          <w:spacing w:val="-5"/>
        </w:rPr>
        <w:t> </w:t>
      </w:r>
      <w:r>
        <w:rPr/>
        <w:t>conditions.</w:t>
      </w:r>
      <w:r>
        <w:rPr>
          <w:spacing w:val="-4"/>
        </w:rPr>
        <w:t> </w:t>
      </w:r>
      <w:r>
        <w:rPr/>
        <w:t>However,</w:t>
      </w:r>
      <w:r>
        <w:rPr>
          <w:spacing w:val="-4"/>
        </w:rPr>
        <w:t> </w:t>
      </w:r>
      <w:r>
        <w:rPr/>
        <w:t>TWI</w:t>
      </w:r>
      <w:r>
        <w:rPr>
          <w:spacing w:val="-4"/>
        </w:rPr>
        <w:t> </w:t>
      </w:r>
      <w:r>
        <w:rPr/>
        <w:t>was</w:t>
      </w:r>
      <w:r>
        <w:rPr>
          <w:spacing w:val="-3"/>
        </w:rPr>
        <w:t> </w:t>
      </w:r>
      <w:r>
        <w:rPr/>
        <w:t>found</w:t>
      </w:r>
      <w:r>
        <w:rPr>
          <w:spacing w:val="-4"/>
        </w:rPr>
        <w:t> </w:t>
      </w:r>
      <w:r>
        <w:rPr/>
        <w:t>to be</w:t>
      </w:r>
      <w:r>
        <w:rPr>
          <w:spacing w:val="-5"/>
        </w:rPr>
        <w:t> </w:t>
      </w:r>
      <w:r>
        <w:rPr/>
        <w:t>only</w:t>
      </w:r>
      <w:r>
        <w:rPr>
          <w:spacing w:val="-3"/>
        </w:rPr>
        <w:t> </w:t>
      </w:r>
      <w:r>
        <w:rPr/>
        <w:t>significant</w:t>
      </w:r>
      <w:r>
        <w:rPr>
          <w:spacing w:val="-2"/>
        </w:rPr>
        <w:t> </w:t>
      </w:r>
      <w:r>
        <w:rPr/>
        <w:t>for</w:t>
      </w:r>
      <w:r>
        <w:rPr>
          <w:spacing w:val="-3"/>
        </w:rPr>
        <w:t> </w:t>
      </w:r>
      <w:r>
        <w:rPr/>
        <w:t>potoroo colonisation.</w:t>
      </w:r>
      <w:r>
        <w:rPr>
          <w:spacing w:val="-2"/>
        </w:rPr>
        <w:t> </w:t>
      </w:r>
      <w:r>
        <w:rPr/>
        <w:t>Another promising variable is FAPAR, as previously discussed.</w:t>
      </w:r>
    </w:p>
    <w:p>
      <w:pPr>
        <w:spacing w:before="122"/>
        <w:ind w:left="1132" w:right="0" w:firstLine="0"/>
        <w:jc w:val="left"/>
        <w:rPr>
          <w:i/>
          <w:sz w:val="20"/>
        </w:rPr>
      </w:pPr>
      <w:r>
        <w:rPr>
          <w:i/>
          <w:sz w:val="20"/>
        </w:rPr>
        <w:t>Native</w:t>
      </w:r>
      <w:r>
        <w:rPr>
          <w:i/>
          <w:spacing w:val="-11"/>
          <w:sz w:val="20"/>
        </w:rPr>
        <w:t> </w:t>
      </w:r>
      <w:r>
        <w:rPr>
          <w:i/>
          <w:spacing w:val="-2"/>
          <w:sz w:val="20"/>
        </w:rPr>
        <w:t>species</w:t>
      </w:r>
    </w:p>
    <w:p>
      <w:pPr>
        <w:pStyle w:val="BodyText"/>
        <w:spacing w:before="120"/>
        <w:ind w:left="1132" w:right="1204"/>
      </w:pPr>
      <w:r>
        <w:rPr/>
        <w:t>Twenty-seven</w:t>
      </w:r>
      <w:r>
        <w:rPr>
          <w:spacing w:val="-4"/>
        </w:rPr>
        <w:t> </w:t>
      </w:r>
      <w:r>
        <w:rPr/>
        <w:t>native</w:t>
      </w:r>
      <w:r>
        <w:rPr>
          <w:spacing w:val="-3"/>
        </w:rPr>
        <w:t> </w:t>
      </w:r>
      <w:r>
        <w:rPr/>
        <w:t>species</w:t>
      </w:r>
      <w:r>
        <w:rPr>
          <w:spacing w:val="-3"/>
        </w:rPr>
        <w:t> </w:t>
      </w:r>
      <w:r>
        <w:rPr/>
        <w:t>other</w:t>
      </w:r>
      <w:r>
        <w:rPr>
          <w:spacing w:val="-3"/>
        </w:rPr>
        <w:t> </w:t>
      </w:r>
      <w:r>
        <w:rPr/>
        <w:t>than</w:t>
      </w:r>
      <w:r>
        <w:rPr>
          <w:spacing w:val="-2"/>
        </w:rPr>
        <w:t> </w:t>
      </w:r>
      <w:r>
        <w:rPr/>
        <w:t>the</w:t>
      </w:r>
      <w:r>
        <w:rPr>
          <w:spacing w:val="-2"/>
        </w:rPr>
        <w:t> </w:t>
      </w:r>
      <w:r>
        <w:rPr/>
        <w:t>target</w:t>
      </w:r>
      <w:r>
        <w:rPr>
          <w:spacing w:val="-3"/>
        </w:rPr>
        <w:t> </w:t>
      </w:r>
      <w:r>
        <w:rPr/>
        <w:t>species</w:t>
      </w:r>
      <w:r>
        <w:rPr>
          <w:spacing w:val="-3"/>
        </w:rPr>
        <w:t> </w:t>
      </w:r>
      <w:r>
        <w:rPr/>
        <w:t>have</w:t>
      </w:r>
      <w:r>
        <w:rPr>
          <w:spacing w:val="-2"/>
        </w:rPr>
        <w:t> </w:t>
      </w:r>
      <w:r>
        <w:rPr/>
        <w:t>been</w:t>
      </w:r>
      <w:r>
        <w:rPr>
          <w:spacing w:val="-3"/>
        </w:rPr>
        <w:t> </w:t>
      </w:r>
      <w:r>
        <w:rPr/>
        <w:t>detected</w:t>
      </w:r>
      <w:r>
        <w:rPr>
          <w:spacing w:val="-3"/>
        </w:rPr>
        <w:t> </w:t>
      </w:r>
      <w:r>
        <w:rPr/>
        <w:t>by camera</w:t>
      </w:r>
      <w:r>
        <w:rPr>
          <w:spacing w:val="-3"/>
        </w:rPr>
        <w:t> </w:t>
      </w:r>
      <w:r>
        <w:rPr/>
        <w:t>traps</w:t>
      </w:r>
      <w:r>
        <w:rPr>
          <w:spacing w:val="-3"/>
        </w:rPr>
        <w:t> </w:t>
      </w:r>
      <w:r>
        <w:rPr/>
        <w:t>since</w:t>
      </w:r>
      <w:r>
        <w:rPr>
          <w:spacing w:val="-2"/>
        </w:rPr>
        <w:t> </w:t>
      </w:r>
      <w:r>
        <w:rPr/>
        <w:t>2013. Among these, the Short-beaked Echidna has been detected more frequently at locations with fox control, suggesting that either this species has responded positively to the reduction in foxes, or that it was always more common at these locations. This is something that is worth further investigation, and we propose to include the Short-beaked Echidna in next year’s analysis. While no other native species has been detected more</w:t>
      </w:r>
      <w:r>
        <w:rPr>
          <w:spacing w:val="-4"/>
        </w:rPr>
        <w:t> </w:t>
      </w:r>
      <w:r>
        <w:rPr/>
        <w:t>often</w:t>
      </w:r>
      <w:r>
        <w:rPr>
          <w:spacing w:val="-2"/>
        </w:rPr>
        <w:t> </w:t>
      </w:r>
      <w:r>
        <w:rPr/>
        <w:t>across</w:t>
      </w:r>
      <w:r>
        <w:rPr>
          <w:spacing w:val="-3"/>
        </w:rPr>
        <w:t> </w:t>
      </w:r>
      <w:r>
        <w:rPr/>
        <w:t>the</w:t>
      </w:r>
      <w:r>
        <w:rPr>
          <w:spacing w:val="-4"/>
        </w:rPr>
        <w:t> </w:t>
      </w:r>
      <w:r>
        <w:rPr/>
        <w:t>fox-control</w:t>
      </w:r>
      <w:r>
        <w:rPr>
          <w:spacing w:val="-3"/>
        </w:rPr>
        <w:t> </w:t>
      </w:r>
      <w:r>
        <w:rPr/>
        <w:t>locations,</w:t>
      </w:r>
      <w:r>
        <w:rPr>
          <w:spacing w:val="-4"/>
        </w:rPr>
        <w:t> </w:t>
      </w:r>
      <w:r>
        <w:rPr/>
        <w:t>this</w:t>
      </w:r>
      <w:r>
        <w:rPr>
          <w:spacing w:val="-3"/>
        </w:rPr>
        <w:t> </w:t>
      </w:r>
      <w:r>
        <w:rPr/>
        <w:t>does</w:t>
      </w:r>
      <w:r>
        <w:rPr>
          <w:spacing w:val="-3"/>
        </w:rPr>
        <w:t> </w:t>
      </w:r>
      <w:r>
        <w:rPr/>
        <w:t>not</w:t>
      </w:r>
      <w:r>
        <w:rPr>
          <w:spacing w:val="-4"/>
        </w:rPr>
        <w:t> </w:t>
      </w:r>
      <w:r>
        <w:rPr/>
        <w:t>necessarily</w:t>
      </w:r>
      <w:r>
        <w:rPr>
          <w:spacing w:val="-3"/>
        </w:rPr>
        <w:t> </w:t>
      </w:r>
      <w:r>
        <w:rPr/>
        <w:t>mean</w:t>
      </w:r>
      <w:r>
        <w:rPr>
          <w:spacing w:val="-5"/>
        </w:rPr>
        <w:t> </w:t>
      </w:r>
      <w:r>
        <w:rPr/>
        <w:t>they</w:t>
      </w:r>
      <w:r>
        <w:rPr>
          <w:spacing w:val="-3"/>
        </w:rPr>
        <w:t> </w:t>
      </w:r>
      <w:r>
        <w:rPr/>
        <w:t>have</w:t>
      </w:r>
      <w:r>
        <w:rPr>
          <w:spacing w:val="-4"/>
        </w:rPr>
        <w:t> </w:t>
      </w:r>
      <w:r>
        <w:rPr/>
        <w:t>not</w:t>
      </w:r>
      <w:r>
        <w:rPr>
          <w:spacing w:val="-2"/>
        </w:rPr>
        <w:t> </w:t>
      </w:r>
      <w:r>
        <w:rPr/>
        <w:t>benefited</w:t>
      </w:r>
      <w:r>
        <w:rPr>
          <w:spacing w:val="-2"/>
        </w:rPr>
        <w:t> </w:t>
      </w:r>
      <w:r>
        <w:rPr/>
        <w:t>from</w:t>
      </w:r>
      <w:r>
        <w:rPr>
          <w:spacing w:val="-2"/>
        </w:rPr>
        <w:t> </w:t>
      </w:r>
      <w:r>
        <w:rPr/>
        <w:t>the reduction in foxes.</w:t>
      </w:r>
    </w:p>
    <w:p>
      <w:pPr>
        <w:spacing w:before="120"/>
        <w:ind w:left="1132" w:right="0" w:firstLine="0"/>
        <w:jc w:val="left"/>
        <w:rPr>
          <w:i/>
          <w:sz w:val="20"/>
        </w:rPr>
      </w:pPr>
      <w:r>
        <w:rPr>
          <w:i/>
          <w:sz w:val="20"/>
        </w:rPr>
        <w:t>Foxes</w:t>
      </w:r>
      <w:r>
        <w:rPr>
          <w:i/>
          <w:spacing w:val="-6"/>
          <w:sz w:val="20"/>
        </w:rPr>
        <w:t> </w:t>
      </w:r>
      <w:r>
        <w:rPr>
          <w:i/>
          <w:sz w:val="20"/>
        </w:rPr>
        <w:t>and</w:t>
      </w:r>
      <w:r>
        <w:rPr>
          <w:i/>
          <w:spacing w:val="-7"/>
          <w:sz w:val="20"/>
        </w:rPr>
        <w:t> </w:t>
      </w:r>
      <w:r>
        <w:rPr>
          <w:i/>
          <w:sz w:val="20"/>
        </w:rPr>
        <w:t>feral</w:t>
      </w:r>
      <w:r>
        <w:rPr>
          <w:i/>
          <w:spacing w:val="-4"/>
          <w:sz w:val="20"/>
        </w:rPr>
        <w:t> cats</w:t>
      </w:r>
    </w:p>
    <w:p>
      <w:pPr>
        <w:pStyle w:val="BodyText"/>
        <w:spacing w:before="119"/>
        <w:ind w:left="1132" w:right="1204"/>
      </w:pPr>
      <w:r>
        <w:rPr/>
        <w:t>The</w:t>
      </w:r>
      <w:r>
        <w:rPr>
          <w:spacing w:val="-5"/>
        </w:rPr>
        <w:t> </w:t>
      </w:r>
      <w:r>
        <w:rPr/>
        <w:t>weight</w:t>
      </w:r>
      <w:r>
        <w:rPr>
          <w:spacing w:val="-4"/>
        </w:rPr>
        <w:t> </w:t>
      </w:r>
      <w:r>
        <w:rPr/>
        <w:t>of</w:t>
      </w:r>
      <w:r>
        <w:rPr>
          <w:spacing w:val="-2"/>
        </w:rPr>
        <w:t> </w:t>
      </w:r>
      <w:r>
        <w:rPr/>
        <w:t>the</w:t>
      </w:r>
      <w:r>
        <w:rPr>
          <w:spacing w:val="-3"/>
        </w:rPr>
        <w:t> </w:t>
      </w:r>
      <w:r>
        <w:rPr/>
        <w:t>available evidence</w:t>
      </w:r>
      <w:r>
        <w:rPr>
          <w:spacing w:val="-4"/>
        </w:rPr>
        <w:t> </w:t>
      </w:r>
      <w:r>
        <w:rPr/>
        <w:t>indicates</w:t>
      </w:r>
      <w:r>
        <w:rPr>
          <w:spacing w:val="-3"/>
        </w:rPr>
        <w:t> </w:t>
      </w:r>
      <w:r>
        <w:rPr/>
        <w:t>that</w:t>
      </w:r>
      <w:r>
        <w:rPr>
          <w:spacing w:val="-4"/>
        </w:rPr>
        <w:t> </w:t>
      </w:r>
      <w:r>
        <w:rPr/>
        <w:t>foxes</w:t>
      </w:r>
      <w:r>
        <w:rPr>
          <w:spacing w:val="-3"/>
        </w:rPr>
        <w:t> </w:t>
      </w:r>
      <w:r>
        <w:rPr/>
        <w:t>are</w:t>
      </w:r>
      <w:r>
        <w:rPr>
          <w:spacing w:val="-4"/>
        </w:rPr>
        <w:t> </w:t>
      </w:r>
      <w:r>
        <w:rPr/>
        <w:t>at</w:t>
      </w:r>
      <w:r>
        <w:rPr>
          <w:spacing w:val="-2"/>
        </w:rPr>
        <w:t> </w:t>
      </w:r>
      <w:r>
        <w:rPr/>
        <w:t>lower</w:t>
      </w:r>
      <w:r>
        <w:rPr>
          <w:spacing w:val="-4"/>
        </w:rPr>
        <w:t> </w:t>
      </w:r>
      <w:r>
        <w:rPr/>
        <w:t>levels</w:t>
      </w:r>
      <w:r>
        <w:rPr>
          <w:spacing w:val="-3"/>
        </w:rPr>
        <w:t> </w:t>
      </w:r>
      <w:r>
        <w:rPr/>
        <w:t>across</w:t>
      </w:r>
      <w:r>
        <w:rPr>
          <w:spacing w:val="-3"/>
        </w:rPr>
        <w:t> </w:t>
      </w:r>
      <w:r>
        <w:rPr/>
        <w:t>locations</w:t>
      </w:r>
      <w:r>
        <w:rPr>
          <w:spacing w:val="-3"/>
        </w:rPr>
        <w:t> </w:t>
      </w:r>
      <w:r>
        <w:rPr/>
        <w:t>with</w:t>
      </w:r>
      <w:r>
        <w:rPr>
          <w:spacing w:val="-5"/>
        </w:rPr>
        <w:t> </w:t>
      </w:r>
      <w:r>
        <w:rPr/>
        <w:t>fox</w:t>
      </w:r>
      <w:r>
        <w:rPr>
          <w:spacing w:val="-3"/>
        </w:rPr>
        <w:t> </w:t>
      </w:r>
      <w:r>
        <w:rPr/>
        <w:t>control than at locations without fox control (this report, Rees et al. 2023). Determining the threshold fox density below</w:t>
      </w:r>
      <w:r>
        <w:rPr>
          <w:spacing w:val="-3"/>
        </w:rPr>
        <w:t> </w:t>
      </w:r>
      <w:r>
        <w:rPr/>
        <w:t>which</w:t>
      </w:r>
      <w:r>
        <w:rPr>
          <w:spacing w:val="-3"/>
        </w:rPr>
        <w:t> </w:t>
      </w:r>
      <w:r>
        <w:rPr/>
        <w:t>prey</w:t>
      </w:r>
      <w:r>
        <w:rPr>
          <w:spacing w:val="-2"/>
        </w:rPr>
        <w:t> </w:t>
      </w:r>
      <w:r>
        <w:rPr/>
        <w:t>species</w:t>
      </w:r>
      <w:r>
        <w:rPr>
          <w:spacing w:val="-2"/>
        </w:rPr>
        <w:t> </w:t>
      </w:r>
      <w:r>
        <w:rPr/>
        <w:t>populations</w:t>
      </w:r>
      <w:r>
        <w:rPr>
          <w:spacing w:val="-2"/>
        </w:rPr>
        <w:t> </w:t>
      </w:r>
      <w:r>
        <w:rPr/>
        <w:t>are</w:t>
      </w:r>
      <w:r>
        <w:rPr>
          <w:spacing w:val="-3"/>
        </w:rPr>
        <w:t> </w:t>
      </w:r>
      <w:r>
        <w:rPr/>
        <w:t>no</w:t>
      </w:r>
      <w:r>
        <w:rPr>
          <w:spacing w:val="-2"/>
        </w:rPr>
        <w:t> </w:t>
      </w:r>
      <w:r>
        <w:rPr/>
        <w:t>longer</w:t>
      </w:r>
      <w:r>
        <w:rPr>
          <w:spacing w:val="-1"/>
        </w:rPr>
        <w:t> </w:t>
      </w:r>
      <w:r>
        <w:rPr/>
        <w:t>limited</w:t>
      </w:r>
      <w:r>
        <w:rPr>
          <w:spacing w:val="-3"/>
        </w:rPr>
        <w:t> </w:t>
      </w:r>
      <w:r>
        <w:rPr/>
        <w:t>by</w:t>
      </w:r>
      <w:r>
        <w:rPr>
          <w:spacing w:val="-2"/>
        </w:rPr>
        <w:t> </w:t>
      </w:r>
      <w:r>
        <w:rPr/>
        <w:t>predation,</w:t>
      </w:r>
      <w:r>
        <w:rPr>
          <w:spacing w:val="-3"/>
        </w:rPr>
        <w:t> </w:t>
      </w:r>
      <w:r>
        <w:rPr/>
        <w:t>remains</w:t>
      </w:r>
      <w:r>
        <w:rPr>
          <w:spacing w:val="-2"/>
        </w:rPr>
        <w:t> </w:t>
      </w:r>
      <w:r>
        <w:rPr/>
        <w:t>challenging.</w:t>
      </w:r>
      <w:r>
        <w:rPr>
          <w:spacing w:val="-3"/>
        </w:rPr>
        <w:t> </w:t>
      </w:r>
      <w:r>
        <w:rPr/>
        <w:t>For</w:t>
      </w:r>
      <w:r>
        <w:rPr>
          <w:spacing w:val="-2"/>
        </w:rPr>
        <w:t> </w:t>
      </w:r>
      <w:r>
        <w:rPr/>
        <w:t>example, FoxNet modelling was incorporated into occupancy models to investigate the impact of the 2019–2020 bushfires in Gippsland (Robley et al. 2022). This work showed that fox density significantly affected the occurrence of Long-footed Potoroo</w:t>
      </w:r>
      <w:r>
        <w:rPr>
          <w:spacing w:val="-1"/>
        </w:rPr>
        <w:t> </w:t>
      </w:r>
      <w:r>
        <w:rPr/>
        <w:t>(</w:t>
      </w:r>
      <w:r>
        <w:rPr>
          <w:i/>
        </w:rPr>
        <w:t>Potorous longipes</w:t>
      </w:r>
      <w:r>
        <w:rPr/>
        <w:t>), the probability of which was zero at a site when fox density was higher than 0.5/km</w:t>
      </w:r>
      <w:r>
        <w:rPr>
          <w:position w:val="6"/>
          <w:sz w:val="13"/>
        </w:rPr>
        <w:t>2</w:t>
      </w:r>
      <w:r>
        <w:rPr/>
        <w:t>. Habitat structure and diversity also influence species survival, highlighting the complexity of predator-prey dynamics.</w:t>
      </w:r>
    </w:p>
    <w:p>
      <w:pPr>
        <w:pStyle w:val="BodyText"/>
        <w:spacing w:before="121"/>
        <w:ind w:left="1132" w:right="1140"/>
      </w:pPr>
      <w:r>
        <w:rPr/>
        <w:t>The fox activity results indicate a slow decline in fox activity at untreated sites, possibly due to long-term control efforts. This is possible because the Annya, Hotspur and LGNPN (no fox control) locations are within probable movement and dispersal distances for foxes (Robley et al. 2016) to the Cobboboonee and Mt Clay (fox</w:t>
      </w:r>
      <w:r>
        <w:rPr>
          <w:spacing w:val="-4"/>
        </w:rPr>
        <w:t> </w:t>
      </w:r>
      <w:r>
        <w:rPr/>
        <w:t>control)</w:t>
      </w:r>
      <w:r>
        <w:rPr>
          <w:spacing w:val="-2"/>
        </w:rPr>
        <w:t> </w:t>
      </w:r>
      <w:r>
        <w:rPr/>
        <w:t>locations.</w:t>
      </w:r>
      <w:r>
        <w:rPr>
          <w:spacing w:val="-2"/>
        </w:rPr>
        <w:t> </w:t>
      </w:r>
      <w:r>
        <w:rPr/>
        <w:t>This</w:t>
      </w:r>
      <w:r>
        <w:rPr>
          <w:spacing w:val="-2"/>
        </w:rPr>
        <w:t> </w:t>
      </w:r>
      <w:r>
        <w:rPr/>
        <w:t>trend</w:t>
      </w:r>
      <w:r>
        <w:rPr>
          <w:spacing w:val="-4"/>
        </w:rPr>
        <w:t> </w:t>
      </w:r>
      <w:r>
        <w:rPr/>
        <w:t>could</w:t>
      </w:r>
      <w:r>
        <w:rPr>
          <w:spacing w:val="-2"/>
        </w:rPr>
        <w:t> </w:t>
      </w:r>
      <w:r>
        <w:rPr/>
        <w:t>be</w:t>
      </w:r>
      <w:r>
        <w:rPr>
          <w:spacing w:val="-4"/>
        </w:rPr>
        <w:t> </w:t>
      </w:r>
      <w:r>
        <w:rPr/>
        <w:t>further</w:t>
      </w:r>
      <w:r>
        <w:rPr>
          <w:spacing w:val="-2"/>
        </w:rPr>
        <w:t> </w:t>
      </w:r>
      <w:r>
        <w:rPr/>
        <w:t>explored</w:t>
      </w:r>
      <w:r>
        <w:rPr>
          <w:spacing w:val="-6"/>
        </w:rPr>
        <w:t> </w:t>
      </w:r>
      <w:r>
        <w:rPr/>
        <w:t>using</w:t>
      </w:r>
      <w:r>
        <w:rPr>
          <w:spacing w:val="-5"/>
        </w:rPr>
        <w:t> </w:t>
      </w:r>
      <w:r>
        <w:rPr/>
        <w:t>spatially</w:t>
      </w:r>
      <w:r>
        <w:rPr>
          <w:spacing w:val="-2"/>
        </w:rPr>
        <w:t> </w:t>
      </w:r>
      <w:r>
        <w:rPr/>
        <w:t>explicit</w:t>
      </w:r>
      <w:r>
        <w:rPr>
          <w:spacing w:val="-5"/>
        </w:rPr>
        <w:t> </w:t>
      </w:r>
      <w:r>
        <w:rPr/>
        <w:t>population</w:t>
      </w:r>
      <w:r>
        <w:rPr>
          <w:spacing w:val="-4"/>
        </w:rPr>
        <w:t> </w:t>
      </w:r>
      <w:r>
        <w:rPr/>
        <w:t>models,</w:t>
      </w:r>
      <w:r>
        <w:rPr>
          <w:spacing w:val="-5"/>
        </w:rPr>
        <w:t> </w:t>
      </w:r>
      <w:r>
        <w:rPr/>
        <w:t>such</w:t>
      </w:r>
      <w:r>
        <w:rPr>
          <w:spacing w:val="-3"/>
        </w:rPr>
        <w:t> </w:t>
      </w:r>
      <w:r>
        <w:rPr/>
        <w:t>as FoxNet (Hradsky et al. 2019).</w:t>
      </w:r>
    </w:p>
    <w:p>
      <w:pPr>
        <w:pStyle w:val="BodyText"/>
        <w:spacing w:before="120"/>
        <w:ind w:left="1132" w:right="1188"/>
      </w:pPr>
      <w:r>
        <w:rPr/>
        <w:t>Predator interactions and the availability of habitat refugia play significant roles in prey mortality rates</w:t>
      </w:r>
      <w:r>
        <w:rPr/>
        <w:t> through interference, competition, or cooperative predation (Stallings and Dingeldein 2012). Furthermore, habitat</w:t>
      </w:r>
      <w:r>
        <w:rPr>
          <w:spacing w:val="-2"/>
        </w:rPr>
        <w:t> </w:t>
      </w:r>
      <w:r>
        <w:rPr/>
        <w:t>modifications,</w:t>
      </w:r>
      <w:r>
        <w:rPr>
          <w:spacing w:val="-4"/>
        </w:rPr>
        <w:t> </w:t>
      </w:r>
      <w:r>
        <w:rPr/>
        <w:t>such</w:t>
      </w:r>
      <w:r>
        <w:rPr>
          <w:spacing w:val="-2"/>
        </w:rPr>
        <w:t> </w:t>
      </w:r>
      <w:r>
        <w:rPr/>
        <w:t>as</w:t>
      </w:r>
      <w:r>
        <w:rPr>
          <w:spacing w:val="-3"/>
        </w:rPr>
        <w:t> </w:t>
      </w:r>
      <w:r>
        <w:rPr/>
        <w:t>planned</w:t>
      </w:r>
      <w:r>
        <w:rPr>
          <w:spacing w:val="-4"/>
        </w:rPr>
        <w:t> </w:t>
      </w:r>
      <w:r>
        <w:rPr/>
        <w:t>burning,</w:t>
      </w:r>
      <w:r>
        <w:rPr>
          <w:spacing w:val="-4"/>
        </w:rPr>
        <w:t> </w:t>
      </w:r>
      <w:r>
        <w:rPr/>
        <w:t>can</w:t>
      </w:r>
      <w:r>
        <w:rPr>
          <w:spacing w:val="-4"/>
        </w:rPr>
        <w:t> </w:t>
      </w:r>
      <w:r>
        <w:rPr/>
        <w:t>escalate</w:t>
      </w:r>
      <w:r>
        <w:rPr>
          <w:spacing w:val="-2"/>
        </w:rPr>
        <w:t> </w:t>
      </w:r>
      <w:r>
        <w:rPr/>
        <w:t>predator</w:t>
      </w:r>
      <w:r>
        <w:rPr>
          <w:spacing w:val="-3"/>
        </w:rPr>
        <w:t> </w:t>
      </w:r>
      <w:r>
        <w:rPr/>
        <w:t>activity</w:t>
      </w:r>
      <w:r>
        <w:rPr>
          <w:spacing w:val="-3"/>
        </w:rPr>
        <w:t> </w:t>
      </w:r>
      <w:r>
        <w:rPr/>
        <w:t>(McGregor et</w:t>
      </w:r>
      <w:r>
        <w:rPr>
          <w:spacing w:val="-2"/>
        </w:rPr>
        <w:t> </w:t>
      </w:r>
      <w:r>
        <w:rPr/>
        <w:t>al.</w:t>
      </w:r>
      <w:r>
        <w:rPr>
          <w:spacing w:val="-1"/>
        </w:rPr>
        <w:t> </w:t>
      </w:r>
      <w:r>
        <w:rPr/>
        <w:t>2017),</w:t>
      </w:r>
      <w:r>
        <w:rPr>
          <w:spacing w:val="-4"/>
        </w:rPr>
        <w:t> </w:t>
      </w:r>
      <w:r>
        <w:rPr/>
        <w:t>posing challenges for management strategies. Feral cats, known for their substantial impact on native wildlife, exhibit heightened densities in areas subject to fox control (Rees et al. 2019), although the relationship is multifaceted. Nevertheless, there is little uncertainty regarding the deleterious effects of feral cats on native fauna within the Glenelg Ark operations area.</w:t>
      </w:r>
    </w:p>
    <w:p>
      <w:pPr>
        <w:pStyle w:val="BodyText"/>
        <w:spacing w:before="121"/>
        <w:ind w:left="1132" w:right="1140"/>
      </w:pPr>
      <w:r>
        <w:rPr/>
        <w:t>Emerging tools like Curiosity® feral cat bait offer promising avenues for landscape-scale feral cat management.</w:t>
      </w:r>
      <w:r>
        <w:rPr>
          <w:spacing w:val="-5"/>
        </w:rPr>
        <w:t> </w:t>
      </w:r>
      <w:r>
        <w:rPr/>
        <w:t>Integrated</w:t>
      </w:r>
      <w:r>
        <w:rPr>
          <w:spacing w:val="-4"/>
        </w:rPr>
        <w:t> </w:t>
      </w:r>
      <w:r>
        <w:rPr/>
        <w:t>predator</w:t>
      </w:r>
      <w:r>
        <w:rPr>
          <w:spacing w:val="-5"/>
        </w:rPr>
        <w:t> </w:t>
      </w:r>
      <w:r>
        <w:rPr/>
        <w:t>control</w:t>
      </w:r>
      <w:r>
        <w:rPr>
          <w:spacing w:val="-6"/>
        </w:rPr>
        <w:t> </w:t>
      </w:r>
      <w:r>
        <w:rPr/>
        <w:t>has</w:t>
      </w:r>
      <w:r>
        <w:rPr>
          <w:spacing w:val="-2"/>
        </w:rPr>
        <w:t> </w:t>
      </w:r>
      <w:r>
        <w:rPr/>
        <w:t>demonstrated</w:t>
      </w:r>
      <w:r>
        <w:rPr>
          <w:spacing w:val="-5"/>
        </w:rPr>
        <w:t> </w:t>
      </w:r>
      <w:r>
        <w:rPr/>
        <w:t>positive</w:t>
      </w:r>
      <w:r>
        <w:rPr>
          <w:spacing w:val="-5"/>
        </w:rPr>
        <w:t> </w:t>
      </w:r>
      <w:r>
        <w:rPr/>
        <w:t>outcomes</w:t>
      </w:r>
      <w:r>
        <w:rPr>
          <w:spacing w:val="-4"/>
        </w:rPr>
        <w:t> </w:t>
      </w:r>
      <w:r>
        <w:rPr/>
        <w:t>for</w:t>
      </w:r>
      <w:r>
        <w:rPr>
          <w:spacing w:val="-2"/>
        </w:rPr>
        <w:t> </w:t>
      </w:r>
      <w:r>
        <w:rPr/>
        <w:t>native</w:t>
      </w:r>
      <w:r>
        <w:rPr>
          <w:spacing w:val="-5"/>
        </w:rPr>
        <w:t> </w:t>
      </w:r>
      <w:r>
        <w:rPr/>
        <w:t>species</w:t>
      </w:r>
      <w:r>
        <w:rPr>
          <w:spacing w:val="-4"/>
        </w:rPr>
        <w:t> </w:t>
      </w:r>
      <w:r>
        <w:rPr/>
        <w:t>elsewhere. For instance, Comer et al. (2020) documented favorable responses from both the Western Ground Parrot (</w:t>
      </w:r>
      <w:r>
        <w:rPr>
          <w:i/>
        </w:rPr>
        <w:t>Pezoporus flaviventris</w:t>
      </w:r>
      <w:r>
        <w:rPr/>
        <w:t>) and</w:t>
      </w:r>
      <w:r>
        <w:rPr>
          <w:spacing w:val="-1"/>
        </w:rPr>
        <w:t> </w:t>
      </w:r>
      <w:r>
        <w:rPr/>
        <w:t>the Chuditch (</w:t>
      </w:r>
      <w:r>
        <w:rPr>
          <w:i/>
        </w:rPr>
        <w:t>Dasyurus geoffroii</w:t>
      </w:r>
      <w:r>
        <w:rPr/>
        <w:t>) following five</w:t>
      </w:r>
      <w:r>
        <w:rPr>
          <w:spacing w:val="-1"/>
        </w:rPr>
        <w:t> </w:t>
      </w:r>
      <w:r>
        <w:rPr/>
        <w:t>years of</w:t>
      </w:r>
      <w:r>
        <w:rPr>
          <w:spacing w:val="-1"/>
        </w:rPr>
        <w:t> </w:t>
      </w:r>
      <w:r>
        <w:rPr/>
        <w:t>integrated fox and</w:t>
      </w:r>
      <w:r>
        <w:rPr>
          <w:spacing w:val="-2"/>
        </w:rPr>
        <w:t> </w:t>
      </w:r>
      <w:r>
        <w:rPr/>
        <w:t>feral cat control at a coastal south-western Australian site.</w:t>
      </w:r>
    </w:p>
    <w:p>
      <w:pPr>
        <w:spacing w:before="119"/>
        <w:ind w:left="1132" w:right="0" w:firstLine="0"/>
        <w:jc w:val="left"/>
        <w:rPr>
          <w:i/>
          <w:sz w:val="20"/>
        </w:rPr>
      </w:pPr>
      <w:r>
        <w:rPr>
          <w:i/>
          <w:sz w:val="20"/>
        </w:rPr>
        <w:t>General</w:t>
      </w:r>
      <w:r>
        <w:rPr>
          <w:i/>
          <w:spacing w:val="-12"/>
          <w:sz w:val="20"/>
        </w:rPr>
        <w:t> </w:t>
      </w:r>
      <w:r>
        <w:rPr>
          <w:i/>
          <w:spacing w:val="-2"/>
          <w:sz w:val="20"/>
        </w:rPr>
        <w:t>summary</w:t>
      </w:r>
    </w:p>
    <w:p>
      <w:pPr>
        <w:pStyle w:val="BodyText"/>
        <w:spacing w:before="121"/>
        <w:ind w:left="1132" w:right="1140"/>
      </w:pPr>
      <w:r>
        <w:rPr/>
        <w:t>The findings of the Glenelg Ark program underscore the beneficial impacts of fox reduction on species such as</w:t>
      </w:r>
      <w:r>
        <w:rPr>
          <w:spacing w:val="-3"/>
        </w:rPr>
        <w:t> </w:t>
      </w:r>
      <w:r>
        <w:rPr/>
        <w:t>Southern</w:t>
      </w:r>
      <w:r>
        <w:rPr>
          <w:spacing w:val="-2"/>
        </w:rPr>
        <w:t> </w:t>
      </w:r>
      <w:r>
        <w:rPr/>
        <w:t>Brown</w:t>
      </w:r>
      <w:r>
        <w:rPr>
          <w:spacing w:val="-2"/>
        </w:rPr>
        <w:t> </w:t>
      </w:r>
      <w:r>
        <w:rPr/>
        <w:t>Bandicoots</w:t>
      </w:r>
      <w:r>
        <w:rPr>
          <w:spacing w:val="-3"/>
        </w:rPr>
        <w:t> </w:t>
      </w:r>
      <w:r>
        <w:rPr/>
        <w:t>and</w:t>
      </w:r>
      <w:r>
        <w:rPr>
          <w:spacing w:val="-4"/>
        </w:rPr>
        <w:t> </w:t>
      </w:r>
      <w:r>
        <w:rPr/>
        <w:t>Long-nosed</w:t>
      </w:r>
      <w:r>
        <w:rPr>
          <w:spacing w:val="-3"/>
        </w:rPr>
        <w:t> </w:t>
      </w:r>
      <w:r>
        <w:rPr/>
        <w:t>Potoroos.</w:t>
      </w:r>
      <w:r>
        <w:rPr>
          <w:spacing w:val="-3"/>
        </w:rPr>
        <w:t> </w:t>
      </w:r>
      <w:r>
        <w:rPr/>
        <w:t>The</w:t>
      </w:r>
      <w:r>
        <w:rPr>
          <w:spacing w:val="-5"/>
        </w:rPr>
        <w:t> </w:t>
      </w:r>
      <w:r>
        <w:rPr/>
        <w:t>results</w:t>
      </w:r>
      <w:r>
        <w:rPr>
          <w:spacing w:val="-3"/>
        </w:rPr>
        <w:t> </w:t>
      </w:r>
      <w:r>
        <w:rPr/>
        <w:t>also</w:t>
      </w:r>
      <w:r>
        <w:rPr>
          <w:spacing w:val="-4"/>
        </w:rPr>
        <w:t> </w:t>
      </w:r>
      <w:r>
        <w:rPr/>
        <w:t>provide</w:t>
      </w:r>
      <w:r>
        <w:rPr>
          <w:spacing w:val="-4"/>
        </w:rPr>
        <w:t> </w:t>
      </w:r>
      <w:r>
        <w:rPr/>
        <w:t>evidence</w:t>
      </w:r>
      <w:r>
        <w:rPr>
          <w:spacing w:val="-4"/>
        </w:rPr>
        <w:t> </w:t>
      </w:r>
      <w:r>
        <w:rPr/>
        <w:t>for</w:t>
      </w:r>
      <w:r>
        <w:rPr>
          <w:spacing w:val="-4"/>
        </w:rPr>
        <w:t> </w:t>
      </w:r>
      <w:r>
        <w:rPr/>
        <w:t>the</w:t>
      </w:r>
      <w:r>
        <w:rPr>
          <w:spacing w:val="-4"/>
        </w:rPr>
        <w:t> </w:t>
      </w:r>
      <w:r>
        <w:rPr/>
        <w:t>potential of</w:t>
      </w:r>
      <w:r>
        <w:rPr>
          <w:spacing w:val="-1"/>
        </w:rPr>
        <w:t> </w:t>
      </w:r>
      <w:r>
        <w:rPr/>
        <w:t>habitat</w:t>
      </w:r>
      <w:r>
        <w:rPr>
          <w:spacing w:val="-1"/>
        </w:rPr>
        <w:t> </w:t>
      </w:r>
      <w:r>
        <w:rPr/>
        <w:t>quality to</w:t>
      </w:r>
      <w:r>
        <w:rPr>
          <w:spacing w:val="-1"/>
        </w:rPr>
        <w:t> </w:t>
      </w:r>
      <w:r>
        <w:rPr/>
        <w:t>interact with the outcome of</w:t>
      </w:r>
      <w:r>
        <w:rPr>
          <w:spacing w:val="-1"/>
        </w:rPr>
        <w:t> </w:t>
      </w:r>
      <w:r>
        <w:rPr/>
        <w:t>the</w:t>
      </w:r>
      <w:r>
        <w:rPr>
          <w:spacing w:val="-1"/>
        </w:rPr>
        <w:t> </w:t>
      </w:r>
      <w:r>
        <w:rPr/>
        <w:t>fox control effort. Changes to</w:t>
      </w:r>
      <w:r>
        <w:rPr>
          <w:spacing w:val="-1"/>
        </w:rPr>
        <w:t> </w:t>
      </w:r>
      <w:r>
        <w:rPr/>
        <w:t>ground</w:t>
      </w:r>
      <w:r>
        <w:rPr>
          <w:spacing w:val="-2"/>
        </w:rPr>
        <w:t> </w:t>
      </w:r>
      <w:r>
        <w:rPr/>
        <w:t>vegetation</w:t>
      </w:r>
      <w:r>
        <w:rPr>
          <w:spacing w:val="-2"/>
        </w:rPr>
        <w:t> </w:t>
      </w:r>
      <w:r>
        <w:rPr/>
        <w:t>and</w:t>
      </w:r>
      <w:r>
        <w:rPr>
          <w:spacing w:val="-2"/>
        </w:rPr>
        <w:t> </w:t>
      </w:r>
      <w:r>
        <w:rPr/>
        <w:t>tree species composition resulting from wildfire or planned burning (Rees et al. 2023a) or the presence of feral cats</w:t>
      </w:r>
      <w:r>
        <w:rPr>
          <w:spacing w:val="-1"/>
        </w:rPr>
        <w:t> </w:t>
      </w:r>
      <w:r>
        <w:rPr/>
        <w:t>(Rees</w:t>
      </w:r>
      <w:r>
        <w:rPr>
          <w:spacing w:val="-1"/>
        </w:rPr>
        <w:t> </w:t>
      </w:r>
      <w:r>
        <w:rPr/>
        <w:t>et</w:t>
      </w:r>
      <w:r>
        <w:rPr>
          <w:spacing w:val="-2"/>
        </w:rPr>
        <w:t> </w:t>
      </w:r>
      <w:r>
        <w:rPr/>
        <w:t>al. 2023b) are</w:t>
      </w:r>
      <w:r>
        <w:rPr>
          <w:spacing w:val="-2"/>
        </w:rPr>
        <w:t> </w:t>
      </w:r>
      <w:r>
        <w:rPr/>
        <w:t>factors that</w:t>
      </w:r>
      <w:r>
        <w:rPr>
          <w:spacing w:val="-2"/>
        </w:rPr>
        <w:t> </w:t>
      </w:r>
      <w:r>
        <w:rPr/>
        <w:t>most</w:t>
      </w:r>
      <w:r>
        <w:rPr>
          <w:spacing w:val="-2"/>
        </w:rPr>
        <w:t> </w:t>
      </w:r>
      <w:r>
        <w:rPr/>
        <w:t>likely influence</w:t>
      </w:r>
      <w:r>
        <w:rPr>
          <w:spacing w:val="-2"/>
        </w:rPr>
        <w:t> </w:t>
      </w:r>
      <w:r>
        <w:rPr/>
        <w:t>the</w:t>
      </w:r>
      <w:r>
        <w:rPr>
          <w:spacing w:val="-2"/>
        </w:rPr>
        <w:t> </w:t>
      </w:r>
      <w:r>
        <w:rPr/>
        <w:t>degree of fox</w:t>
      </w:r>
      <w:r>
        <w:rPr>
          <w:spacing w:val="-1"/>
        </w:rPr>
        <w:t> </w:t>
      </w:r>
      <w:r>
        <w:rPr/>
        <w:t>impact</w:t>
      </w:r>
      <w:r>
        <w:rPr>
          <w:spacing w:val="-2"/>
        </w:rPr>
        <w:t> </w:t>
      </w:r>
      <w:r>
        <w:rPr/>
        <w:t>on native</w:t>
      </w:r>
      <w:r>
        <w:rPr>
          <w:spacing w:val="-2"/>
        </w:rPr>
        <w:t> </w:t>
      </w:r>
      <w:r>
        <w:rPr/>
        <w:t>species,</w:t>
      </w:r>
      <w:r>
        <w:rPr>
          <w:spacing w:val="-2"/>
        </w:rPr>
        <w:t> </w:t>
      </w:r>
      <w:r>
        <w:rPr/>
        <w:t>and the success of fox control in benefiting biodiversity.</w:t>
      </w:r>
    </w:p>
    <w:p>
      <w:pPr>
        <w:pStyle w:val="BodyText"/>
        <w:spacing w:before="120"/>
        <w:ind w:left="1132" w:right="1204"/>
      </w:pPr>
      <w:r>
        <w:rPr/>
        <w:t>We advocate for the initiation of landscape-scale feral cat control planning, slated to commence in the financial</w:t>
      </w:r>
      <w:r>
        <w:rPr>
          <w:spacing w:val="-5"/>
        </w:rPr>
        <w:t> </w:t>
      </w:r>
      <w:r>
        <w:rPr/>
        <w:t>year</w:t>
      </w:r>
      <w:r>
        <w:rPr>
          <w:spacing w:val="-1"/>
        </w:rPr>
        <w:t> </w:t>
      </w:r>
      <w:r>
        <w:rPr/>
        <w:t>2025–2026.</w:t>
      </w:r>
      <w:r>
        <w:rPr>
          <w:spacing w:val="-2"/>
        </w:rPr>
        <w:t> </w:t>
      </w:r>
      <w:r>
        <w:rPr/>
        <w:t>Robley</w:t>
      </w:r>
      <w:r>
        <w:rPr>
          <w:spacing w:val="-3"/>
        </w:rPr>
        <w:t> </w:t>
      </w:r>
      <w:r>
        <w:rPr/>
        <w:t>et</w:t>
      </w:r>
      <w:r>
        <w:rPr>
          <w:spacing w:val="-2"/>
        </w:rPr>
        <w:t> </w:t>
      </w:r>
      <w:r>
        <w:rPr/>
        <w:t>al.</w:t>
      </w:r>
      <w:r>
        <w:rPr>
          <w:spacing w:val="-4"/>
        </w:rPr>
        <w:t> </w:t>
      </w:r>
      <w:r>
        <w:rPr/>
        <w:t>(2019)</w:t>
      </w:r>
      <w:r>
        <w:rPr>
          <w:spacing w:val="-4"/>
        </w:rPr>
        <w:t> </w:t>
      </w:r>
      <w:r>
        <w:rPr/>
        <w:t>offer</w:t>
      </w:r>
      <w:r>
        <w:rPr>
          <w:spacing w:val="-1"/>
        </w:rPr>
        <w:t> </w:t>
      </w:r>
      <w:r>
        <w:rPr/>
        <w:t>a</w:t>
      </w:r>
      <w:r>
        <w:rPr>
          <w:spacing w:val="-2"/>
        </w:rPr>
        <w:t> </w:t>
      </w:r>
      <w:r>
        <w:rPr/>
        <w:t>potential</w:t>
      </w:r>
      <w:r>
        <w:rPr>
          <w:spacing w:val="-5"/>
        </w:rPr>
        <w:t> </w:t>
      </w:r>
      <w:r>
        <w:rPr/>
        <w:t>framework</w:t>
      </w:r>
      <w:r>
        <w:rPr>
          <w:spacing w:val="-2"/>
        </w:rPr>
        <w:t> </w:t>
      </w:r>
      <w:r>
        <w:rPr/>
        <w:t>for</w:t>
      </w:r>
      <w:r>
        <w:rPr>
          <w:spacing w:val="-3"/>
        </w:rPr>
        <w:t> </w:t>
      </w:r>
      <w:r>
        <w:rPr/>
        <w:t>the</w:t>
      </w:r>
      <w:r>
        <w:rPr>
          <w:spacing w:val="-2"/>
        </w:rPr>
        <w:t> </w:t>
      </w:r>
      <w:r>
        <w:rPr/>
        <w:t>implementation</w:t>
      </w:r>
      <w:r>
        <w:rPr>
          <w:spacing w:val="-3"/>
        </w:rPr>
        <w:t> </w:t>
      </w:r>
      <w:r>
        <w:rPr/>
        <w:t>of</w:t>
      </w:r>
      <w:r>
        <w:rPr>
          <w:spacing w:val="-4"/>
        </w:rPr>
        <w:t> </w:t>
      </w:r>
      <w:r>
        <w:rPr/>
        <w:t>feral</w:t>
      </w:r>
      <w:r>
        <w:rPr>
          <w:spacing w:val="-5"/>
        </w:rPr>
        <w:t> </w:t>
      </w:r>
      <w:r>
        <w:rPr/>
        <w:t>cat control. This approach not only contributes to the ongoing long-term monitoring dataset, but also facilitates the integration of feral cat control measures.</w:t>
      </w:r>
    </w:p>
    <w:p>
      <w:pPr>
        <w:pStyle w:val="BodyText"/>
        <w:spacing w:before="120"/>
        <w:ind w:left="1132" w:right="1204"/>
      </w:pPr>
      <w:r>
        <w:rPr/>
        <w:t>The</w:t>
      </w:r>
      <w:r>
        <w:rPr>
          <w:spacing w:val="-5"/>
        </w:rPr>
        <w:t> </w:t>
      </w:r>
      <w:r>
        <w:rPr/>
        <w:t>primary</w:t>
      </w:r>
      <w:r>
        <w:rPr>
          <w:spacing w:val="-3"/>
        </w:rPr>
        <w:t> </w:t>
      </w:r>
      <w:r>
        <w:rPr/>
        <w:t>objective</w:t>
      </w:r>
      <w:r>
        <w:rPr>
          <w:spacing w:val="-4"/>
        </w:rPr>
        <w:t> </w:t>
      </w:r>
      <w:r>
        <w:rPr/>
        <w:t>of</w:t>
      </w:r>
      <w:r>
        <w:rPr>
          <w:spacing w:val="-2"/>
        </w:rPr>
        <w:t> </w:t>
      </w:r>
      <w:r>
        <w:rPr/>
        <w:t>the</w:t>
      </w:r>
      <w:r>
        <w:rPr>
          <w:spacing w:val="-4"/>
        </w:rPr>
        <w:t> </w:t>
      </w:r>
      <w:r>
        <w:rPr/>
        <w:t>Glenelg</w:t>
      </w:r>
      <w:r>
        <w:rPr>
          <w:spacing w:val="-4"/>
        </w:rPr>
        <w:t> </w:t>
      </w:r>
      <w:r>
        <w:rPr/>
        <w:t>Ark</w:t>
      </w:r>
      <w:r>
        <w:rPr>
          <w:spacing w:val="-3"/>
        </w:rPr>
        <w:t> </w:t>
      </w:r>
      <w:r>
        <w:rPr/>
        <w:t>project</w:t>
      </w:r>
      <w:r>
        <w:rPr>
          <w:spacing w:val="-4"/>
        </w:rPr>
        <w:t> </w:t>
      </w:r>
      <w:r>
        <w:rPr/>
        <w:t>is</w:t>
      </w:r>
      <w:r>
        <w:rPr>
          <w:spacing w:val="-3"/>
        </w:rPr>
        <w:t> </w:t>
      </w:r>
      <w:r>
        <w:rPr/>
        <w:t>to</w:t>
      </w:r>
      <w:r>
        <w:rPr>
          <w:spacing w:val="-3"/>
        </w:rPr>
        <w:t> </w:t>
      </w:r>
      <w:r>
        <w:rPr/>
        <w:t>mitigate</w:t>
      </w:r>
      <w:r>
        <w:rPr>
          <w:spacing w:val="-4"/>
        </w:rPr>
        <w:t> </w:t>
      </w:r>
      <w:r>
        <w:rPr/>
        <w:t>the</w:t>
      </w:r>
      <w:r>
        <w:rPr>
          <w:spacing w:val="-4"/>
        </w:rPr>
        <w:t> </w:t>
      </w:r>
      <w:r>
        <w:rPr/>
        <w:t>threat</w:t>
      </w:r>
      <w:r>
        <w:rPr>
          <w:spacing w:val="-2"/>
        </w:rPr>
        <w:t> </w:t>
      </w:r>
      <w:r>
        <w:rPr/>
        <w:t>of</w:t>
      </w:r>
      <w:r>
        <w:rPr>
          <w:spacing w:val="-4"/>
        </w:rPr>
        <w:t> </w:t>
      </w:r>
      <w:r>
        <w:rPr/>
        <w:t>fox</w:t>
      </w:r>
      <w:r>
        <w:rPr>
          <w:spacing w:val="-1"/>
        </w:rPr>
        <w:t> </w:t>
      </w:r>
      <w:r>
        <w:rPr/>
        <w:t>predation</w:t>
      </w:r>
      <w:r>
        <w:rPr>
          <w:spacing w:val="-2"/>
        </w:rPr>
        <w:t> </w:t>
      </w:r>
      <w:r>
        <w:rPr/>
        <w:t>on</w:t>
      </w:r>
      <w:r>
        <w:rPr>
          <w:spacing w:val="-3"/>
        </w:rPr>
        <w:t> </w:t>
      </w:r>
      <w:r>
        <w:rPr/>
        <w:t>native</w:t>
      </w:r>
      <w:r>
        <w:rPr>
          <w:spacing w:val="-4"/>
        </w:rPr>
        <w:t> </w:t>
      </w:r>
      <w:r>
        <w:rPr/>
        <w:t>species, thereby safeguarding or enhancing biodiversity. This project stands out as one of the few long-term</w:t>
      </w:r>
    </w:p>
    <w:p>
      <w:pPr>
        <w:pStyle w:val="BodyText"/>
        <w:spacing w:before="1"/>
        <w:ind w:left="1132" w:right="1204"/>
      </w:pPr>
      <w:r>
        <w:rPr/>
        <w:t>(19</w:t>
      </w:r>
      <w:r>
        <w:rPr>
          <w:spacing w:val="-3"/>
        </w:rPr>
        <w:t> </w:t>
      </w:r>
      <w:r>
        <w:rPr/>
        <w:t>years)</w:t>
      </w:r>
      <w:r>
        <w:rPr>
          <w:spacing w:val="-2"/>
        </w:rPr>
        <w:t> </w:t>
      </w:r>
      <w:r>
        <w:rPr/>
        <w:t>fox</w:t>
      </w:r>
      <w:r>
        <w:rPr>
          <w:spacing w:val="-2"/>
        </w:rPr>
        <w:t> </w:t>
      </w:r>
      <w:r>
        <w:rPr/>
        <w:t>control</w:t>
      </w:r>
      <w:r>
        <w:rPr>
          <w:spacing w:val="-4"/>
        </w:rPr>
        <w:t> </w:t>
      </w:r>
      <w:r>
        <w:rPr/>
        <w:t>initiatives</w:t>
      </w:r>
      <w:r>
        <w:rPr>
          <w:spacing w:val="-2"/>
        </w:rPr>
        <w:t> </w:t>
      </w:r>
      <w:r>
        <w:rPr/>
        <w:t>in</w:t>
      </w:r>
      <w:r>
        <w:rPr>
          <w:spacing w:val="-3"/>
        </w:rPr>
        <w:t> </w:t>
      </w:r>
      <w:r>
        <w:rPr/>
        <w:t>Australia</w:t>
      </w:r>
      <w:r>
        <w:rPr>
          <w:spacing w:val="-3"/>
        </w:rPr>
        <w:t> </w:t>
      </w:r>
      <w:r>
        <w:rPr/>
        <w:t>that</w:t>
      </w:r>
      <w:r>
        <w:rPr>
          <w:spacing w:val="-1"/>
        </w:rPr>
        <w:t> </w:t>
      </w:r>
      <w:r>
        <w:rPr/>
        <w:t>incorporates</w:t>
      </w:r>
      <w:r>
        <w:rPr>
          <w:spacing w:val="-2"/>
        </w:rPr>
        <w:t> </w:t>
      </w:r>
      <w:r>
        <w:rPr/>
        <w:t>ongoing monitoring</w:t>
      </w:r>
      <w:r>
        <w:rPr>
          <w:spacing w:val="-1"/>
        </w:rPr>
        <w:t> </w:t>
      </w:r>
      <w:r>
        <w:rPr/>
        <w:t>and encompasses</w:t>
      </w:r>
      <w:r>
        <w:rPr>
          <w:spacing w:val="-2"/>
        </w:rPr>
        <w:t> </w:t>
      </w:r>
      <w:r>
        <w:rPr/>
        <w:t>areas both actively managed for foxes and those left untreated. This unique approach provides an unparalleled opportunity to investigate the enduring shifts in prey and predator dynamics and the underlying drivers of these</w:t>
      </w:r>
      <w:r>
        <w:rPr>
          <w:spacing w:val="-5"/>
        </w:rPr>
        <w:t> </w:t>
      </w:r>
      <w:r>
        <w:rPr/>
        <w:t>changes.</w:t>
      </w:r>
      <w:r>
        <w:rPr>
          <w:spacing w:val="-3"/>
        </w:rPr>
        <w:t> </w:t>
      </w:r>
      <w:r>
        <w:rPr/>
        <w:t>Such</w:t>
      </w:r>
      <w:r>
        <w:rPr>
          <w:spacing w:val="-3"/>
        </w:rPr>
        <w:t> </w:t>
      </w:r>
      <w:r>
        <w:rPr/>
        <w:t>comprehensive</w:t>
      </w:r>
      <w:r>
        <w:rPr>
          <w:spacing w:val="-3"/>
        </w:rPr>
        <w:t> </w:t>
      </w:r>
      <w:r>
        <w:rPr/>
        <w:t>monitoring</w:t>
      </w:r>
      <w:r>
        <w:rPr>
          <w:spacing w:val="-5"/>
        </w:rPr>
        <w:t> </w:t>
      </w:r>
      <w:r>
        <w:rPr/>
        <w:t>programs</w:t>
      </w:r>
      <w:r>
        <w:rPr>
          <w:spacing w:val="-4"/>
        </w:rPr>
        <w:t> </w:t>
      </w:r>
      <w:r>
        <w:rPr/>
        <w:t>are</w:t>
      </w:r>
      <w:r>
        <w:rPr>
          <w:spacing w:val="-5"/>
        </w:rPr>
        <w:t> </w:t>
      </w:r>
      <w:r>
        <w:rPr/>
        <w:t>vital</w:t>
      </w:r>
      <w:r>
        <w:rPr>
          <w:spacing w:val="-4"/>
        </w:rPr>
        <w:t> </w:t>
      </w:r>
      <w:r>
        <w:rPr/>
        <w:t>for</w:t>
      </w:r>
      <w:r>
        <w:rPr>
          <w:spacing w:val="-4"/>
        </w:rPr>
        <w:t> </w:t>
      </w:r>
      <w:r>
        <w:rPr/>
        <w:t>yielding</w:t>
      </w:r>
      <w:r>
        <w:rPr>
          <w:spacing w:val="-5"/>
        </w:rPr>
        <w:t> </w:t>
      </w:r>
      <w:r>
        <w:rPr/>
        <w:t>ecological insights</w:t>
      </w:r>
      <w:r>
        <w:rPr>
          <w:spacing w:val="-4"/>
        </w:rPr>
        <w:t> </w:t>
      </w:r>
      <w:r>
        <w:rPr/>
        <w:t>and</w:t>
      </w:r>
      <w:r>
        <w:rPr>
          <w:spacing w:val="-4"/>
        </w:rPr>
        <w:t> </w:t>
      </w:r>
      <w:r>
        <w:rPr/>
        <w:t>are indispensable for advancing the management of ecosystems and natural resources (Lindenmayer et al.</w:t>
      </w:r>
    </w:p>
    <w:p>
      <w:pPr>
        <w:pStyle w:val="BodyText"/>
        <w:spacing w:line="230" w:lineRule="exact"/>
        <w:ind w:left="1132"/>
      </w:pPr>
      <w:r>
        <w:rPr>
          <w:spacing w:val="-2"/>
        </w:rPr>
        <w:t>2009).</w:t>
      </w:r>
    </w:p>
    <w:p>
      <w:pPr>
        <w:pStyle w:val="BodyText"/>
        <w:spacing w:before="120"/>
        <w:ind w:left="1132" w:right="1204"/>
      </w:pPr>
      <w:r>
        <w:rPr/>
        <w:t>There are only a handful of extensively documented instances where fox control has resulted in the increased</w:t>
      </w:r>
      <w:r>
        <w:rPr>
          <w:spacing w:val="-2"/>
        </w:rPr>
        <w:t> </w:t>
      </w:r>
      <w:r>
        <w:rPr/>
        <w:t>abundance</w:t>
      </w:r>
      <w:r>
        <w:rPr>
          <w:spacing w:val="-4"/>
        </w:rPr>
        <w:t> </w:t>
      </w:r>
      <w:r>
        <w:rPr/>
        <w:t>of</w:t>
      </w:r>
      <w:r>
        <w:rPr>
          <w:spacing w:val="-4"/>
        </w:rPr>
        <w:t> </w:t>
      </w:r>
      <w:r>
        <w:rPr/>
        <w:t>native</w:t>
      </w:r>
      <w:r>
        <w:rPr>
          <w:spacing w:val="-4"/>
        </w:rPr>
        <w:t> </w:t>
      </w:r>
      <w:r>
        <w:rPr/>
        <w:t>species,</w:t>
      </w:r>
      <w:r>
        <w:rPr>
          <w:spacing w:val="-4"/>
        </w:rPr>
        <w:t> </w:t>
      </w:r>
      <w:r>
        <w:rPr/>
        <w:t>particularly</w:t>
      </w:r>
      <w:r>
        <w:rPr>
          <w:spacing w:val="-3"/>
        </w:rPr>
        <w:t> </w:t>
      </w:r>
      <w:r>
        <w:rPr/>
        <w:t>within</w:t>
      </w:r>
      <w:r>
        <w:rPr>
          <w:spacing w:val="-2"/>
        </w:rPr>
        <w:t> </w:t>
      </w:r>
      <w:r>
        <w:rPr/>
        <w:t>open</w:t>
      </w:r>
      <w:r>
        <w:rPr>
          <w:spacing w:val="-4"/>
        </w:rPr>
        <w:t> </w:t>
      </w:r>
      <w:r>
        <w:rPr/>
        <w:t>systems</w:t>
      </w:r>
      <w:r>
        <w:rPr>
          <w:spacing w:val="-3"/>
        </w:rPr>
        <w:t> </w:t>
      </w:r>
      <w:r>
        <w:rPr/>
        <w:t>(Reddiex</w:t>
      </w:r>
      <w:r>
        <w:rPr>
          <w:spacing w:val="-3"/>
        </w:rPr>
        <w:t> </w:t>
      </w:r>
      <w:r>
        <w:rPr/>
        <w:t>and</w:t>
      </w:r>
      <w:r>
        <w:rPr>
          <w:spacing w:val="-4"/>
        </w:rPr>
        <w:t> </w:t>
      </w:r>
      <w:r>
        <w:rPr/>
        <w:t>Forsyth</w:t>
      </w:r>
      <w:r>
        <w:rPr>
          <w:spacing w:val="-5"/>
        </w:rPr>
        <w:t> </w:t>
      </w:r>
      <w:r>
        <w:rPr/>
        <w:t>2006). Most</w:t>
      </w:r>
    </w:p>
    <w:p>
      <w:pPr>
        <w:pStyle w:val="BodyText"/>
        <w:spacing w:after="0"/>
        <w:sectPr>
          <w:footerReference w:type="default" r:id="rId61"/>
          <w:pgSz w:w="11910" w:h="16850"/>
          <w:pgMar w:header="0" w:footer="688" w:top="1060" w:bottom="880" w:left="0" w:right="0"/>
        </w:sectPr>
      </w:pPr>
    </w:p>
    <w:p>
      <w:pPr>
        <w:pStyle w:val="BodyText"/>
        <w:spacing w:before="71"/>
        <w:ind w:left="1132" w:right="1140"/>
      </w:pPr>
      <w:r>
        <w:rPr/>
        <w:t>of the success stories originate from fenced areas where foxes (and feral cats) have been eradicated from within enclosures (de Torres and Marlow 2012; Dickman 2012), or from insular habitats such as islands (Jones et al. 2016). Notably, in a review of pest control operations in Australia, only 2.5% of 627 fox control initiatives</w:t>
      </w:r>
      <w:r>
        <w:rPr>
          <w:spacing w:val="-3"/>
        </w:rPr>
        <w:t> </w:t>
      </w:r>
      <w:r>
        <w:rPr/>
        <w:t>involved</w:t>
      </w:r>
      <w:r>
        <w:rPr>
          <w:spacing w:val="-4"/>
        </w:rPr>
        <w:t> </w:t>
      </w:r>
      <w:r>
        <w:rPr/>
        <w:t>treatment</w:t>
      </w:r>
      <w:r>
        <w:rPr>
          <w:spacing w:val="-4"/>
        </w:rPr>
        <w:t> </w:t>
      </w:r>
      <w:r>
        <w:rPr/>
        <w:t>and</w:t>
      </w:r>
      <w:r>
        <w:rPr>
          <w:spacing w:val="-4"/>
        </w:rPr>
        <w:t> </w:t>
      </w:r>
      <w:r>
        <w:rPr/>
        <w:t>non-treatment</w:t>
      </w:r>
      <w:r>
        <w:rPr>
          <w:spacing w:val="-4"/>
        </w:rPr>
        <w:t> </w:t>
      </w:r>
      <w:r>
        <w:rPr/>
        <w:t>areas</w:t>
      </w:r>
      <w:r>
        <w:rPr>
          <w:spacing w:val="-3"/>
        </w:rPr>
        <w:t> </w:t>
      </w:r>
      <w:r>
        <w:rPr/>
        <w:t>and</w:t>
      </w:r>
      <w:r>
        <w:rPr>
          <w:spacing w:val="-2"/>
        </w:rPr>
        <w:t> </w:t>
      </w:r>
      <w:r>
        <w:rPr/>
        <w:t>monitored</w:t>
      </w:r>
      <w:r>
        <w:rPr>
          <w:spacing w:val="-5"/>
        </w:rPr>
        <w:t> </w:t>
      </w:r>
      <w:r>
        <w:rPr/>
        <w:t>both</w:t>
      </w:r>
      <w:r>
        <w:rPr>
          <w:spacing w:val="-3"/>
        </w:rPr>
        <w:t> </w:t>
      </w:r>
      <w:r>
        <w:rPr/>
        <w:t>prey</w:t>
      </w:r>
      <w:r>
        <w:rPr>
          <w:spacing w:val="-2"/>
        </w:rPr>
        <w:t> </w:t>
      </w:r>
      <w:r>
        <w:rPr/>
        <w:t>and</w:t>
      </w:r>
      <w:r>
        <w:rPr>
          <w:spacing w:val="-5"/>
        </w:rPr>
        <w:t> </w:t>
      </w:r>
      <w:r>
        <w:rPr/>
        <w:t>predator</w:t>
      </w:r>
      <w:r>
        <w:rPr>
          <w:spacing w:val="-4"/>
        </w:rPr>
        <w:t> </w:t>
      </w:r>
      <w:r>
        <w:rPr/>
        <w:t>responses,</w:t>
      </w:r>
      <w:r>
        <w:rPr>
          <w:spacing w:val="-4"/>
        </w:rPr>
        <w:t> </w:t>
      </w:r>
      <w:r>
        <w:rPr/>
        <w:t>with the Glenelg Ark project being among this small fraction (Reddiex and Forsyth 2006).</w:t>
      </w:r>
    </w:p>
    <w:p>
      <w:pPr>
        <w:pStyle w:val="BodyText"/>
        <w:spacing w:before="120"/>
        <w:ind w:left="1132" w:right="1204"/>
      </w:pPr>
      <w:r>
        <w:rPr/>
        <w:t>The program's adaptive management framework, characterised by its flexibility, enables ongoing research and</w:t>
      </w:r>
      <w:r>
        <w:rPr>
          <w:spacing w:val="-5"/>
        </w:rPr>
        <w:t> </w:t>
      </w:r>
      <w:r>
        <w:rPr/>
        <w:t>strategic</w:t>
      </w:r>
      <w:r>
        <w:rPr>
          <w:spacing w:val="-2"/>
        </w:rPr>
        <w:t> </w:t>
      </w:r>
      <w:r>
        <w:rPr/>
        <w:t>planning</w:t>
      </w:r>
      <w:r>
        <w:rPr>
          <w:spacing w:val="-3"/>
        </w:rPr>
        <w:t> </w:t>
      </w:r>
      <w:r>
        <w:rPr/>
        <w:t>to</w:t>
      </w:r>
      <w:r>
        <w:rPr>
          <w:spacing w:val="-6"/>
        </w:rPr>
        <w:t> </w:t>
      </w:r>
      <w:r>
        <w:rPr/>
        <w:t>tackle</w:t>
      </w:r>
      <w:r>
        <w:rPr>
          <w:spacing w:val="-5"/>
        </w:rPr>
        <w:t> </w:t>
      </w:r>
      <w:r>
        <w:rPr/>
        <w:t>knowledge</w:t>
      </w:r>
      <w:r>
        <w:rPr>
          <w:spacing w:val="-5"/>
        </w:rPr>
        <w:t> </w:t>
      </w:r>
      <w:r>
        <w:rPr/>
        <w:t>gaps</w:t>
      </w:r>
      <w:r>
        <w:rPr>
          <w:spacing w:val="-4"/>
        </w:rPr>
        <w:t> </w:t>
      </w:r>
      <w:r>
        <w:rPr/>
        <w:t>and</w:t>
      </w:r>
      <w:r>
        <w:rPr>
          <w:spacing w:val="-6"/>
        </w:rPr>
        <w:t> </w:t>
      </w:r>
      <w:r>
        <w:rPr/>
        <w:t>unintended</w:t>
      </w:r>
      <w:r>
        <w:rPr>
          <w:spacing w:val="-6"/>
        </w:rPr>
        <w:t> </w:t>
      </w:r>
      <w:r>
        <w:rPr/>
        <w:t>consequences.</w:t>
      </w:r>
      <w:r>
        <w:rPr>
          <w:spacing w:val="-3"/>
        </w:rPr>
        <w:t> </w:t>
      </w:r>
      <w:r>
        <w:rPr/>
        <w:t>Further</w:t>
      </w:r>
      <w:r>
        <w:rPr>
          <w:spacing w:val="-5"/>
        </w:rPr>
        <w:t> </w:t>
      </w:r>
      <w:r>
        <w:rPr/>
        <w:t>studies,</w:t>
      </w:r>
      <w:r>
        <w:rPr>
          <w:spacing w:val="-5"/>
        </w:rPr>
        <w:t> </w:t>
      </w:r>
      <w:r>
        <w:rPr/>
        <w:t>especially regarding the impact of feral cat management and the response of species like the endangered Heath Mouse</w:t>
      </w:r>
      <w:r>
        <w:rPr>
          <w:spacing w:val="-3"/>
        </w:rPr>
        <w:t> </w:t>
      </w:r>
      <w:r>
        <w:rPr/>
        <w:t>(</w:t>
      </w:r>
      <w:r>
        <w:rPr>
          <w:i/>
        </w:rPr>
        <w:t>Pseudomys</w:t>
      </w:r>
      <w:r>
        <w:rPr>
          <w:i/>
          <w:spacing w:val="-3"/>
        </w:rPr>
        <w:t> </w:t>
      </w:r>
      <w:r>
        <w:rPr>
          <w:i/>
        </w:rPr>
        <w:t>shortridgei),</w:t>
      </w:r>
      <w:r>
        <w:rPr>
          <w:i/>
          <w:spacing w:val="-1"/>
        </w:rPr>
        <w:t> </w:t>
      </w:r>
      <w:r>
        <w:rPr/>
        <w:t>listed</w:t>
      </w:r>
      <w:r>
        <w:rPr>
          <w:spacing w:val="-3"/>
        </w:rPr>
        <w:t> </w:t>
      </w:r>
      <w:r>
        <w:rPr/>
        <w:t>as</w:t>
      </w:r>
      <w:r>
        <w:rPr>
          <w:spacing w:val="-3"/>
        </w:rPr>
        <w:t> </w:t>
      </w:r>
      <w:r>
        <w:rPr/>
        <w:t>Endangered</w:t>
      </w:r>
      <w:r>
        <w:rPr>
          <w:spacing w:val="-2"/>
        </w:rPr>
        <w:t> </w:t>
      </w:r>
      <w:r>
        <w:rPr/>
        <w:t>in</w:t>
      </w:r>
      <w:r>
        <w:rPr>
          <w:spacing w:val="-2"/>
        </w:rPr>
        <w:t> </w:t>
      </w:r>
      <w:r>
        <w:rPr/>
        <w:t>Victoria</w:t>
      </w:r>
      <w:r>
        <w:rPr>
          <w:spacing w:val="-3"/>
        </w:rPr>
        <w:t> </w:t>
      </w:r>
      <w:r>
        <w:rPr/>
        <w:t>(DELWP</w:t>
      </w:r>
      <w:r>
        <w:rPr>
          <w:spacing w:val="-2"/>
        </w:rPr>
        <w:t> </w:t>
      </w:r>
      <w:r>
        <w:rPr/>
        <w:t>2022)</w:t>
      </w:r>
      <w:r>
        <w:rPr>
          <w:spacing w:val="-1"/>
        </w:rPr>
        <w:t> </w:t>
      </w:r>
      <w:r>
        <w:rPr/>
        <w:t>and</w:t>
      </w:r>
      <w:r>
        <w:rPr>
          <w:spacing w:val="-2"/>
        </w:rPr>
        <w:t> </w:t>
      </w:r>
      <w:r>
        <w:rPr/>
        <w:t>Vulnerable</w:t>
      </w:r>
      <w:r>
        <w:rPr>
          <w:spacing w:val="-3"/>
        </w:rPr>
        <w:t> </w:t>
      </w:r>
      <w:r>
        <w:rPr/>
        <w:t>under</w:t>
      </w:r>
      <w:r>
        <w:rPr>
          <w:spacing w:val="-4"/>
        </w:rPr>
        <w:t> </w:t>
      </w:r>
      <w:r>
        <w:rPr/>
        <w:t>the Environment Protection and Biodiversity Conservation Act 1999 (Cwlth), hold promise for informing future management strategies and funding priorities.</w:t>
      </w:r>
    </w:p>
    <w:p>
      <w:pPr>
        <w:pStyle w:val="Heading6"/>
        <w:spacing w:before="123"/>
        <w:rPr>
          <w:i/>
        </w:rPr>
      </w:pPr>
      <w:r>
        <w:rPr>
          <w:i/>
          <w:spacing w:val="-2"/>
        </w:rPr>
        <w:t>Recommendations</w:t>
      </w:r>
    </w:p>
    <w:p>
      <w:pPr>
        <w:pStyle w:val="BodyText"/>
        <w:spacing w:before="118"/>
        <w:ind w:left="1132"/>
      </w:pPr>
      <w:r>
        <w:rPr/>
        <w:t>Here</w:t>
      </w:r>
      <w:r>
        <w:rPr>
          <w:spacing w:val="-8"/>
        </w:rPr>
        <w:t> </w:t>
      </w:r>
      <w:r>
        <w:rPr/>
        <w:t>we</w:t>
      </w:r>
      <w:r>
        <w:rPr>
          <w:spacing w:val="-6"/>
        </w:rPr>
        <w:t> </w:t>
      </w:r>
      <w:r>
        <w:rPr/>
        <w:t>provide</w:t>
      </w:r>
      <w:r>
        <w:rPr>
          <w:spacing w:val="-7"/>
        </w:rPr>
        <w:t> </w:t>
      </w:r>
      <w:r>
        <w:rPr/>
        <w:t>some</w:t>
      </w:r>
      <w:r>
        <w:rPr>
          <w:spacing w:val="-7"/>
        </w:rPr>
        <w:t> </w:t>
      </w:r>
      <w:r>
        <w:rPr/>
        <w:t>recommendations</w:t>
      </w:r>
      <w:r>
        <w:rPr>
          <w:spacing w:val="-6"/>
        </w:rPr>
        <w:t> </w:t>
      </w:r>
      <w:r>
        <w:rPr/>
        <w:t>on</w:t>
      </w:r>
      <w:r>
        <w:rPr>
          <w:spacing w:val="-3"/>
        </w:rPr>
        <w:t> </w:t>
      </w:r>
      <w:r>
        <w:rPr/>
        <w:t>possible</w:t>
      </w:r>
      <w:r>
        <w:rPr>
          <w:spacing w:val="-5"/>
        </w:rPr>
        <w:t> </w:t>
      </w:r>
      <w:r>
        <w:rPr/>
        <w:t>next</w:t>
      </w:r>
      <w:r>
        <w:rPr>
          <w:spacing w:val="-8"/>
        </w:rPr>
        <w:t> </w:t>
      </w:r>
      <w:r>
        <w:rPr/>
        <w:t>steps</w:t>
      </w:r>
      <w:r>
        <w:rPr>
          <w:spacing w:val="-6"/>
        </w:rPr>
        <w:t> </w:t>
      </w:r>
      <w:r>
        <w:rPr/>
        <w:t>in</w:t>
      </w:r>
      <w:r>
        <w:rPr>
          <w:spacing w:val="-7"/>
        </w:rPr>
        <w:t> </w:t>
      </w:r>
      <w:r>
        <w:rPr/>
        <w:t>the</w:t>
      </w:r>
      <w:r>
        <w:rPr>
          <w:spacing w:val="-7"/>
        </w:rPr>
        <w:t> </w:t>
      </w:r>
      <w:r>
        <w:rPr/>
        <w:t>monitoring</w:t>
      </w:r>
      <w:r>
        <w:rPr>
          <w:spacing w:val="-6"/>
        </w:rPr>
        <w:t> </w:t>
      </w:r>
      <w:r>
        <w:rPr>
          <w:spacing w:val="-2"/>
        </w:rPr>
        <w:t>program.</w:t>
      </w:r>
    </w:p>
    <w:p>
      <w:pPr>
        <w:pStyle w:val="ListParagraph"/>
        <w:numPr>
          <w:ilvl w:val="0"/>
          <w:numId w:val="11"/>
        </w:numPr>
        <w:tabs>
          <w:tab w:pos="1851" w:val="left" w:leader="none"/>
          <w:tab w:pos="1853" w:val="left" w:leader="none"/>
        </w:tabs>
        <w:spacing w:line="283" w:lineRule="auto" w:before="152" w:after="0"/>
        <w:ind w:left="1853" w:right="1604" w:hanging="360"/>
        <w:jc w:val="left"/>
        <w:rPr>
          <w:sz w:val="20"/>
        </w:rPr>
      </w:pPr>
      <w:r>
        <w:rPr>
          <w:sz w:val="20"/>
        </w:rPr>
        <w:t>Continue</w:t>
      </w:r>
      <w:r>
        <w:rPr>
          <w:spacing w:val="-4"/>
          <w:sz w:val="20"/>
        </w:rPr>
        <w:t> </w:t>
      </w:r>
      <w:r>
        <w:rPr>
          <w:sz w:val="20"/>
        </w:rPr>
        <w:t>the</w:t>
      </w:r>
      <w:r>
        <w:rPr>
          <w:spacing w:val="-4"/>
          <w:sz w:val="20"/>
        </w:rPr>
        <w:t> </w:t>
      </w:r>
      <w:r>
        <w:rPr>
          <w:sz w:val="20"/>
        </w:rPr>
        <w:t>current</w:t>
      </w:r>
      <w:r>
        <w:rPr>
          <w:spacing w:val="-2"/>
          <w:sz w:val="20"/>
        </w:rPr>
        <w:t> </w:t>
      </w:r>
      <w:r>
        <w:rPr>
          <w:sz w:val="20"/>
        </w:rPr>
        <w:t>monitoring</w:t>
      </w:r>
      <w:r>
        <w:rPr>
          <w:spacing w:val="-2"/>
          <w:sz w:val="20"/>
        </w:rPr>
        <w:t> </w:t>
      </w:r>
      <w:r>
        <w:rPr>
          <w:sz w:val="20"/>
        </w:rPr>
        <w:t>to</w:t>
      </w:r>
      <w:r>
        <w:rPr>
          <w:spacing w:val="-2"/>
          <w:sz w:val="20"/>
        </w:rPr>
        <w:t> </w:t>
      </w:r>
      <w:r>
        <w:rPr>
          <w:sz w:val="20"/>
        </w:rPr>
        <w:t>improve</w:t>
      </w:r>
      <w:r>
        <w:rPr>
          <w:spacing w:val="-4"/>
          <w:sz w:val="20"/>
        </w:rPr>
        <w:t> </w:t>
      </w:r>
      <w:r>
        <w:rPr>
          <w:sz w:val="20"/>
        </w:rPr>
        <w:t>the</w:t>
      </w:r>
      <w:r>
        <w:rPr>
          <w:spacing w:val="-4"/>
          <w:sz w:val="20"/>
        </w:rPr>
        <w:t> </w:t>
      </w:r>
      <w:r>
        <w:rPr>
          <w:sz w:val="20"/>
        </w:rPr>
        <w:t>estimates</w:t>
      </w:r>
      <w:r>
        <w:rPr>
          <w:spacing w:val="-3"/>
          <w:sz w:val="20"/>
        </w:rPr>
        <w:t> </w:t>
      </w:r>
      <w:r>
        <w:rPr>
          <w:sz w:val="20"/>
        </w:rPr>
        <w:t>and</w:t>
      </w:r>
      <w:r>
        <w:rPr>
          <w:spacing w:val="-2"/>
          <w:sz w:val="20"/>
        </w:rPr>
        <w:t> </w:t>
      </w:r>
      <w:r>
        <w:rPr>
          <w:sz w:val="20"/>
        </w:rPr>
        <w:t>model</w:t>
      </w:r>
      <w:r>
        <w:rPr>
          <w:spacing w:val="-5"/>
          <w:sz w:val="20"/>
        </w:rPr>
        <w:t> </w:t>
      </w:r>
      <w:r>
        <w:rPr>
          <w:sz w:val="20"/>
        </w:rPr>
        <w:t>predictions to</w:t>
      </w:r>
      <w:r>
        <w:rPr>
          <w:spacing w:val="-4"/>
          <w:sz w:val="20"/>
        </w:rPr>
        <w:t> </w:t>
      </w:r>
      <w:r>
        <w:rPr>
          <w:sz w:val="20"/>
        </w:rPr>
        <w:t>better</w:t>
      </w:r>
      <w:r>
        <w:rPr>
          <w:spacing w:val="-3"/>
          <w:sz w:val="20"/>
        </w:rPr>
        <w:t> </w:t>
      </w:r>
      <w:r>
        <w:rPr>
          <w:sz w:val="20"/>
        </w:rPr>
        <w:t>inform </w:t>
      </w:r>
      <w:r>
        <w:rPr>
          <w:spacing w:val="-2"/>
          <w:sz w:val="20"/>
        </w:rPr>
        <w:t>management.</w:t>
      </w:r>
    </w:p>
    <w:p>
      <w:pPr>
        <w:pStyle w:val="ListParagraph"/>
        <w:numPr>
          <w:ilvl w:val="0"/>
          <w:numId w:val="11"/>
        </w:numPr>
        <w:tabs>
          <w:tab w:pos="1851" w:val="left" w:leader="none"/>
          <w:tab w:pos="1853" w:val="left" w:leader="none"/>
        </w:tabs>
        <w:spacing w:line="280" w:lineRule="auto" w:before="117" w:after="0"/>
        <w:ind w:left="1853" w:right="1340" w:hanging="360"/>
        <w:jc w:val="left"/>
        <w:rPr>
          <w:sz w:val="20"/>
        </w:rPr>
      </w:pPr>
      <w:r>
        <w:rPr>
          <w:sz w:val="20"/>
        </w:rPr>
        <w:t>Review the variables used in the modelling and update with both site-specific data and more representative</w:t>
      </w:r>
      <w:r>
        <w:rPr>
          <w:spacing w:val="-4"/>
          <w:sz w:val="20"/>
        </w:rPr>
        <w:t> </w:t>
      </w:r>
      <w:r>
        <w:rPr>
          <w:sz w:val="20"/>
        </w:rPr>
        <w:t>remotely</w:t>
      </w:r>
      <w:r>
        <w:rPr>
          <w:spacing w:val="-3"/>
          <w:sz w:val="20"/>
        </w:rPr>
        <w:t> </w:t>
      </w:r>
      <w:r>
        <w:rPr>
          <w:sz w:val="20"/>
        </w:rPr>
        <w:t>sensed</w:t>
      </w:r>
      <w:r>
        <w:rPr>
          <w:spacing w:val="-5"/>
          <w:sz w:val="20"/>
        </w:rPr>
        <w:t> </w:t>
      </w:r>
      <w:r>
        <w:rPr>
          <w:sz w:val="20"/>
        </w:rPr>
        <w:t>variables,</w:t>
      </w:r>
      <w:r>
        <w:rPr>
          <w:spacing w:val="-4"/>
          <w:sz w:val="20"/>
        </w:rPr>
        <w:t> </w:t>
      </w:r>
      <w:r>
        <w:rPr>
          <w:sz w:val="20"/>
        </w:rPr>
        <w:t>e.g.,</w:t>
      </w:r>
      <w:r>
        <w:rPr>
          <w:spacing w:val="-4"/>
          <w:sz w:val="20"/>
        </w:rPr>
        <w:t> </w:t>
      </w:r>
      <w:r>
        <w:rPr>
          <w:sz w:val="20"/>
        </w:rPr>
        <w:t>FAPAR</w:t>
      </w:r>
      <w:r>
        <w:rPr>
          <w:spacing w:val="-4"/>
          <w:sz w:val="20"/>
        </w:rPr>
        <w:t> </w:t>
      </w:r>
      <w:r>
        <w:rPr>
          <w:sz w:val="20"/>
        </w:rPr>
        <w:t>as</w:t>
      </w:r>
      <w:r>
        <w:rPr>
          <w:spacing w:val="-3"/>
          <w:sz w:val="20"/>
        </w:rPr>
        <w:t> </w:t>
      </w:r>
      <w:r>
        <w:rPr>
          <w:sz w:val="20"/>
        </w:rPr>
        <w:t>a</w:t>
      </w:r>
      <w:r>
        <w:rPr>
          <w:spacing w:val="-5"/>
          <w:sz w:val="20"/>
        </w:rPr>
        <w:t> </w:t>
      </w:r>
      <w:r>
        <w:rPr>
          <w:sz w:val="20"/>
        </w:rPr>
        <w:t>more</w:t>
      </w:r>
      <w:r>
        <w:rPr>
          <w:spacing w:val="-2"/>
          <w:sz w:val="20"/>
        </w:rPr>
        <w:t> </w:t>
      </w:r>
      <w:r>
        <w:rPr>
          <w:sz w:val="20"/>
        </w:rPr>
        <w:t>informative</w:t>
      </w:r>
      <w:r>
        <w:rPr>
          <w:spacing w:val="-4"/>
          <w:sz w:val="20"/>
        </w:rPr>
        <w:t> </w:t>
      </w:r>
      <w:r>
        <w:rPr>
          <w:sz w:val="20"/>
        </w:rPr>
        <w:t>measure</w:t>
      </w:r>
      <w:r>
        <w:rPr>
          <w:spacing w:val="-4"/>
          <w:sz w:val="20"/>
        </w:rPr>
        <w:t> </w:t>
      </w:r>
      <w:r>
        <w:rPr>
          <w:sz w:val="20"/>
        </w:rPr>
        <w:t>of</w:t>
      </w:r>
      <w:r>
        <w:rPr>
          <w:spacing w:val="-2"/>
          <w:sz w:val="20"/>
        </w:rPr>
        <w:t> </w:t>
      </w:r>
      <w:r>
        <w:rPr>
          <w:sz w:val="20"/>
        </w:rPr>
        <w:t>changes in productivity.</w:t>
      </w:r>
    </w:p>
    <w:p>
      <w:pPr>
        <w:pStyle w:val="ListParagraph"/>
        <w:numPr>
          <w:ilvl w:val="0"/>
          <w:numId w:val="11"/>
        </w:numPr>
        <w:tabs>
          <w:tab w:pos="1843" w:val="left" w:leader="none"/>
          <w:tab w:pos="1846" w:val="left" w:leader="none"/>
        </w:tabs>
        <w:spacing w:line="283" w:lineRule="auto" w:before="122" w:after="0"/>
        <w:ind w:left="1846" w:right="1330" w:hanging="356"/>
        <w:jc w:val="left"/>
        <w:rPr>
          <w:sz w:val="20"/>
        </w:rPr>
      </w:pPr>
      <w:r>
        <w:rPr>
          <w:sz w:val="20"/>
        </w:rPr>
        <w:t>Improve</w:t>
      </w:r>
      <w:r>
        <w:rPr>
          <w:spacing w:val="-2"/>
          <w:sz w:val="20"/>
        </w:rPr>
        <w:t> </w:t>
      </w:r>
      <w:r>
        <w:rPr>
          <w:sz w:val="20"/>
        </w:rPr>
        <w:t>our</w:t>
      </w:r>
      <w:r>
        <w:rPr>
          <w:spacing w:val="-2"/>
          <w:sz w:val="20"/>
        </w:rPr>
        <w:t> </w:t>
      </w:r>
      <w:r>
        <w:rPr>
          <w:sz w:val="20"/>
        </w:rPr>
        <w:t>assessment</w:t>
      </w:r>
      <w:r>
        <w:rPr>
          <w:spacing w:val="-2"/>
          <w:sz w:val="20"/>
        </w:rPr>
        <w:t> </w:t>
      </w:r>
      <w:r>
        <w:rPr>
          <w:sz w:val="20"/>
        </w:rPr>
        <w:t>of</w:t>
      </w:r>
      <w:r>
        <w:rPr>
          <w:spacing w:val="-2"/>
          <w:sz w:val="20"/>
        </w:rPr>
        <w:t> </w:t>
      </w:r>
      <w:r>
        <w:rPr>
          <w:sz w:val="20"/>
        </w:rPr>
        <w:t>fox</w:t>
      </w:r>
      <w:r>
        <w:rPr>
          <w:spacing w:val="-3"/>
          <w:sz w:val="20"/>
        </w:rPr>
        <w:t> </w:t>
      </w:r>
      <w:r>
        <w:rPr>
          <w:sz w:val="20"/>
        </w:rPr>
        <w:t>and</w:t>
      </w:r>
      <w:r>
        <w:rPr>
          <w:spacing w:val="-4"/>
          <w:sz w:val="20"/>
        </w:rPr>
        <w:t> </w:t>
      </w:r>
      <w:r>
        <w:rPr>
          <w:sz w:val="20"/>
        </w:rPr>
        <w:t>feral</w:t>
      </w:r>
      <w:r>
        <w:rPr>
          <w:spacing w:val="-5"/>
          <w:sz w:val="20"/>
        </w:rPr>
        <w:t> </w:t>
      </w:r>
      <w:r>
        <w:rPr>
          <w:sz w:val="20"/>
        </w:rPr>
        <w:t>cat</w:t>
      </w:r>
      <w:r>
        <w:rPr>
          <w:spacing w:val="-2"/>
          <w:sz w:val="20"/>
        </w:rPr>
        <w:t> </w:t>
      </w:r>
      <w:r>
        <w:rPr>
          <w:sz w:val="20"/>
        </w:rPr>
        <w:t>densities</w:t>
      </w:r>
      <w:r>
        <w:rPr>
          <w:spacing w:val="-3"/>
          <w:sz w:val="20"/>
        </w:rPr>
        <w:t> </w:t>
      </w:r>
      <w:r>
        <w:rPr>
          <w:sz w:val="20"/>
        </w:rPr>
        <w:t>across</w:t>
      </w:r>
      <w:r>
        <w:rPr>
          <w:spacing w:val="-3"/>
          <w:sz w:val="20"/>
        </w:rPr>
        <w:t> </w:t>
      </w:r>
      <w:r>
        <w:rPr>
          <w:sz w:val="20"/>
        </w:rPr>
        <w:t>all</w:t>
      </w:r>
      <w:r>
        <w:rPr>
          <w:spacing w:val="-5"/>
          <w:sz w:val="20"/>
        </w:rPr>
        <w:t> </w:t>
      </w:r>
      <w:r>
        <w:rPr>
          <w:sz w:val="20"/>
        </w:rPr>
        <w:t>sites,</w:t>
      </w:r>
      <w:r>
        <w:rPr>
          <w:spacing w:val="-4"/>
          <w:sz w:val="20"/>
        </w:rPr>
        <w:t> </w:t>
      </w:r>
      <w:r>
        <w:rPr>
          <w:sz w:val="20"/>
        </w:rPr>
        <w:t>through</w:t>
      </w:r>
      <w:r>
        <w:rPr>
          <w:spacing w:val="-2"/>
          <w:sz w:val="20"/>
        </w:rPr>
        <w:t> </w:t>
      </w:r>
      <w:r>
        <w:rPr>
          <w:sz w:val="20"/>
        </w:rPr>
        <w:t>(i)</w:t>
      </w:r>
      <w:r>
        <w:rPr>
          <w:spacing w:val="-1"/>
          <w:sz w:val="20"/>
        </w:rPr>
        <w:t> </w:t>
      </w:r>
      <w:r>
        <w:rPr>
          <w:sz w:val="20"/>
        </w:rPr>
        <w:t>data</w:t>
      </w:r>
      <w:r>
        <w:rPr>
          <w:spacing w:val="-2"/>
          <w:sz w:val="20"/>
        </w:rPr>
        <w:t> </w:t>
      </w:r>
      <w:r>
        <w:rPr>
          <w:sz w:val="20"/>
        </w:rPr>
        <w:t>derived</w:t>
      </w:r>
      <w:r>
        <w:rPr>
          <w:spacing w:val="-4"/>
          <w:sz w:val="20"/>
        </w:rPr>
        <w:t> </w:t>
      </w:r>
      <w:r>
        <w:rPr>
          <w:sz w:val="20"/>
        </w:rPr>
        <w:t>from genetic material collected from scats, and/or (ii) the use of distance-sampling using data collected from camera traps.</w:t>
      </w:r>
    </w:p>
    <w:p>
      <w:pPr>
        <w:pStyle w:val="ListParagraph"/>
        <w:numPr>
          <w:ilvl w:val="0"/>
          <w:numId w:val="11"/>
        </w:numPr>
        <w:tabs>
          <w:tab w:pos="1843" w:val="left" w:leader="none"/>
          <w:tab w:pos="1846" w:val="left" w:leader="none"/>
        </w:tabs>
        <w:spacing w:line="283" w:lineRule="auto" w:before="117" w:after="0"/>
        <w:ind w:left="1846" w:right="1776" w:hanging="356"/>
        <w:jc w:val="left"/>
        <w:rPr>
          <w:sz w:val="20"/>
        </w:rPr>
      </w:pPr>
      <w:r>
        <w:rPr>
          <w:sz w:val="20"/>
        </w:rPr>
        <w:t>Model</w:t>
      </w:r>
      <w:r>
        <w:rPr>
          <w:spacing w:val="-5"/>
          <w:sz w:val="20"/>
        </w:rPr>
        <w:t> </w:t>
      </w:r>
      <w:r>
        <w:rPr>
          <w:sz w:val="20"/>
        </w:rPr>
        <w:t>fox</w:t>
      </w:r>
      <w:r>
        <w:rPr>
          <w:spacing w:val="-3"/>
          <w:sz w:val="20"/>
        </w:rPr>
        <w:t> </w:t>
      </w:r>
      <w:r>
        <w:rPr>
          <w:sz w:val="20"/>
        </w:rPr>
        <w:t>occurrence</w:t>
      </w:r>
      <w:r>
        <w:rPr>
          <w:spacing w:val="-4"/>
          <w:sz w:val="20"/>
        </w:rPr>
        <w:t> </w:t>
      </w:r>
      <w:r>
        <w:rPr>
          <w:sz w:val="20"/>
        </w:rPr>
        <w:t>in</w:t>
      </w:r>
      <w:r>
        <w:rPr>
          <w:spacing w:val="-4"/>
          <w:sz w:val="20"/>
        </w:rPr>
        <w:t> </w:t>
      </w:r>
      <w:r>
        <w:rPr>
          <w:sz w:val="20"/>
        </w:rPr>
        <w:t>relation</w:t>
      </w:r>
      <w:r>
        <w:rPr>
          <w:spacing w:val="-4"/>
          <w:sz w:val="20"/>
        </w:rPr>
        <w:t> </w:t>
      </w:r>
      <w:r>
        <w:rPr>
          <w:sz w:val="20"/>
        </w:rPr>
        <w:t>to</w:t>
      </w:r>
      <w:r>
        <w:rPr>
          <w:spacing w:val="-2"/>
          <w:sz w:val="20"/>
        </w:rPr>
        <w:t> </w:t>
      </w:r>
      <w:r>
        <w:rPr>
          <w:sz w:val="20"/>
        </w:rPr>
        <w:t>environmental</w:t>
      </w:r>
      <w:r>
        <w:rPr>
          <w:spacing w:val="-5"/>
          <w:sz w:val="20"/>
        </w:rPr>
        <w:t> </w:t>
      </w:r>
      <w:r>
        <w:rPr>
          <w:sz w:val="20"/>
        </w:rPr>
        <w:t>variables to</w:t>
      </w:r>
      <w:r>
        <w:rPr>
          <w:spacing w:val="-4"/>
          <w:sz w:val="20"/>
        </w:rPr>
        <w:t> </w:t>
      </w:r>
      <w:r>
        <w:rPr>
          <w:sz w:val="20"/>
        </w:rPr>
        <w:t>determine</w:t>
      </w:r>
      <w:r>
        <w:rPr>
          <w:spacing w:val="-3"/>
          <w:sz w:val="20"/>
        </w:rPr>
        <w:t> </w:t>
      </w:r>
      <w:r>
        <w:rPr>
          <w:sz w:val="20"/>
        </w:rPr>
        <w:t>whether</w:t>
      </w:r>
      <w:r>
        <w:rPr>
          <w:spacing w:val="-3"/>
          <w:sz w:val="20"/>
        </w:rPr>
        <w:t> </w:t>
      </w:r>
      <w:r>
        <w:rPr>
          <w:sz w:val="20"/>
        </w:rPr>
        <w:t>fox’s</w:t>
      </w:r>
      <w:r>
        <w:rPr>
          <w:spacing w:val="-2"/>
          <w:sz w:val="20"/>
        </w:rPr>
        <w:t> </w:t>
      </w:r>
      <w:r>
        <w:rPr>
          <w:sz w:val="20"/>
        </w:rPr>
        <w:t>habitat preferences interact with prey species responses.</w:t>
      </w:r>
    </w:p>
    <w:p>
      <w:pPr>
        <w:pStyle w:val="ListParagraph"/>
        <w:numPr>
          <w:ilvl w:val="0"/>
          <w:numId w:val="11"/>
        </w:numPr>
        <w:tabs>
          <w:tab w:pos="1843" w:val="left" w:leader="none"/>
          <w:tab w:pos="1846" w:val="left" w:leader="none"/>
        </w:tabs>
        <w:spacing w:line="280" w:lineRule="auto" w:before="117" w:after="0"/>
        <w:ind w:left="1846" w:right="1408" w:hanging="356"/>
        <w:jc w:val="left"/>
        <w:rPr>
          <w:sz w:val="20"/>
        </w:rPr>
      </w:pPr>
      <w:r>
        <w:rPr>
          <w:sz w:val="20"/>
        </w:rPr>
        <w:t>Commence</w:t>
      </w:r>
      <w:r>
        <w:rPr>
          <w:spacing w:val="-2"/>
          <w:sz w:val="20"/>
        </w:rPr>
        <w:t> </w:t>
      </w:r>
      <w:r>
        <w:rPr>
          <w:sz w:val="20"/>
        </w:rPr>
        <w:t>planning</w:t>
      </w:r>
      <w:r>
        <w:rPr>
          <w:spacing w:val="-2"/>
          <w:sz w:val="20"/>
        </w:rPr>
        <w:t> </w:t>
      </w:r>
      <w:r>
        <w:rPr>
          <w:sz w:val="20"/>
        </w:rPr>
        <w:t>for</w:t>
      </w:r>
      <w:r>
        <w:rPr>
          <w:spacing w:val="-3"/>
          <w:sz w:val="20"/>
        </w:rPr>
        <w:t> </w:t>
      </w:r>
      <w:r>
        <w:rPr>
          <w:sz w:val="20"/>
        </w:rPr>
        <w:t>the</w:t>
      </w:r>
      <w:r>
        <w:rPr>
          <w:spacing w:val="-4"/>
          <w:sz w:val="20"/>
        </w:rPr>
        <w:t> </w:t>
      </w:r>
      <w:r>
        <w:rPr>
          <w:sz w:val="20"/>
        </w:rPr>
        <w:t>integration</w:t>
      </w:r>
      <w:r>
        <w:rPr>
          <w:spacing w:val="-4"/>
          <w:sz w:val="20"/>
        </w:rPr>
        <w:t> </w:t>
      </w:r>
      <w:r>
        <w:rPr>
          <w:sz w:val="20"/>
        </w:rPr>
        <w:t>of</w:t>
      </w:r>
      <w:r>
        <w:rPr>
          <w:spacing w:val="-2"/>
          <w:sz w:val="20"/>
        </w:rPr>
        <w:t> </w:t>
      </w:r>
      <w:r>
        <w:rPr>
          <w:sz w:val="20"/>
        </w:rPr>
        <w:t>feral</w:t>
      </w:r>
      <w:r>
        <w:rPr>
          <w:spacing w:val="-5"/>
          <w:sz w:val="20"/>
        </w:rPr>
        <w:t> </w:t>
      </w:r>
      <w:r>
        <w:rPr>
          <w:sz w:val="20"/>
        </w:rPr>
        <w:t>cat</w:t>
      </w:r>
      <w:r>
        <w:rPr>
          <w:spacing w:val="-4"/>
          <w:sz w:val="20"/>
        </w:rPr>
        <w:t> </w:t>
      </w:r>
      <w:r>
        <w:rPr>
          <w:sz w:val="20"/>
        </w:rPr>
        <w:t>control.</w:t>
      </w:r>
      <w:r>
        <w:rPr>
          <w:spacing w:val="-2"/>
          <w:sz w:val="20"/>
        </w:rPr>
        <w:t> </w:t>
      </w:r>
      <w:r>
        <w:rPr>
          <w:sz w:val="20"/>
        </w:rPr>
        <w:t>A</w:t>
      </w:r>
      <w:r>
        <w:rPr>
          <w:spacing w:val="-2"/>
          <w:sz w:val="20"/>
        </w:rPr>
        <w:t> </w:t>
      </w:r>
      <w:r>
        <w:rPr>
          <w:sz w:val="20"/>
        </w:rPr>
        <w:t>possible</w:t>
      </w:r>
      <w:r>
        <w:rPr>
          <w:spacing w:val="-4"/>
          <w:sz w:val="20"/>
        </w:rPr>
        <w:t> </w:t>
      </w:r>
      <w:r>
        <w:rPr>
          <w:sz w:val="20"/>
        </w:rPr>
        <w:t>design</w:t>
      </w:r>
      <w:r>
        <w:rPr>
          <w:spacing w:val="-4"/>
          <w:sz w:val="20"/>
        </w:rPr>
        <w:t> </w:t>
      </w:r>
      <w:r>
        <w:rPr>
          <w:sz w:val="20"/>
        </w:rPr>
        <w:t>for</w:t>
      </w:r>
      <w:r>
        <w:rPr>
          <w:spacing w:val="-1"/>
          <w:sz w:val="20"/>
        </w:rPr>
        <w:t> </w:t>
      </w:r>
      <w:r>
        <w:rPr>
          <w:sz w:val="20"/>
        </w:rPr>
        <w:t>the</w:t>
      </w:r>
      <w:r>
        <w:rPr>
          <w:spacing w:val="-5"/>
          <w:sz w:val="20"/>
        </w:rPr>
        <w:t> </w:t>
      </w:r>
      <w:r>
        <w:rPr>
          <w:sz w:val="20"/>
        </w:rPr>
        <w:t>rollout</w:t>
      </w:r>
      <w:r>
        <w:rPr>
          <w:spacing w:val="-4"/>
          <w:sz w:val="20"/>
        </w:rPr>
        <w:t> </w:t>
      </w:r>
      <w:r>
        <w:rPr>
          <w:sz w:val="20"/>
        </w:rPr>
        <w:t>of</w:t>
      </w:r>
      <w:r>
        <w:rPr>
          <w:spacing w:val="-4"/>
          <w:sz w:val="20"/>
        </w:rPr>
        <w:t> </w:t>
      </w:r>
      <w:r>
        <w:rPr>
          <w:sz w:val="20"/>
        </w:rPr>
        <w:t>feral cat control is provided in Robley et al. (2019). This approach would continue to add to the current long-term monitoring dataset but allow for the integration of feral cat control.</w:t>
      </w:r>
    </w:p>
    <w:p>
      <w:pPr>
        <w:pStyle w:val="ListParagraph"/>
        <w:numPr>
          <w:ilvl w:val="0"/>
          <w:numId w:val="11"/>
        </w:numPr>
        <w:tabs>
          <w:tab w:pos="1843" w:val="left" w:leader="none"/>
          <w:tab w:pos="1846" w:val="left" w:leader="none"/>
        </w:tabs>
        <w:spacing w:line="283" w:lineRule="auto" w:before="122" w:after="0"/>
        <w:ind w:left="1846" w:right="1697" w:hanging="356"/>
        <w:jc w:val="left"/>
        <w:rPr>
          <w:sz w:val="20"/>
        </w:rPr>
      </w:pPr>
      <w:r>
        <w:rPr>
          <w:sz w:val="20"/>
        </w:rPr>
        <w:t>Look</w:t>
      </w:r>
      <w:r>
        <w:rPr>
          <w:spacing w:val="-3"/>
          <w:sz w:val="20"/>
        </w:rPr>
        <w:t> </w:t>
      </w:r>
      <w:r>
        <w:rPr>
          <w:sz w:val="20"/>
        </w:rPr>
        <w:t>for</w:t>
      </w:r>
      <w:r>
        <w:rPr>
          <w:spacing w:val="-1"/>
          <w:sz w:val="20"/>
        </w:rPr>
        <w:t> </w:t>
      </w:r>
      <w:r>
        <w:rPr>
          <w:sz w:val="20"/>
        </w:rPr>
        <w:t>opportunities</w:t>
      </w:r>
      <w:r>
        <w:rPr>
          <w:spacing w:val="-3"/>
          <w:sz w:val="20"/>
        </w:rPr>
        <w:t> </w:t>
      </w:r>
      <w:r>
        <w:rPr>
          <w:sz w:val="20"/>
        </w:rPr>
        <w:t>to</w:t>
      </w:r>
      <w:r>
        <w:rPr>
          <w:spacing w:val="-3"/>
          <w:sz w:val="20"/>
        </w:rPr>
        <w:t> </w:t>
      </w:r>
      <w:r>
        <w:rPr>
          <w:sz w:val="20"/>
        </w:rPr>
        <w:t>assess</w:t>
      </w:r>
      <w:r>
        <w:rPr>
          <w:spacing w:val="-3"/>
          <w:sz w:val="20"/>
        </w:rPr>
        <w:t> </w:t>
      </w:r>
      <w:r>
        <w:rPr>
          <w:sz w:val="20"/>
        </w:rPr>
        <w:t>the</w:t>
      </w:r>
      <w:r>
        <w:rPr>
          <w:spacing w:val="-4"/>
          <w:sz w:val="20"/>
        </w:rPr>
        <w:t> </w:t>
      </w:r>
      <w:r>
        <w:rPr>
          <w:sz w:val="20"/>
        </w:rPr>
        <w:t>response</w:t>
      </w:r>
      <w:r>
        <w:rPr>
          <w:spacing w:val="-2"/>
          <w:sz w:val="20"/>
        </w:rPr>
        <w:t> </w:t>
      </w:r>
      <w:r>
        <w:rPr>
          <w:sz w:val="20"/>
        </w:rPr>
        <w:t>in</w:t>
      </w:r>
      <w:r>
        <w:rPr>
          <w:spacing w:val="-2"/>
          <w:sz w:val="20"/>
        </w:rPr>
        <w:t> </w:t>
      </w:r>
      <w:r>
        <w:rPr>
          <w:sz w:val="20"/>
        </w:rPr>
        <w:t>small</w:t>
      </w:r>
      <w:r>
        <w:rPr>
          <w:spacing w:val="-3"/>
          <w:sz w:val="20"/>
        </w:rPr>
        <w:t> </w:t>
      </w:r>
      <w:r>
        <w:rPr>
          <w:sz w:val="20"/>
        </w:rPr>
        <w:t>mammals</w:t>
      </w:r>
      <w:r>
        <w:rPr>
          <w:spacing w:val="-3"/>
          <w:sz w:val="20"/>
        </w:rPr>
        <w:t> </w:t>
      </w:r>
      <w:r>
        <w:rPr>
          <w:sz w:val="20"/>
        </w:rPr>
        <w:t>to</w:t>
      </w:r>
      <w:r>
        <w:rPr>
          <w:spacing w:val="-4"/>
          <w:sz w:val="20"/>
        </w:rPr>
        <w:t> </w:t>
      </w:r>
      <w:r>
        <w:rPr>
          <w:sz w:val="20"/>
        </w:rPr>
        <w:t>fox</w:t>
      </w:r>
      <w:r>
        <w:rPr>
          <w:spacing w:val="-3"/>
          <w:sz w:val="20"/>
        </w:rPr>
        <w:t> </w:t>
      </w:r>
      <w:r>
        <w:rPr>
          <w:sz w:val="20"/>
        </w:rPr>
        <w:t>control,</w:t>
      </w:r>
      <w:r>
        <w:rPr>
          <w:spacing w:val="-4"/>
          <w:sz w:val="20"/>
        </w:rPr>
        <w:t> </w:t>
      </w:r>
      <w:r>
        <w:rPr>
          <w:sz w:val="20"/>
        </w:rPr>
        <w:t>in</w:t>
      </w:r>
      <w:r>
        <w:rPr>
          <w:spacing w:val="-2"/>
          <w:sz w:val="20"/>
        </w:rPr>
        <w:t> </w:t>
      </w:r>
      <w:r>
        <w:rPr>
          <w:sz w:val="20"/>
        </w:rPr>
        <w:t>particular</w:t>
      </w:r>
      <w:r>
        <w:rPr>
          <w:spacing w:val="-4"/>
          <w:sz w:val="20"/>
        </w:rPr>
        <w:t> </w:t>
      </w:r>
      <w:r>
        <w:rPr>
          <w:sz w:val="20"/>
        </w:rPr>
        <w:t>the Heath Mouse.</w:t>
      </w:r>
    </w:p>
    <w:p>
      <w:pPr>
        <w:pStyle w:val="ListParagraph"/>
        <w:numPr>
          <w:ilvl w:val="0"/>
          <w:numId w:val="11"/>
        </w:numPr>
        <w:tabs>
          <w:tab w:pos="1843" w:val="left" w:leader="none"/>
        </w:tabs>
        <w:spacing w:line="240" w:lineRule="auto" w:before="120" w:after="0"/>
        <w:ind w:left="1843" w:right="0" w:hanging="353"/>
        <w:jc w:val="left"/>
        <w:rPr>
          <w:sz w:val="20"/>
        </w:rPr>
      </w:pPr>
      <w:r>
        <w:rPr>
          <w:sz w:val="20"/>
        </w:rPr>
        <w:t>Include</w:t>
      </w:r>
      <w:r>
        <w:rPr>
          <w:spacing w:val="-8"/>
          <w:sz w:val="20"/>
        </w:rPr>
        <w:t> </w:t>
      </w:r>
      <w:r>
        <w:rPr>
          <w:sz w:val="20"/>
        </w:rPr>
        <w:t>Short-beaked</w:t>
      </w:r>
      <w:r>
        <w:rPr>
          <w:spacing w:val="-6"/>
          <w:sz w:val="20"/>
        </w:rPr>
        <w:t> </w:t>
      </w:r>
      <w:r>
        <w:rPr>
          <w:sz w:val="20"/>
        </w:rPr>
        <w:t>Echidna</w:t>
      </w:r>
      <w:r>
        <w:rPr>
          <w:spacing w:val="-7"/>
          <w:sz w:val="20"/>
        </w:rPr>
        <w:t> </w:t>
      </w:r>
      <w:r>
        <w:rPr>
          <w:sz w:val="20"/>
        </w:rPr>
        <w:t>response</w:t>
      </w:r>
      <w:r>
        <w:rPr>
          <w:spacing w:val="-5"/>
          <w:sz w:val="20"/>
        </w:rPr>
        <w:t> </w:t>
      </w:r>
      <w:r>
        <w:rPr>
          <w:sz w:val="20"/>
        </w:rPr>
        <w:t>in</w:t>
      </w:r>
      <w:r>
        <w:rPr>
          <w:spacing w:val="-8"/>
          <w:sz w:val="20"/>
        </w:rPr>
        <w:t> </w:t>
      </w:r>
      <w:r>
        <w:rPr>
          <w:sz w:val="20"/>
        </w:rPr>
        <w:t>the</w:t>
      </w:r>
      <w:r>
        <w:rPr>
          <w:spacing w:val="-6"/>
          <w:sz w:val="20"/>
        </w:rPr>
        <w:t> </w:t>
      </w:r>
      <w:r>
        <w:rPr>
          <w:sz w:val="20"/>
        </w:rPr>
        <w:t>2024</w:t>
      </w:r>
      <w:r>
        <w:rPr>
          <w:spacing w:val="-7"/>
          <w:sz w:val="20"/>
        </w:rPr>
        <w:t> </w:t>
      </w:r>
      <w:r>
        <w:rPr>
          <w:sz w:val="20"/>
        </w:rPr>
        <w:t>data</w:t>
      </w:r>
      <w:r>
        <w:rPr>
          <w:spacing w:val="-8"/>
          <w:sz w:val="20"/>
        </w:rPr>
        <w:t> </w:t>
      </w:r>
      <w:r>
        <w:rPr>
          <w:spacing w:val="-2"/>
          <w:sz w:val="20"/>
        </w:rPr>
        <w:t>analysis.</w:t>
      </w:r>
    </w:p>
    <w:p>
      <w:pPr>
        <w:pStyle w:val="ListParagraph"/>
        <w:spacing w:after="0" w:line="240" w:lineRule="auto"/>
        <w:jc w:val="left"/>
        <w:rPr>
          <w:sz w:val="20"/>
        </w:rPr>
        <w:sectPr>
          <w:footerReference w:type="default" r:id="rId62"/>
          <w:pgSz w:w="11910" w:h="16850"/>
          <w:pgMar w:header="0" w:footer="688" w:top="1060" w:bottom="880" w:left="0" w:right="0"/>
        </w:sectPr>
      </w:pPr>
    </w:p>
    <w:p>
      <w:pPr>
        <w:pStyle w:val="Heading2"/>
        <w:numPr>
          <w:ilvl w:val="0"/>
          <w:numId w:val="5"/>
        </w:numPr>
        <w:tabs>
          <w:tab w:pos="1565" w:val="left" w:leader="none"/>
        </w:tabs>
        <w:spacing w:line="240" w:lineRule="auto" w:before="61" w:after="0"/>
        <w:ind w:left="1565" w:right="0" w:hanging="433"/>
        <w:jc w:val="left"/>
      </w:pPr>
      <w:bookmarkStart w:name="_TOC_250001" w:id="36"/>
      <w:bookmarkEnd w:id="36"/>
      <w:r>
        <w:rPr>
          <w:color w:val="001F5F"/>
          <w:spacing w:val="-2"/>
        </w:rPr>
        <w:t>References</w:t>
      </w:r>
    </w:p>
    <w:p>
      <w:pPr>
        <w:pStyle w:val="BodyText"/>
        <w:spacing w:before="255"/>
        <w:rPr>
          <w:b/>
          <w:sz w:val="32"/>
        </w:rPr>
      </w:pPr>
    </w:p>
    <w:p>
      <w:pPr>
        <w:pStyle w:val="BodyText"/>
        <w:spacing w:line="276" w:lineRule="auto" w:before="1"/>
        <w:ind w:left="1841" w:right="1215" w:hanging="709"/>
      </w:pPr>
      <w:r>
        <w:rPr/>
        <w:t>Arthur, A.D., Catling, P.C. and Reid, A. (2012). Relative influence of habitat structure, species interactions and</w:t>
      </w:r>
      <w:r>
        <w:rPr>
          <w:spacing w:val="-4"/>
        </w:rPr>
        <w:t> </w:t>
      </w:r>
      <w:r>
        <w:rPr/>
        <w:t>rainfall</w:t>
      </w:r>
      <w:r>
        <w:rPr>
          <w:spacing w:val="-5"/>
        </w:rPr>
        <w:t> </w:t>
      </w:r>
      <w:r>
        <w:rPr/>
        <w:t>on</w:t>
      </w:r>
      <w:r>
        <w:rPr>
          <w:spacing w:val="-4"/>
        </w:rPr>
        <w:t> </w:t>
      </w:r>
      <w:r>
        <w:rPr/>
        <w:t>the</w:t>
      </w:r>
      <w:r>
        <w:rPr>
          <w:spacing w:val="-4"/>
        </w:rPr>
        <w:t> </w:t>
      </w:r>
      <w:r>
        <w:rPr/>
        <w:t>post-fire</w:t>
      </w:r>
      <w:r>
        <w:rPr>
          <w:spacing w:val="-2"/>
        </w:rPr>
        <w:t> </w:t>
      </w:r>
      <w:r>
        <w:rPr/>
        <w:t>population</w:t>
      </w:r>
      <w:r>
        <w:rPr>
          <w:spacing w:val="-4"/>
        </w:rPr>
        <w:t> </w:t>
      </w:r>
      <w:r>
        <w:rPr/>
        <w:t>dynamics</w:t>
      </w:r>
      <w:r>
        <w:rPr>
          <w:spacing w:val="-3"/>
        </w:rPr>
        <w:t> </w:t>
      </w:r>
      <w:r>
        <w:rPr/>
        <w:t>of</w:t>
      </w:r>
      <w:r>
        <w:rPr>
          <w:spacing w:val="-2"/>
        </w:rPr>
        <w:t> </w:t>
      </w:r>
      <w:r>
        <w:rPr/>
        <w:t>ground-dwelling</w:t>
      </w:r>
      <w:r>
        <w:rPr>
          <w:spacing w:val="-5"/>
        </w:rPr>
        <w:t> </w:t>
      </w:r>
      <w:r>
        <w:rPr/>
        <w:t>vertebrates. </w:t>
      </w:r>
      <w:r>
        <w:rPr>
          <w:i/>
        </w:rPr>
        <w:t>Austral</w:t>
      </w:r>
      <w:r>
        <w:rPr>
          <w:i/>
          <w:spacing w:val="-3"/>
        </w:rPr>
        <w:t> </w:t>
      </w:r>
      <w:r>
        <w:rPr>
          <w:i/>
        </w:rPr>
        <w:t>Ecology</w:t>
      </w:r>
      <w:r>
        <w:rPr>
          <w:i/>
          <w:spacing w:val="-1"/>
        </w:rPr>
        <w:t> </w:t>
      </w:r>
      <w:r>
        <w:rPr>
          <w:b/>
        </w:rPr>
        <w:t>37</w:t>
      </w:r>
      <w:r>
        <w:rPr/>
        <w:t>, 958–970 </w:t>
      </w:r>
      <w:hyperlink r:id="rId64">
        <w:r>
          <w:rPr>
            <w:color w:val="0000FF"/>
            <w:u w:val="single" w:color="0000FF"/>
          </w:rPr>
          <w:t>https://doi.org/10.1111/j.1442-9993.2011.02355.x</w:t>
        </w:r>
      </w:hyperlink>
    </w:p>
    <w:p>
      <w:pPr>
        <w:pStyle w:val="BodyText"/>
        <w:spacing w:line="276" w:lineRule="auto" w:before="121"/>
        <w:ind w:left="1841" w:right="1215" w:hanging="709"/>
      </w:pPr>
      <w:r>
        <w:rPr/>
        <w:t>Bennett,</w:t>
      </w:r>
      <w:r>
        <w:rPr>
          <w:spacing w:val="-2"/>
        </w:rPr>
        <w:t> </w:t>
      </w:r>
      <w:r>
        <w:rPr/>
        <w:t>A.F.</w:t>
      </w:r>
      <w:r>
        <w:rPr>
          <w:spacing w:val="-1"/>
        </w:rPr>
        <w:t> </w:t>
      </w:r>
      <w:r>
        <w:rPr/>
        <w:t>(1993).</w:t>
      </w:r>
      <w:r>
        <w:rPr>
          <w:spacing w:val="-4"/>
        </w:rPr>
        <w:t> </w:t>
      </w:r>
      <w:r>
        <w:rPr/>
        <w:t>Microhabitat</w:t>
      </w:r>
      <w:r>
        <w:rPr>
          <w:spacing w:val="-2"/>
        </w:rPr>
        <w:t> </w:t>
      </w:r>
      <w:r>
        <w:rPr/>
        <w:t>use</w:t>
      </w:r>
      <w:r>
        <w:rPr>
          <w:spacing w:val="-4"/>
        </w:rPr>
        <w:t> </w:t>
      </w:r>
      <w:r>
        <w:rPr/>
        <w:t>by</w:t>
      </w:r>
      <w:r>
        <w:rPr>
          <w:spacing w:val="-3"/>
        </w:rPr>
        <w:t> </w:t>
      </w:r>
      <w:r>
        <w:rPr/>
        <w:t>the</w:t>
      </w:r>
      <w:r>
        <w:rPr>
          <w:spacing w:val="-3"/>
        </w:rPr>
        <w:t> </w:t>
      </w:r>
      <w:r>
        <w:rPr/>
        <w:t>long-nosed</w:t>
      </w:r>
      <w:r>
        <w:rPr>
          <w:spacing w:val="-5"/>
        </w:rPr>
        <w:t> </w:t>
      </w:r>
      <w:r>
        <w:rPr/>
        <w:t>potoroo,</w:t>
      </w:r>
      <w:r>
        <w:rPr>
          <w:spacing w:val="-3"/>
        </w:rPr>
        <w:t> </w:t>
      </w:r>
      <w:r>
        <w:rPr>
          <w:i/>
        </w:rPr>
        <w:t>Potorous</w:t>
      </w:r>
      <w:r>
        <w:rPr>
          <w:i/>
          <w:spacing w:val="-3"/>
        </w:rPr>
        <w:t> </w:t>
      </w:r>
      <w:r>
        <w:rPr>
          <w:i/>
        </w:rPr>
        <w:t>tridactylus</w:t>
      </w:r>
      <w:r>
        <w:rPr/>
        <w:t>,</w:t>
      </w:r>
      <w:r>
        <w:rPr>
          <w:spacing w:val="-4"/>
        </w:rPr>
        <w:t> </w:t>
      </w:r>
      <w:r>
        <w:rPr/>
        <w:t>and</w:t>
      </w:r>
      <w:r>
        <w:rPr>
          <w:spacing w:val="-4"/>
        </w:rPr>
        <w:t> </w:t>
      </w:r>
      <w:r>
        <w:rPr/>
        <w:t>other</w:t>
      </w:r>
      <w:r>
        <w:rPr>
          <w:spacing w:val="-3"/>
        </w:rPr>
        <w:t> </w:t>
      </w:r>
      <w:r>
        <w:rPr/>
        <w:t>small mammals in remnant forest vegetation, south-western Victoria. </w:t>
      </w:r>
      <w:r>
        <w:rPr>
          <w:i/>
        </w:rPr>
        <w:t>Wildlife Research </w:t>
      </w:r>
      <w:r>
        <w:rPr>
          <w:b/>
        </w:rPr>
        <w:t>20</w:t>
      </w:r>
      <w:r>
        <w:rPr/>
        <w:t>, 267–285 </w:t>
      </w:r>
      <w:hyperlink r:id="rId65">
        <w:r>
          <w:rPr>
            <w:color w:val="0000FF"/>
            <w:spacing w:val="-2"/>
            <w:u w:val="single" w:color="0000FF"/>
          </w:rPr>
          <w:t>https://doi.org/10.1071/WR9930267</w:t>
        </w:r>
      </w:hyperlink>
    </w:p>
    <w:p>
      <w:pPr>
        <w:pStyle w:val="BodyText"/>
        <w:spacing w:before="118"/>
        <w:ind w:left="1132"/>
      </w:pPr>
      <w:r>
        <w:rPr/>
        <w:t>Beven,</w:t>
      </w:r>
      <w:r>
        <w:rPr>
          <w:spacing w:val="-6"/>
        </w:rPr>
        <w:t> </w:t>
      </w:r>
      <w:r>
        <w:rPr/>
        <w:t>K.J.</w:t>
      </w:r>
      <w:r>
        <w:rPr>
          <w:spacing w:val="-5"/>
        </w:rPr>
        <w:t> </w:t>
      </w:r>
      <w:r>
        <w:rPr/>
        <w:t>and</w:t>
      </w:r>
      <w:r>
        <w:rPr>
          <w:spacing w:val="-5"/>
        </w:rPr>
        <w:t> </w:t>
      </w:r>
      <w:r>
        <w:rPr/>
        <w:t>Kirkby,</w:t>
      </w:r>
      <w:r>
        <w:rPr>
          <w:spacing w:val="-7"/>
        </w:rPr>
        <w:t> </w:t>
      </w:r>
      <w:r>
        <w:rPr/>
        <w:t>M.J.</w:t>
      </w:r>
      <w:r>
        <w:rPr>
          <w:spacing w:val="-7"/>
        </w:rPr>
        <w:t> </w:t>
      </w:r>
      <w:r>
        <w:rPr/>
        <w:t>(1979).</w:t>
      </w:r>
      <w:r>
        <w:rPr>
          <w:spacing w:val="-5"/>
        </w:rPr>
        <w:t> </w:t>
      </w:r>
      <w:r>
        <w:rPr/>
        <w:t>A</w:t>
      </w:r>
      <w:r>
        <w:rPr>
          <w:spacing w:val="-7"/>
        </w:rPr>
        <w:t> </w:t>
      </w:r>
      <w:r>
        <w:rPr/>
        <w:t>physically</w:t>
      </w:r>
      <w:r>
        <w:rPr>
          <w:spacing w:val="-7"/>
        </w:rPr>
        <w:t> </w:t>
      </w:r>
      <w:r>
        <w:rPr/>
        <w:t>based,</w:t>
      </w:r>
      <w:r>
        <w:rPr>
          <w:spacing w:val="-7"/>
        </w:rPr>
        <w:t> </w:t>
      </w:r>
      <w:r>
        <w:rPr/>
        <w:t>variable</w:t>
      </w:r>
      <w:r>
        <w:rPr>
          <w:spacing w:val="-7"/>
        </w:rPr>
        <w:t> </w:t>
      </w:r>
      <w:r>
        <w:rPr/>
        <w:t>contributing</w:t>
      </w:r>
      <w:r>
        <w:rPr>
          <w:spacing w:val="-7"/>
        </w:rPr>
        <w:t> </w:t>
      </w:r>
      <w:r>
        <w:rPr/>
        <w:t>area</w:t>
      </w:r>
      <w:r>
        <w:rPr>
          <w:spacing w:val="-7"/>
        </w:rPr>
        <w:t> </w:t>
      </w:r>
      <w:r>
        <w:rPr/>
        <w:t>model</w:t>
      </w:r>
      <w:r>
        <w:rPr>
          <w:spacing w:val="-6"/>
        </w:rPr>
        <w:t> </w:t>
      </w:r>
      <w:r>
        <w:rPr/>
        <w:t>of</w:t>
      </w:r>
      <w:r>
        <w:rPr>
          <w:spacing w:val="-5"/>
        </w:rPr>
        <w:t> </w:t>
      </w:r>
      <w:r>
        <w:rPr/>
        <w:t>basin</w:t>
      </w:r>
      <w:r>
        <w:rPr>
          <w:spacing w:val="-7"/>
        </w:rPr>
        <w:t> </w:t>
      </w:r>
      <w:r>
        <w:rPr>
          <w:spacing w:val="-2"/>
        </w:rPr>
        <w:t>hydrology.</w:t>
      </w:r>
    </w:p>
    <w:p>
      <w:pPr>
        <w:spacing w:before="37"/>
        <w:ind w:left="1841" w:right="0" w:firstLine="0"/>
        <w:jc w:val="left"/>
        <w:rPr>
          <w:sz w:val="20"/>
        </w:rPr>
      </w:pPr>
      <w:r>
        <w:rPr>
          <w:i/>
          <w:sz w:val="20"/>
        </w:rPr>
        <w:t>Hydrological</w:t>
      </w:r>
      <w:r>
        <w:rPr>
          <w:i/>
          <w:spacing w:val="-12"/>
          <w:sz w:val="20"/>
        </w:rPr>
        <w:t> </w:t>
      </w:r>
      <w:r>
        <w:rPr>
          <w:i/>
          <w:sz w:val="20"/>
        </w:rPr>
        <w:t>Sciences</w:t>
      </w:r>
      <w:r>
        <w:rPr>
          <w:i/>
          <w:spacing w:val="-9"/>
          <w:sz w:val="20"/>
        </w:rPr>
        <w:t> </w:t>
      </w:r>
      <w:r>
        <w:rPr>
          <w:i/>
          <w:sz w:val="20"/>
        </w:rPr>
        <w:t>Journal</w:t>
      </w:r>
      <w:r>
        <w:rPr>
          <w:i/>
          <w:spacing w:val="-7"/>
          <w:sz w:val="20"/>
        </w:rPr>
        <w:t> </w:t>
      </w:r>
      <w:r>
        <w:rPr>
          <w:b/>
          <w:sz w:val="20"/>
        </w:rPr>
        <w:t>24</w:t>
      </w:r>
      <w:r>
        <w:rPr>
          <w:sz w:val="20"/>
        </w:rPr>
        <w:t>,</w:t>
      </w:r>
      <w:r>
        <w:rPr>
          <w:spacing w:val="-8"/>
          <w:sz w:val="20"/>
        </w:rPr>
        <w:t> </w:t>
      </w:r>
      <w:r>
        <w:rPr>
          <w:sz w:val="20"/>
        </w:rPr>
        <w:t>43–</w:t>
      </w:r>
      <w:r>
        <w:rPr>
          <w:spacing w:val="-5"/>
          <w:sz w:val="20"/>
        </w:rPr>
        <w:t>69.</w:t>
      </w:r>
    </w:p>
    <w:p>
      <w:pPr>
        <w:spacing w:line="276" w:lineRule="auto" w:before="154"/>
        <w:ind w:left="1841" w:right="1215" w:hanging="709"/>
        <w:jc w:val="left"/>
        <w:rPr>
          <w:sz w:val="20"/>
        </w:rPr>
      </w:pPr>
      <w:r>
        <w:rPr>
          <w:sz w:val="20"/>
        </w:rPr>
        <w:t>Bürkner,</w:t>
      </w:r>
      <w:r>
        <w:rPr>
          <w:spacing w:val="-2"/>
          <w:sz w:val="20"/>
        </w:rPr>
        <w:t> </w:t>
      </w:r>
      <w:r>
        <w:rPr>
          <w:sz w:val="20"/>
        </w:rPr>
        <w:t>P.-C.</w:t>
      </w:r>
      <w:r>
        <w:rPr>
          <w:spacing w:val="-4"/>
          <w:sz w:val="20"/>
        </w:rPr>
        <w:t> </w:t>
      </w:r>
      <w:r>
        <w:rPr>
          <w:sz w:val="20"/>
        </w:rPr>
        <w:t>(2017).</w:t>
      </w:r>
      <w:r>
        <w:rPr>
          <w:spacing w:val="-1"/>
          <w:sz w:val="20"/>
        </w:rPr>
        <w:t> </w:t>
      </w:r>
      <w:r>
        <w:rPr>
          <w:sz w:val="20"/>
        </w:rPr>
        <w:t>brms:</w:t>
      </w:r>
      <w:r>
        <w:rPr>
          <w:spacing w:val="-3"/>
          <w:sz w:val="20"/>
        </w:rPr>
        <w:t> </w:t>
      </w:r>
      <w:r>
        <w:rPr>
          <w:sz w:val="20"/>
        </w:rPr>
        <w:t>An</w:t>
      </w:r>
      <w:r>
        <w:rPr>
          <w:spacing w:val="-4"/>
          <w:sz w:val="20"/>
        </w:rPr>
        <w:t> </w:t>
      </w:r>
      <w:r>
        <w:rPr>
          <w:sz w:val="20"/>
        </w:rPr>
        <w:t>R</w:t>
      </w:r>
      <w:r>
        <w:rPr>
          <w:spacing w:val="-2"/>
          <w:sz w:val="20"/>
        </w:rPr>
        <w:t> </w:t>
      </w:r>
      <w:r>
        <w:rPr>
          <w:sz w:val="20"/>
        </w:rPr>
        <w:t>Package</w:t>
      </w:r>
      <w:r>
        <w:rPr>
          <w:spacing w:val="-4"/>
          <w:sz w:val="20"/>
        </w:rPr>
        <w:t> </w:t>
      </w:r>
      <w:r>
        <w:rPr>
          <w:sz w:val="20"/>
        </w:rPr>
        <w:t>for</w:t>
      </w:r>
      <w:r>
        <w:rPr>
          <w:spacing w:val="-1"/>
          <w:sz w:val="20"/>
        </w:rPr>
        <w:t> </w:t>
      </w:r>
      <w:r>
        <w:rPr>
          <w:sz w:val="20"/>
        </w:rPr>
        <w:t>Bayesian</w:t>
      </w:r>
      <w:r>
        <w:rPr>
          <w:spacing w:val="-2"/>
          <w:sz w:val="20"/>
        </w:rPr>
        <w:t> </w:t>
      </w:r>
      <w:r>
        <w:rPr>
          <w:sz w:val="20"/>
        </w:rPr>
        <w:t>multilevel</w:t>
      </w:r>
      <w:r>
        <w:rPr>
          <w:spacing w:val="-2"/>
          <w:sz w:val="20"/>
        </w:rPr>
        <w:t> </w:t>
      </w:r>
      <w:r>
        <w:rPr>
          <w:sz w:val="20"/>
        </w:rPr>
        <w:t>models</w:t>
      </w:r>
      <w:r>
        <w:rPr>
          <w:spacing w:val="-1"/>
          <w:sz w:val="20"/>
        </w:rPr>
        <w:t> </w:t>
      </w:r>
      <w:r>
        <w:rPr>
          <w:sz w:val="20"/>
        </w:rPr>
        <w:t>using</w:t>
      </w:r>
      <w:r>
        <w:rPr>
          <w:spacing w:val="-1"/>
          <w:sz w:val="20"/>
        </w:rPr>
        <w:t> </w:t>
      </w:r>
      <w:r>
        <w:rPr>
          <w:sz w:val="20"/>
        </w:rPr>
        <w:t>Stan.</w:t>
      </w:r>
      <w:r>
        <w:rPr>
          <w:spacing w:val="-3"/>
          <w:sz w:val="20"/>
        </w:rPr>
        <w:t> </w:t>
      </w:r>
      <w:r>
        <w:rPr>
          <w:i/>
          <w:sz w:val="20"/>
        </w:rPr>
        <w:t>Journal</w:t>
      </w:r>
      <w:r>
        <w:rPr>
          <w:i/>
          <w:spacing w:val="-3"/>
          <w:sz w:val="20"/>
        </w:rPr>
        <w:t> </w:t>
      </w:r>
      <w:r>
        <w:rPr>
          <w:i/>
          <w:sz w:val="20"/>
        </w:rPr>
        <w:t>of</w:t>
      </w:r>
      <w:r>
        <w:rPr>
          <w:i/>
          <w:spacing w:val="-4"/>
          <w:sz w:val="20"/>
        </w:rPr>
        <w:t> </w:t>
      </w:r>
      <w:r>
        <w:rPr>
          <w:i/>
          <w:sz w:val="20"/>
        </w:rPr>
        <w:t>Statistical</w:t>
      </w:r>
      <w:r>
        <w:rPr>
          <w:i/>
          <w:sz w:val="20"/>
        </w:rPr>
        <w:t> Software </w:t>
      </w:r>
      <w:r>
        <w:rPr>
          <w:b/>
          <w:sz w:val="20"/>
        </w:rPr>
        <w:t>80</w:t>
      </w:r>
      <w:r>
        <w:rPr>
          <w:sz w:val="20"/>
        </w:rPr>
        <w:t>, 1–28 </w:t>
      </w:r>
      <w:hyperlink r:id="rId66">
        <w:r>
          <w:rPr>
            <w:color w:val="0000FF"/>
            <w:sz w:val="20"/>
            <w:u w:val="single" w:color="0000FF"/>
          </w:rPr>
          <w:t>https://doi.org/10.18637/jss.v080.i01</w:t>
        </w:r>
      </w:hyperlink>
    </w:p>
    <w:p>
      <w:pPr>
        <w:pStyle w:val="BodyText"/>
        <w:spacing w:before="119"/>
        <w:ind w:left="1132"/>
      </w:pPr>
      <w:r>
        <w:rPr/>
        <w:t>Carpenter,</w:t>
      </w:r>
      <w:r>
        <w:rPr>
          <w:spacing w:val="-7"/>
        </w:rPr>
        <w:t> </w:t>
      </w:r>
      <w:r>
        <w:rPr/>
        <w:t>B.,</w:t>
      </w:r>
      <w:r>
        <w:rPr>
          <w:spacing w:val="-7"/>
        </w:rPr>
        <w:t> </w:t>
      </w:r>
      <w:r>
        <w:rPr/>
        <w:t>Gelman,</w:t>
      </w:r>
      <w:r>
        <w:rPr>
          <w:spacing w:val="-5"/>
        </w:rPr>
        <w:t> </w:t>
      </w:r>
      <w:r>
        <w:rPr/>
        <w:t>A.,</w:t>
      </w:r>
      <w:r>
        <w:rPr>
          <w:spacing w:val="-5"/>
        </w:rPr>
        <w:t> </w:t>
      </w:r>
      <w:r>
        <w:rPr/>
        <w:t>Hoffman,</w:t>
      </w:r>
      <w:r>
        <w:rPr>
          <w:spacing w:val="-4"/>
        </w:rPr>
        <w:t> </w:t>
      </w:r>
      <w:r>
        <w:rPr/>
        <w:t>M.D.,</w:t>
      </w:r>
      <w:r>
        <w:rPr>
          <w:spacing w:val="-5"/>
        </w:rPr>
        <w:t> </w:t>
      </w:r>
      <w:r>
        <w:rPr/>
        <w:t>Lee,</w:t>
      </w:r>
      <w:r>
        <w:rPr>
          <w:spacing w:val="-7"/>
        </w:rPr>
        <w:t> </w:t>
      </w:r>
      <w:r>
        <w:rPr/>
        <w:t>D.,</w:t>
      </w:r>
      <w:r>
        <w:rPr>
          <w:spacing w:val="-5"/>
        </w:rPr>
        <w:t> </w:t>
      </w:r>
      <w:r>
        <w:rPr/>
        <w:t>Goodrich,</w:t>
      </w:r>
      <w:r>
        <w:rPr>
          <w:spacing w:val="-5"/>
        </w:rPr>
        <w:t> </w:t>
      </w:r>
      <w:r>
        <w:rPr/>
        <w:t>B.,</w:t>
      </w:r>
      <w:r>
        <w:rPr>
          <w:spacing w:val="-5"/>
        </w:rPr>
        <w:t> </w:t>
      </w:r>
      <w:r>
        <w:rPr/>
        <w:t>Betancourt,</w:t>
      </w:r>
      <w:r>
        <w:rPr>
          <w:spacing w:val="-6"/>
        </w:rPr>
        <w:t> </w:t>
      </w:r>
      <w:r>
        <w:rPr/>
        <w:t>M.</w:t>
      </w:r>
      <w:r>
        <w:rPr>
          <w:spacing w:val="-5"/>
        </w:rPr>
        <w:t> </w:t>
      </w:r>
      <w:r>
        <w:rPr/>
        <w:t>and</w:t>
      </w:r>
      <w:r>
        <w:rPr>
          <w:spacing w:val="-8"/>
        </w:rPr>
        <w:t> </w:t>
      </w:r>
      <w:r>
        <w:rPr/>
        <w:t>Riddell,</w:t>
      </w:r>
      <w:r>
        <w:rPr>
          <w:spacing w:val="-5"/>
        </w:rPr>
        <w:t> </w:t>
      </w:r>
      <w:r>
        <w:rPr/>
        <w:t>A.</w:t>
      </w:r>
      <w:r>
        <w:rPr>
          <w:spacing w:val="-6"/>
        </w:rPr>
        <w:t> </w:t>
      </w:r>
      <w:r>
        <w:rPr>
          <w:spacing w:val="-2"/>
        </w:rPr>
        <w:t>(2017).</w:t>
      </w:r>
    </w:p>
    <w:p>
      <w:pPr>
        <w:spacing w:line="278" w:lineRule="auto" w:before="34"/>
        <w:ind w:left="1841" w:right="0" w:firstLine="0"/>
        <w:jc w:val="left"/>
        <w:rPr>
          <w:sz w:val="20"/>
        </w:rPr>
      </w:pPr>
      <w:r>
        <w:rPr>
          <w:sz w:val="20"/>
        </w:rPr>
        <w:t>Stan:</w:t>
      </w:r>
      <w:r>
        <w:rPr>
          <w:spacing w:val="-5"/>
          <w:sz w:val="20"/>
        </w:rPr>
        <w:t> </w:t>
      </w:r>
      <w:r>
        <w:rPr>
          <w:sz w:val="20"/>
        </w:rPr>
        <w:t>A</w:t>
      </w:r>
      <w:r>
        <w:rPr>
          <w:spacing w:val="-3"/>
          <w:sz w:val="20"/>
        </w:rPr>
        <w:t> </w:t>
      </w:r>
      <w:r>
        <w:rPr>
          <w:sz w:val="20"/>
        </w:rPr>
        <w:t>probabilistic</w:t>
      </w:r>
      <w:r>
        <w:rPr>
          <w:spacing w:val="-4"/>
          <w:sz w:val="20"/>
        </w:rPr>
        <w:t> </w:t>
      </w:r>
      <w:r>
        <w:rPr>
          <w:sz w:val="20"/>
        </w:rPr>
        <w:t>programming</w:t>
      </w:r>
      <w:r>
        <w:rPr>
          <w:spacing w:val="-4"/>
          <w:sz w:val="20"/>
        </w:rPr>
        <w:t> </w:t>
      </w:r>
      <w:r>
        <w:rPr>
          <w:sz w:val="20"/>
        </w:rPr>
        <w:t>language.</w:t>
      </w:r>
      <w:r>
        <w:rPr>
          <w:spacing w:val="-2"/>
          <w:sz w:val="20"/>
        </w:rPr>
        <w:t> </w:t>
      </w:r>
      <w:r>
        <w:rPr>
          <w:i/>
          <w:sz w:val="20"/>
        </w:rPr>
        <w:t>Journal</w:t>
      </w:r>
      <w:r>
        <w:rPr>
          <w:i/>
          <w:spacing w:val="-6"/>
          <w:sz w:val="20"/>
        </w:rPr>
        <w:t> </w:t>
      </w:r>
      <w:r>
        <w:rPr>
          <w:i/>
          <w:sz w:val="20"/>
        </w:rPr>
        <w:t>of</w:t>
      </w:r>
      <w:r>
        <w:rPr>
          <w:i/>
          <w:spacing w:val="-5"/>
          <w:sz w:val="20"/>
        </w:rPr>
        <w:t> </w:t>
      </w:r>
      <w:r>
        <w:rPr>
          <w:i/>
          <w:sz w:val="20"/>
        </w:rPr>
        <w:t>Statistical</w:t>
      </w:r>
      <w:r>
        <w:rPr>
          <w:i/>
          <w:spacing w:val="-4"/>
          <w:sz w:val="20"/>
        </w:rPr>
        <w:t> </w:t>
      </w:r>
      <w:r>
        <w:rPr>
          <w:i/>
          <w:sz w:val="20"/>
        </w:rPr>
        <w:t>Software</w:t>
      </w:r>
      <w:r>
        <w:rPr>
          <w:i/>
          <w:spacing w:val="-2"/>
          <w:sz w:val="20"/>
        </w:rPr>
        <w:t> </w:t>
      </w:r>
      <w:r>
        <w:rPr>
          <w:b/>
          <w:sz w:val="20"/>
        </w:rPr>
        <w:t>76</w:t>
      </w:r>
      <w:r>
        <w:rPr>
          <w:sz w:val="20"/>
        </w:rPr>
        <w:t>,</w:t>
      </w:r>
      <w:r>
        <w:rPr>
          <w:spacing w:val="-5"/>
          <w:sz w:val="20"/>
        </w:rPr>
        <w:t> </w:t>
      </w:r>
      <w:r>
        <w:rPr>
          <w:sz w:val="20"/>
        </w:rPr>
        <w:t>1–32 </w:t>
      </w:r>
      <w:hyperlink r:id="rId67">
        <w:r>
          <w:rPr>
            <w:color w:val="0000FF"/>
            <w:spacing w:val="-2"/>
            <w:sz w:val="20"/>
            <w:u w:val="single" w:color="0000FF"/>
          </w:rPr>
          <w:t>https://doi.org/10.18637/jss.v076.i01</w:t>
        </w:r>
      </w:hyperlink>
    </w:p>
    <w:p>
      <w:pPr>
        <w:pStyle w:val="BodyText"/>
        <w:spacing w:line="276" w:lineRule="auto" w:before="117"/>
        <w:ind w:left="1841" w:right="1215" w:hanging="709"/>
      </w:pPr>
      <w:r>
        <w:rPr/>
        <w:t>Comer, S., Clausen, L., Cowen, S., Pinder, J., Thomas, A., Burbidge, A.H., Tiller, C., Algar, D. and Speldewinde, P. (2020). Integrating feral cat (</w:t>
      </w:r>
      <w:r>
        <w:rPr>
          <w:i/>
        </w:rPr>
        <w:t>Felis catus</w:t>
      </w:r>
      <w:r>
        <w:rPr/>
        <w:t>) control into landscape-scale introduced predator</w:t>
      </w:r>
      <w:r>
        <w:rPr>
          <w:spacing w:val="-4"/>
        </w:rPr>
        <w:t> </w:t>
      </w:r>
      <w:r>
        <w:rPr/>
        <w:t>management</w:t>
      </w:r>
      <w:r>
        <w:rPr>
          <w:spacing w:val="-4"/>
        </w:rPr>
        <w:t> </w:t>
      </w:r>
      <w:r>
        <w:rPr/>
        <w:t>to</w:t>
      </w:r>
      <w:r>
        <w:rPr>
          <w:spacing w:val="-4"/>
        </w:rPr>
        <w:t> </w:t>
      </w:r>
      <w:r>
        <w:rPr/>
        <w:t>improve</w:t>
      </w:r>
      <w:r>
        <w:rPr>
          <w:spacing w:val="-4"/>
        </w:rPr>
        <w:t> </w:t>
      </w:r>
      <w:r>
        <w:rPr/>
        <w:t>conservation</w:t>
      </w:r>
      <w:r>
        <w:rPr>
          <w:spacing w:val="-4"/>
        </w:rPr>
        <w:t> </w:t>
      </w:r>
      <w:r>
        <w:rPr/>
        <w:t>prospects</w:t>
      </w:r>
      <w:r>
        <w:rPr>
          <w:spacing w:val="-3"/>
        </w:rPr>
        <w:t> </w:t>
      </w:r>
      <w:r>
        <w:rPr/>
        <w:t>for</w:t>
      </w:r>
      <w:r>
        <w:rPr>
          <w:spacing w:val="-3"/>
        </w:rPr>
        <w:t> </w:t>
      </w:r>
      <w:r>
        <w:rPr/>
        <w:t>threatened</w:t>
      </w:r>
      <w:r>
        <w:rPr>
          <w:spacing w:val="-5"/>
        </w:rPr>
        <w:t> </w:t>
      </w:r>
      <w:r>
        <w:rPr/>
        <w:t>fauna: A</w:t>
      </w:r>
      <w:r>
        <w:rPr>
          <w:spacing w:val="-5"/>
        </w:rPr>
        <w:t> </w:t>
      </w:r>
      <w:r>
        <w:rPr/>
        <w:t>case</w:t>
      </w:r>
      <w:r>
        <w:rPr>
          <w:spacing w:val="-4"/>
        </w:rPr>
        <w:t> </w:t>
      </w:r>
      <w:r>
        <w:rPr/>
        <w:t>study</w:t>
      </w:r>
      <w:r>
        <w:rPr>
          <w:spacing w:val="-3"/>
        </w:rPr>
        <w:t> </w:t>
      </w:r>
      <w:r>
        <w:rPr/>
        <w:t>from the south coast of Western Australia. </w:t>
      </w:r>
      <w:r>
        <w:rPr>
          <w:i/>
        </w:rPr>
        <w:t>Wildlife Research </w:t>
      </w:r>
      <w:r>
        <w:rPr>
          <w:b/>
        </w:rPr>
        <w:t>47</w:t>
      </w:r>
      <w:r>
        <w:rPr/>
        <w:t>, 762–778.</w:t>
      </w:r>
    </w:p>
    <w:p>
      <w:pPr>
        <w:spacing w:line="276" w:lineRule="auto" w:before="121"/>
        <w:ind w:left="1841" w:right="1215" w:hanging="709"/>
        <w:jc w:val="left"/>
        <w:rPr>
          <w:sz w:val="20"/>
        </w:rPr>
      </w:pPr>
      <w:r>
        <w:rPr>
          <w:sz w:val="20"/>
        </w:rPr>
        <mc:AlternateContent>
          <mc:Choice Requires="wps">
            <w:drawing>
              <wp:anchor distT="0" distB="0" distL="0" distR="0" allowOverlap="1" layoutInCell="1" locked="0" behindDoc="1" simplePos="0" relativeHeight="485931008">
                <wp:simplePos x="0" y="0"/>
                <wp:positionH relativeFrom="page">
                  <wp:posOffset>1169212</wp:posOffset>
                </wp:positionH>
                <wp:positionV relativeFrom="paragraph">
                  <wp:posOffset>712492</wp:posOffset>
                </wp:positionV>
                <wp:extent cx="1103630" cy="9525"/>
                <wp:effectExtent l="0" t="0" r="0" b="0"/>
                <wp:wrapNone/>
                <wp:docPr id="136" name="Graphic 136"/>
                <wp:cNvGraphicFramePr>
                  <a:graphicFrameLocks/>
                </wp:cNvGraphicFramePr>
                <a:graphic>
                  <a:graphicData uri="http://schemas.microsoft.com/office/word/2010/wordprocessingShape">
                    <wps:wsp>
                      <wps:cNvPr id="136" name="Graphic 136"/>
                      <wps:cNvSpPr/>
                      <wps:spPr>
                        <a:xfrm>
                          <a:off x="0" y="0"/>
                          <a:ext cx="1103630" cy="9525"/>
                        </a:xfrm>
                        <a:custGeom>
                          <a:avLst/>
                          <a:gdLst/>
                          <a:ahLst/>
                          <a:cxnLst/>
                          <a:rect l="l" t="t" r="r" b="b"/>
                          <a:pathLst>
                            <a:path w="1103630" h="9525">
                              <a:moveTo>
                                <a:pt x="1103376" y="0"/>
                              </a:moveTo>
                              <a:lnTo>
                                <a:pt x="0" y="0"/>
                              </a:lnTo>
                              <a:lnTo>
                                <a:pt x="0" y="9144"/>
                              </a:lnTo>
                              <a:lnTo>
                                <a:pt x="1103376" y="9144"/>
                              </a:lnTo>
                              <a:lnTo>
                                <a:pt x="110337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rect style="position:absolute;margin-left:92.064003pt;margin-top:56.101795pt;width:86.88pt;height:.72pt;mso-position-horizontal-relative:page;mso-position-vertical-relative:paragraph;z-index:-17385472" id="docshape113" filled="true" fillcolor="#0000ff" stroked="false">
                <v:fill type="solid"/>
                <w10:wrap type="none"/>
              </v:rect>
            </w:pict>
          </mc:Fallback>
        </mc:AlternateContent>
      </w:r>
      <w:r>
        <w:rPr>
          <w:sz w:val="20"/>
        </w:rPr>
        <w:t>Department of Environment, Land, Water and Planning (DELWP). (2019). </w:t>
      </w:r>
      <w:r>
        <w:rPr>
          <w:i/>
          <w:sz w:val="20"/>
        </w:rPr>
        <w:t>Native vegetation – modelled</w:t>
      </w:r>
      <w:r>
        <w:rPr>
          <w:i/>
          <w:sz w:val="20"/>
        </w:rPr>
        <w:t> 2005 ecological vegetation classes (with bioregional conservation status)</w:t>
      </w:r>
      <w:r>
        <w:rPr>
          <w:sz w:val="20"/>
        </w:rPr>
        <w:t>. </w:t>
      </w:r>
      <w:hyperlink r:id="rId68">
        <w:r>
          <w:rPr>
            <w:color w:val="0000FF"/>
            <w:spacing w:val="-2"/>
            <w:sz w:val="20"/>
            <w:u w:val="single" w:color="0000FF"/>
          </w:rPr>
          <w:t>http://services.land.vic.gov.au/catalogue/metadata?anzlicId=ANZVI0803003495&amp;publicId=guest&amp;ext</w:t>
        </w:r>
      </w:hyperlink>
      <w:r>
        <w:rPr>
          <w:color w:val="0000FF"/>
          <w:spacing w:val="-2"/>
          <w:sz w:val="20"/>
          <w:u w:val="none"/>
        </w:rPr>
        <w:t> </w:t>
      </w:r>
      <w:hyperlink r:id="rId68">
        <w:r>
          <w:rPr>
            <w:color w:val="0000FF"/>
            <w:sz w:val="20"/>
            <w:u w:val="none"/>
          </w:rPr>
          <w:t>ractionProviderId=1</w:t>
        </w:r>
      </w:hyperlink>
      <w:r>
        <w:rPr>
          <w:color w:val="0000FF"/>
          <w:sz w:val="20"/>
          <w:u w:val="none"/>
        </w:rPr>
        <w:t> </w:t>
      </w:r>
      <w:r>
        <w:rPr>
          <w:sz w:val="20"/>
          <w:u w:val="none"/>
        </w:rPr>
        <w:t>(accessed June 2024).</w:t>
      </w:r>
    </w:p>
    <w:p>
      <w:pPr>
        <w:spacing w:line="276" w:lineRule="auto" w:before="118"/>
        <w:ind w:left="1841" w:right="1167" w:hanging="709"/>
        <w:jc w:val="left"/>
        <w:rPr>
          <w:sz w:val="20"/>
        </w:rPr>
      </w:pPr>
      <w:r>
        <w:rPr>
          <w:sz w:val="20"/>
        </w:rPr>
        <mc:AlternateContent>
          <mc:Choice Requires="wps">
            <w:drawing>
              <wp:anchor distT="0" distB="0" distL="0" distR="0" allowOverlap="1" layoutInCell="1" locked="0" behindDoc="0" simplePos="0" relativeHeight="15740928">
                <wp:simplePos x="0" y="0"/>
                <wp:positionH relativeFrom="page">
                  <wp:posOffset>2269489</wp:posOffset>
                </wp:positionH>
                <wp:positionV relativeFrom="paragraph">
                  <wp:posOffset>377142</wp:posOffset>
                </wp:positionV>
                <wp:extent cx="3723004" cy="9525"/>
                <wp:effectExtent l="0" t="0" r="0" b="0"/>
                <wp:wrapNone/>
                <wp:docPr id="137" name="Graphic 137"/>
                <wp:cNvGraphicFramePr>
                  <a:graphicFrameLocks/>
                </wp:cNvGraphicFramePr>
                <a:graphic>
                  <a:graphicData uri="http://schemas.microsoft.com/office/word/2010/wordprocessingShape">
                    <wps:wsp>
                      <wps:cNvPr id="137" name="Graphic 137"/>
                      <wps:cNvSpPr/>
                      <wps:spPr>
                        <a:xfrm>
                          <a:off x="0" y="0"/>
                          <a:ext cx="3723004" cy="9525"/>
                        </a:xfrm>
                        <a:custGeom>
                          <a:avLst/>
                          <a:gdLst/>
                          <a:ahLst/>
                          <a:cxnLst/>
                          <a:rect l="l" t="t" r="r" b="b"/>
                          <a:pathLst>
                            <a:path w="3723004" h="9525">
                              <a:moveTo>
                                <a:pt x="3722497" y="0"/>
                              </a:moveTo>
                              <a:lnTo>
                                <a:pt x="0" y="0"/>
                              </a:lnTo>
                              <a:lnTo>
                                <a:pt x="0" y="9144"/>
                              </a:lnTo>
                              <a:lnTo>
                                <a:pt x="3722497" y="9144"/>
                              </a:lnTo>
                              <a:lnTo>
                                <a:pt x="3722497"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rect style="position:absolute;margin-left:178.699997pt;margin-top:29.696289pt;width:293.11pt;height:.72pt;mso-position-horizontal-relative:page;mso-position-vertical-relative:paragraph;z-index:15740928" id="docshape114" filled="true" fillcolor="#0000ff" stroked="false">
                <v:fill type="solid"/>
                <w10:wrap type="none"/>
              </v:rect>
            </w:pict>
          </mc:Fallback>
        </mc:AlternateContent>
      </w:r>
      <w:r>
        <w:rPr>
          <w:sz w:val="20"/>
        </w:rPr>
        <w:t>Department</w:t>
      </w:r>
      <w:r>
        <w:rPr>
          <w:spacing w:val="-3"/>
          <w:sz w:val="20"/>
        </w:rPr>
        <w:t> </w:t>
      </w:r>
      <w:r>
        <w:rPr>
          <w:sz w:val="20"/>
        </w:rPr>
        <w:t>of</w:t>
      </w:r>
      <w:r>
        <w:rPr>
          <w:spacing w:val="-3"/>
          <w:sz w:val="20"/>
        </w:rPr>
        <w:t> </w:t>
      </w:r>
      <w:r>
        <w:rPr>
          <w:sz w:val="20"/>
        </w:rPr>
        <w:t>Environment,</w:t>
      </w:r>
      <w:r>
        <w:rPr>
          <w:spacing w:val="-5"/>
          <w:sz w:val="20"/>
        </w:rPr>
        <w:t> </w:t>
      </w:r>
      <w:r>
        <w:rPr>
          <w:sz w:val="20"/>
        </w:rPr>
        <w:t>Land,</w:t>
      </w:r>
      <w:r>
        <w:rPr>
          <w:spacing w:val="-3"/>
          <w:sz w:val="20"/>
        </w:rPr>
        <w:t> </w:t>
      </w:r>
      <w:r>
        <w:rPr>
          <w:sz w:val="20"/>
        </w:rPr>
        <w:t>Water</w:t>
      </w:r>
      <w:r>
        <w:rPr>
          <w:spacing w:val="-5"/>
          <w:sz w:val="20"/>
        </w:rPr>
        <w:t> </w:t>
      </w:r>
      <w:r>
        <w:rPr>
          <w:sz w:val="20"/>
        </w:rPr>
        <w:t>and</w:t>
      </w:r>
      <w:r>
        <w:rPr>
          <w:spacing w:val="-3"/>
          <w:sz w:val="20"/>
        </w:rPr>
        <w:t> </w:t>
      </w:r>
      <w:r>
        <w:rPr>
          <w:sz w:val="20"/>
        </w:rPr>
        <w:t>Planning</w:t>
      </w:r>
      <w:r>
        <w:rPr>
          <w:spacing w:val="-3"/>
          <w:sz w:val="20"/>
        </w:rPr>
        <w:t> </w:t>
      </w:r>
      <w:r>
        <w:rPr>
          <w:sz w:val="20"/>
        </w:rPr>
        <w:t>(DELWP).</w:t>
      </w:r>
      <w:r>
        <w:rPr>
          <w:spacing w:val="-5"/>
          <w:sz w:val="20"/>
        </w:rPr>
        <w:t> </w:t>
      </w:r>
      <w:r>
        <w:rPr>
          <w:sz w:val="20"/>
        </w:rPr>
        <w:t>(2020). </w:t>
      </w:r>
      <w:r>
        <w:rPr>
          <w:i/>
          <w:sz w:val="20"/>
        </w:rPr>
        <w:t>Vicmap</w:t>
      </w:r>
      <w:r>
        <w:rPr>
          <w:i/>
          <w:spacing w:val="-1"/>
          <w:sz w:val="20"/>
        </w:rPr>
        <w:t> </w:t>
      </w:r>
      <w:r>
        <w:rPr>
          <w:i/>
          <w:sz w:val="20"/>
        </w:rPr>
        <w:t>Elevation</w:t>
      </w:r>
      <w:r>
        <w:rPr>
          <w:i/>
          <w:spacing w:val="-5"/>
          <w:sz w:val="20"/>
        </w:rPr>
        <w:t> </w:t>
      </w:r>
      <w:r>
        <w:rPr>
          <w:i/>
          <w:sz w:val="20"/>
        </w:rPr>
        <w:t>Digital</w:t>
      </w:r>
      <w:r>
        <w:rPr>
          <w:i/>
          <w:spacing w:val="-6"/>
          <w:sz w:val="20"/>
        </w:rPr>
        <w:t> </w:t>
      </w:r>
      <w:r>
        <w:rPr>
          <w:i/>
          <w:sz w:val="20"/>
        </w:rPr>
        <w:t>Elevation</w:t>
      </w:r>
      <w:r>
        <w:rPr>
          <w:i/>
          <w:sz w:val="20"/>
        </w:rPr>
        <w:t> Model (DEM) 10m</w:t>
      </w:r>
      <w:r>
        <w:rPr>
          <w:sz w:val="20"/>
        </w:rPr>
        <w:t>. </w:t>
      </w:r>
      <w:hyperlink r:id="rId69">
        <w:r>
          <w:rPr>
            <w:color w:val="0000FF"/>
            <w:sz w:val="20"/>
          </w:rPr>
          <w:t>https://www.land.vic.gov.au/maps-and-spatial/spatial-data/vicmap-</w:t>
        </w:r>
      </w:hyperlink>
      <w:hyperlink r:id="rId69">
        <w:r>
          <w:rPr>
            <w:color w:val="0000FF"/>
            <w:sz w:val="20"/>
            <w:u w:val="single" w:color="0000FF"/>
          </w:rPr>
          <w:t>catalogue/vicmap-elevation</w:t>
        </w:r>
      </w:hyperlink>
      <w:r>
        <w:rPr>
          <w:color w:val="0000FF"/>
          <w:sz w:val="20"/>
          <w:u w:val="none"/>
        </w:rPr>
        <w:t> </w:t>
      </w:r>
      <w:r>
        <w:rPr>
          <w:sz w:val="20"/>
          <w:u w:val="none"/>
        </w:rPr>
        <w:t>(accessed June 2024).</w:t>
      </w:r>
    </w:p>
    <w:p>
      <w:pPr>
        <w:spacing w:line="276" w:lineRule="auto" w:before="121"/>
        <w:ind w:left="1841" w:right="1390" w:hanging="709"/>
        <w:jc w:val="left"/>
        <w:rPr>
          <w:sz w:val="20"/>
        </w:rPr>
      </w:pPr>
      <w:r>
        <w:rPr>
          <w:sz w:val="20"/>
        </w:rPr>
        <w:t>Department</w:t>
      </w:r>
      <w:r>
        <w:rPr>
          <w:spacing w:val="-3"/>
          <w:sz w:val="20"/>
        </w:rPr>
        <w:t> </w:t>
      </w:r>
      <w:r>
        <w:rPr>
          <w:sz w:val="20"/>
        </w:rPr>
        <w:t>of</w:t>
      </w:r>
      <w:r>
        <w:rPr>
          <w:spacing w:val="-3"/>
          <w:sz w:val="20"/>
        </w:rPr>
        <w:t> </w:t>
      </w:r>
      <w:r>
        <w:rPr>
          <w:sz w:val="20"/>
        </w:rPr>
        <w:t>Environment,</w:t>
      </w:r>
      <w:r>
        <w:rPr>
          <w:spacing w:val="-5"/>
          <w:sz w:val="20"/>
        </w:rPr>
        <w:t> </w:t>
      </w:r>
      <w:r>
        <w:rPr>
          <w:sz w:val="20"/>
        </w:rPr>
        <w:t>Land,</w:t>
      </w:r>
      <w:r>
        <w:rPr>
          <w:spacing w:val="-3"/>
          <w:sz w:val="20"/>
        </w:rPr>
        <w:t> </w:t>
      </w:r>
      <w:r>
        <w:rPr>
          <w:sz w:val="20"/>
        </w:rPr>
        <w:t>Water</w:t>
      </w:r>
      <w:r>
        <w:rPr>
          <w:spacing w:val="-5"/>
          <w:sz w:val="20"/>
        </w:rPr>
        <w:t> </w:t>
      </w:r>
      <w:r>
        <w:rPr>
          <w:sz w:val="20"/>
        </w:rPr>
        <w:t>and</w:t>
      </w:r>
      <w:r>
        <w:rPr>
          <w:spacing w:val="-3"/>
          <w:sz w:val="20"/>
        </w:rPr>
        <w:t> </w:t>
      </w:r>
      <w:r>
        <w:rPr>
          <w:sz w:val="20"/>
        </w:rPr>
        <w:t>Planning</w:t>
      </w:r>
      <w:r>
        <w:rPr>
          <w:spacing w:val="-3"/>
          <w:sz w:val="20"/>
        </w:rPr>
        <w:t> </w:t>
      </w:r>
      <w:r>
        <w:rPr>
          <w:sz w:val="20"/>
        </w:rPr>
        <w:t>(DELWP).</w:t>
      </w:r>
      <w:r>
        <w:rPr>
          <w:spacing w:val="-5"/>
          <w:sz w:val="20"/>
        </w:rPr>
        <w:t> </w:t>
      </w:r>
      <w:r>
        <w:rPr>
          <w:sz w:val="20"/>
        </w:rPr>
        <w:t>(2022). </w:t>
      </w:r>
      <w:r>
        <w:rPr>
          <w:i/>
          <w:sz w:val="20"/>
        </w:rPr>
        <w:t>Flora</w:t>
      </w:r>
      <w:r>
        <w:rPr>
          <w:i/>
          <w:spacing w:val="-2"/>
          <w:sz w:val="20"/>
        </w:rPr>
        <w:t> </w:t>
      </w:r>
      <w:r>
        <w:rPr>
          <w:i/>
          <w:sz w:val="20"/>
        </w:rPr>
        <w:t>and</w:t>
      </w:r>
      <w:r>
        <w:rPr>
          <w:i/>
          <w:spacing w:val="-5"/>
          <w:sz w:val="20"/>
        </w:rPr>
        <w:t> </w:t>
      </w:r>
      <w:r>
        <w:rPr>
          <w:i/>
          <w:sz w:val="20"/>
        </w:rPr>
        <w:t>Fauna</w:t>
      </w:r>
      <w:r>
        <w:rPr>
          <w:i/>
          <w:spacing w:val="-5"/>
          <w:sz w:val="20"/>
        </w:rPr>
        <w:t> </w:t>
      </w:r>
      <w:r>
        <w:rPr>
          <w:i/>
          <w:sz w:val="20"/>
        </w:rPr>
        <w:t>Guarantee</w:t>
      </w:r>
      <w:r>
        <w:rPr>
          <w:i/>
          <w:spacing w:val="-3"/>
          <w:sz w:val="20"/>
        </w:rPr>
        <w:t> </w:t>
      </w:r>
      <w:r>
        <w:rPr>
          <w:i/>
          <w:sz w:val="20"/>
        </w:rPr>
        <w:t>Act</w:t>
      </w:r>
      <w:r>
        <w:rPr>
          <w:i/>
          <w:sz w:val="20"/>
        </w:rPr>
        <w:t> 1988 – Threatened List</w:t>
      </w:r>
      <w:r>
        <w:rPr>
          <w:sz w:val="20"/>
        </w:rPr>
        <w:t>. </w:t>
      </w:r>
      <w:hyperlink r:id="rId70">
        <w:r>
          <w:rPr>
            <w:color w:val="0000FF"/>
            <w:sz w:val="20"/>
            <w:u w:val="single" w:color="0000FF"/>
          </w:rPr>
          <w:t>https://www.environment.vic.gov.au/conserving-threatened-</w:t>
        </w:r>
      </w:hyperlink>
      <w:hyperlink r:id="rId70">
        <w:r>
          <w:rPr>
            <w:color w:val="0000FF"/>
            <w:sz w:val="20"/>
            <w:u w:val="single" w:color="0000FF"/>
          </w:rPr>
          <w:t>species/threatened-list</w:t>
        </w:r>
      </w:hyperlink>
      <w:r>
        <w:rPr>
          <w:color w:val="0000FF"/>
          <w:sz w:val="20"/>
          <w:u w:val="none"/>
        </w:rPr>
        <w:t> </w:t>
      </w:r>
      <w:r>
        <w:rPr>
          <w:sz w:val="20"/>
          <w:u w:val="none"/>
        </w:rPr>
        <w:t>(accessed October 2023).</w:t>
      </w:r>
    </w:p>
    <w:p>
      <w:pPr>
        <w:pStyle w:val="BodyText"/>
        <w:spacing w:line="276" w:lineRule="auto" w:before="121"/>
        <w:ind w:left="1841" w:right="1133" w:hanging="709"/>
      </w:pPr>
      <w:r>
        <w:rPr/>
        <w:t>Dickman,</w:t>
      </w:r>
      <w:r>
        <w:rPr>
          <w:spacing w:val="-2"/>
        </w:rPr>
        <w:t> </w:t>
      </w:r>
      <w:r>
        <w:rPr/>
        <w:t>C.</w:t>
      </w:r>
      <w:r>
        <w:rPr>
          <w:spacing w:val="-4"/>
        </w:rPr>
        <w:t> </w:t>
      </w:r>
      <w:r>
        <w:rPr/>
        <w:t>(2012).</w:t>
      </w:r>
      <w:r>
        <w:rPr>
          <w:spacing w:val="-4"/>
        </w:rPr>
        <w:t> </w:t>
      </w:r>
      <w:r>
        <w:rPr/>
        <w:t>Fences</w:t>
      </w:r>
      <w:r>
        <w:rPr>
          <w:spacing w:val="-3"/>
        </w:rPr>
        <w:t> </w:t>
      </w:r>
      <w:r>
        <w:rPr/>
        <w:t>or</w:t>
      </w:r>
      <w:r>
        <w:rPr>
          <w:spacing w:val="-1"/>
        </w:rPr>
        <w:t> </w:t>
      </w:r>
      <w:r>
        <w:rPr/>
        <w:t>ferals?</w:t>
      </w:r>
      <w:r>
        <w:rPr>
          <w:spacing w:val="-2"/>
        </w:rPr>
        <w:t> </w:t>
      </w:r>
      <w:r>
        <w:rPr/>
        <w:t>Benefits</w:t>
      </w:r>
      <w:r>
        <w:rPr>
          <w:spacing w:val="-3"/>
        </w:rPr>
        <w:t> </w:t>
      </w:r>
      <w:r>
        <w:rPr/>
        <w:t>and</w:t>
      </w:r>
      <w:r>
        <w:rPr>
          <w:spacing w:val="-2"/>
        </w:rPr>
        <w:t> </w:t>
      </w:r>
      <w:r>
        <w:rPr/>
        <w:t>costs</w:t>
      </w:r>
      <w:r>
        <w:rPr>
          <w:spacing w:val="-3"/>
        </w:rPr>
        <w:t> </w:t>
      </w:r>
      <w:r>
        <w:rPr/>
        <w:t>of</w:t>
      </w:r>
      <w:r>
        <w:rPr>
          <w:spacing w:val="-4"/>
        </w:rPr>
        <w:t> </w:t>
      </w:r>
      <w:r>
        <w:rPr/>
        <w:t>conservation</w:t>
      </w:r>
      <w:r>
        <w:rPr>
          <w:spacing w:val="-3"/>
        </w:rPr>
        <w:t> </w:t>
      </w:r>
      <w:r>
        <w:rPr/>
        <w:t>fencing</w:t>
      </w:r>
      <w:r>
        <w:rPr>
          <w:spacing w:val="-2"/>
        </w:rPr>
        <w:t> </w:t>
      </w:r>
      <w:r>
        <w:rPr/>
        <w:t>in</w:t>
      </w:r>
      <w:r>
        <w:rPr>
          <w:spacing w:val="-2"/>
        </w:rPr>
        <w:t> </w:t>
      </w:r>
      <w:r>
        <w:rPr/>
        <w:t>Australia. In:</w:t>
      </w:r>
      <w:r>
        <w:rPr>
          <w:spacing w:val="-2"/>
        </w:rPr>
        <w:t> </w:t>
      </w:r>
      <w:r>
        <w:rPr/>
        <w:t>Somers,</w:t>
      </w:r>
      <w:r>
        <w:rPr>
          <w:spacing w:val="-4"/>
        </w:rPr>
        <w:t> </w:t>
      </w:r>
      <w:r>
        <w:rPr/>
        <w:t>M. and Hayward, M. (eds) </w:t>
      </w:r>
      <w:r>
        <w:rPr>
          <w:i/>
        </w:rPr>
        <w:t>Fencing for Conservation</w:t>
      </w:r>
      <w:r>
        <w:rPr/>
        <w:t>, pp. 43–63. Springer, New York, NY</w:t>
      </w:r>
      <w:r>
        <w:rPr>
          <w:spacing w:val="64"/>
        </w:rPr>
        <w:t> </w:t>
      </w:r>
      <w:r>
        <w:rPr/>
        <w:t>10.1007/978-1-4614-0902-1_4 (accessed May 2024).</w:t>
      </w:r>
    </w:p>
    <w:p>
      <w:pPr>
        <w:pStyle w:val="BodyText"/>
        <w:spacing w:line="276" w:lineRule="auto" w:before="119"/>
        <w:ind w:left="1841" w:right="1415" w:hanging="709"/>
        <w:jc w:val="both"/>
      </w:pPr>
      <w:r>
        <w:rPr>
          <w:color w:val="212121"/>
        </w:rPr>
        <w:t>Dilts,</w:t>
      </w:r>
      <w:r>
        <w:rPr>
          <w:color w:val="212121"/>
          <w:spacing w:val="-5"/>
        </w:rPr>
        <w:t> </w:t>
      </w:r>
      <w:r>
        <w:rPr>
          <w:color w:val="212121"/>
        </w:rPr>
        <w:t>T.E.,</w:t>
      </w:r>
      <w:r>
        <w:rPr>
          <w:color w:val="212121"/>
          <w:spacing w:val="-3"/>
        </w:rPr>
        <w:t> </w:t>
      </w:r>
      <w:r>
        <w:rPr>
          <w:color w:val="212121"/>
        </w:rPr>
        <w:t>Blum,</w:t>
      </w:r>
      <w:r>
        <w:rPr>
          <w:color w:val="212121"/>
          <w:spacing w:val="-3"/>
        </w:rPr>
        <w:t> </w:t>
      </w:r>
      <w:r>
        <w:rPr>
          <w:color w:val="212121"/>
        </w:rPr>
        <w:t>M.E.,</w:t>
      </w:r>
      <w:r>
        <w:rPr>
          <w:color w:val="212121"/>
          <w:spacing w:val="-3"/>
        </w:rPr>
        <w:t> </w:t>
      </w:r>
      <w:r>
        <w:rPr>
          <w:color w:val="212121"/>
        </w:rPr>
        <w:t>Shoemaker,</w:t>
      </w:r>
      <w:r>
        <w:rPr>
          <w:color w:val="212121"/>
          <w:spacing w:val="-2"/>
        </w:rPr>
        <w:t> </w:t>
      </w:r>
      <w:r>
        <w:rPr>
          <w:color w:val="212121"/>
        </w:rPr>
        <w:t>K.T.,</w:t>
      </w:r>
      <w:r>
        <w:rPr>
          <w:color w:val="212121"/>
          <w:spacing w:val="-3"/>
        </w:rPr>
        <w:t> </w:t>
      </w:r>
      <w:r>
        <w:rPr>
          <w:color w:val="212121"/>
        </w:rPr>
        <w:t>Weisberg,</w:t>
      </w:r>
      <w:r>
        <w:rPr>
          <w:color w:val="212121"/>
          <w:spacing w:val="-3"/>
        </w:rPr>
        <w:t> </w:t>
      </w:r>
      <w:r>
        <w:rPr>
          <w:color w:val="212121"/>
        </w:rPr>
        <w:t>P.J.,</w:t>
      </w:r>
      <w:r>
        <w:rPr>
          <w:color w:val="212121"/>
          <w:spacing w:val="-5"/>
        </w:rPr>
        <w:t> </w:t>
      </w:r>
      <w:r>
        <w:rPr>
          <w:color w:val="212121"/>
        </w:rPr>
        <w:t>and</w:t>
      </w:r>
      <w:r>
        <w:rPr>
          <w:color w:val="212121"/>
          <w:spacing w:val="-3"/>
        </w:rPr>
        <w:t> </w:t>
      </w:r>
      <w:r>
        <w:rPr>
          <w:color w:val="212121"/>
        </w:rPr>
        <w:t>Stewart,</w:t>
      </w:r>
      <w:r>
        <w:rPr>
          <w:color w:val="212121"/>
          <w:spacing w:val="-3"/>
        </w:rPr>
        <w:t> </w:t>
      </w:r>
      <w:r>
        <w:rPr>
          <w:color w:val="212121"/>
        </w:rPr>
        <w:t>K.M</w:t>
      </w:r>
      <w:r>
        <w:rPr>
          <w:i/>
          <w:color w:val="212121"/>
        </w:rPr>
        <w:t>.</w:t>
      </w:r>
      <w:r>
        <w:rPr>
          <w:i/>
          <w:color w:val="212121"/>
          <w:spacing w:val="-3"/>
        </w:rPr>
        <w:t> </w:t>
      </w:r>
      <w:r>
        <w:rPr>
          <w:color w:val="212121"/>
        </w:rPr>
        <w:t>(2023).</w:t>
      </w:r>
      <w:r>
        <w:rPr>
          <w:color w:val="212121"/>
          <w:spacing w:val="-4"/>
        </w:rPr>
        <w:t> </w:t>
      </w:r>
      <w:r>
        <w:rPr>
          <w:color w:val="212121"/>
        </w:rPr>
        <w:t>Improved</w:t>
      </w:r>
      <w:r>
        <w:rPr>
          <w:color w:val="212121"/>
          <w:spacing w:val="-3"/>
        </w:rPr>
        <w:t> </w:t>
      </w:r>
      <w:r>
        <w:rPr>
          <w:color w:val="212121"/>
        </w:rPr>
        <w:t>topographic ruggedness</w:t>
      </w:r>
      <w:r>
        <w:rPr>
          <w:color w:val="212121"/>
          <w:spacing w:val="-3"/>
        </w:rPr>
        <w:t> </w:t>
      </w:r>
      <w:r>
        <w:rPr>
          <w:color w:val="212121"/>
        </w:rPr>
        <w:t>indices more</w:t>
      </w:r>
      <w:r>
        <w:rPr>
          <w:color w:val="212121"/>
          <w:spacing w:val="-2"/>
        </w:rPr>
        <w:t> </w:t>
      </w:r>
      <w:r>
        <w:rPr>
          <w:color w:val="212121"/>
        </w:rPr>
        <w:t>accurately</w:t>
      </w:r>
      <w:r>
        <w:rPr>
          <w:color w:val="212121"/>
          <w:spacing w:val="-3"/>
        </w:rPr>
        <w:t> </w:t>
      </w:r>
      <w:r>
        <w:rPr>
          <w:color w:val="212121"/>
        </w:rPr>
        <w:t>model</w:t>
      </w:r>
      <w:r>
        <w:rPr>
          <w:color w:val="212121"/>
          <w:spacing w:val="-5"/>
        </w:rPr>
        <w:t> </w:t>
      </w:r>
      <w:r>
        <w:rPr>
          <w:color w:val="212121"/>
        </w:rPr>
        <w:t>fine-scale ecological</w:t>
      </w:r>
      <w:r>
        <w:rPr>
          <w:color w:val="212121"/>
          <w:spacing w:val="-5"/>
        </w:rPr>
        <w:t> </w:t>
      </w:r>
      <w:r>
        <w:rPr>
          <w:color w:val="212121"/>
        </w:rPr>
        <w:t>patterns. </w:t>
      </w:r>
      <w:r>
        <w:rPr>
          <w:i/>
          <w:color w:val="212121"/>
        </w:rPr>
        <w:t>Landscape</w:t>
      </w:r>
      <w:r>
        <w:rPr>
          <w:i/>
          <w:color w:val="212121"/>
          <w:spacing w:val="-1"/>
        </w:rPr>
        <w:t> </w:t>
      </w:r>
      <w:r>
        <w:rPr>
          <w:i/>
          <w:color w:val="212121"/>
        </w:rPr>
        <w:t>Ecology</w:t>
      </w:r>
      <w:r>
        <w:rPr>
          <w:i/>
          <w:color w:val="212121"/>
          <w:spacing w:val="-3"/>
        </w:rPr>
        <w:t> </w:t>
      </w:r>
      <w:r>
        <w:rPr>
          <w:b/>
          <w:color w:val="212121"/>
        </w:rPr>
        <w:t>38, </w:t>
      </w:r>
      <w:r>
        <w:rPr>
          <w:color w:val="212121"/>
        </w:rPr>
        <w:t>1395–1410 </w:t>
      </w:r>
      <w:hyperlink r:id="rId71">
        <w:r>
          <w:rPr>
            <w:color w:val="0000FF"/>
            <w:u w:val="single" w:color="0000FF"/>
          </w:rPr>
          <w:t>https://doi.org/10.1007/s10980-023-01646-6</w:t>
        </w:r>
      </w:hyperlink>
    </w:p>
    <w:p>
      <w:pPr>
        <w:pStyle w:val="BodyText"/>
        <w:spacing w:line="276" w:lineRule="auto" w:before="120"/>
        <w:ind w:left="1841" w:right="1261" w:hanging="709"/>
      </w:pPr>
      <w:r>
        <w:rPr/>
        <w:t>de Torres, P. and Marlow, N. (2012). The relative merits of predator-exclusion fencing and repeated fox baiting for protection of native fauna: Five case studies from Western Australia</w:t>
      </w:r>
      <w:r>
        <w:rPr>
          <w:i/>
        </w:rPr>
        <w:t>. </w:t>
      </w:r>
      <w:r>
        <w:rPr/>
        <w:t>In: Somers, M. and Hayward,</w:t>
      </w:r>
      <w:r>
        <w:rPr>
          <w:spacing w:val="-2"/>
        </w:rPr>
        <w:t> </w:t>
      </w:r>
      <w:r>
        <w:rPr/>
        <w:t>M.</w:t>
      </w:r>
      <w:r>
        <w:rPr>
          <w:spacing w:val="-4"/>
        </w:rPr>
        <w:t> </w:t>
      </w:r>
      <w:r>
        <w:rPr/>
        <w:t>(eds)</w:t>
      </w:r>
      <w:r>
        <w:rPr>
          <w:spacing w:val="-3"/>
        </w:rPr>
        <w:t> </w:t>
      </w:r>
      <w:r>
        <w:rPr>
          <w:i/>
        </w:rPr>
        <w:t>Fencing</w:t>
      </w:r>
      <w:r>
        <w:rPr>
          <w:i/>
          <w:spacing w:val="-2"/>
        </w:rPr>
        <w:t> </w:t>
      </w:r>
      <w:r>
        <w:rPr>
          <w:i/>
        </w:rPr>
        <w:t>for</w:t>
      </w:r>
      <w:r>
        <w:rPr>
          <w:i/>
          <w:spacing w:val="-3"/>
        </w:rPr>
        <w:t> </w:t>
      </w:r>
      <w:r>
        <w:rPr>
          <w:i/>
        </w:rPr>
        <w:t>Conservation</w:t>
      </w:r>
      <w:r>
        <w:rPr/>
        <w:t>,</w:t>
      </w:r>
      <w:r>
        <w:rPr>
          <w:spacing w:val="-4"/>
        </w:rPr>
        <w:t> </w:t>
      </w:r>
      <w:r>
        <w:rPr/>
        <w:t>pp.</w:t>
      </w:r>
      <w:r>
        <w:rPr>
          <w:spacing w:val="-4"/>
        </w:rPr>
        <w:t> </w:t>
      </w:r>
      <w:r>
        <w:rPr/>
        <w:t>21–42.</w:t>
      </w:r>
      <w:r>
        <w:rPr>
          <w:spacing w:val="-4"/>
        </w:rPr>
        <w:t> </w:t>
      </w:r>
      <w:r>
        <w:rPr/>
        <w:t>Springer,</w:t>
      </w:r>
      <w:r>
        <w:rPr>
          <w:spacing w:val="-4"/>
        </w:rPr>
        <w:t> </w:t>
      </w:r>
      <w:r>
        <w:rPr/>
        <w:t>New</w:t>
      </w:r>
      <w:r>
        <w:rPr>
          <w:spacing w:val="-4"/>
        </w:rPr>
        <w:t> </w:t>
      </w:r>
      <w:r>
        <w:rPr/>
        <w:t>York,</w:t>
      </w:r>
      <w:r>
        <w:rPr>
          <w:spacing w:val="-4"/>
        </w:rPr>
        <w:t> </w:t>
      </w:r>
      <w:r>
        <w:rPr/>
        <w:t>NY</w:t>
      </w:r>
      <w:r>
        <w:rPr>
          <w:spacing w:val="-1"/>
        </w:rPr>
        <w:t> </w:t>
      </w:r>
      <w:r>
        <w:rPr/>
        <w:t>DOI</w:t>
      </w:r>
      <w:r>
        <w:rPr>
          <w:spacing w:val="-3"/>
        </w:rPr>
        <w:t> </w:t>
      </w:r>
      <w:r>
        <w:rPr/>
        <w:t>10.1007/978-1-4614-0902-1_3 (accessed May 2024).</w:t>
      </w:r>
    </w:p>
    <w:p>
      <w:pPr>
        <w:spacing w:line="276" w:lineRule="auto" w:before="122"/>
        <w:ind w:left="1841" w:right="1167" w:hanging="709"/>
        <w:jc w:val="left"/>
        <w:rPr>
          <w:sz w:val="20"/>
        </w:rPr>
      </w:pPr>
      <w:r>
        <w:rPr>
          <w:sz w:val="20"/>
        </w:rPr>
        <w:t>Gallant,</w:t>
      </w:r>
      <w:r>
        <w:rPr>
          <w:spacing w:val="-4"/>
          <w:sz w:val="20"/>
        </w:rPr>
        <w:t> </w:t>
      </w:r>
      <w:r>
        <w:rPr>
          <w:sz w:val="20"/>
        </w:rPr>
        <w:t>J.</w:t>
      </w:r>
      <w:r>
        <w:rPr>
          <w:spacing w:val="-2"/>
          <w:sz w:val="20"/>
        </w:rPr>
        <w:t> </w:t>
      </w:r>
      <w:r>
        <w:rPr>
          <w:sz w:val="20"/>
        </w:rPr>
        <w:t>and</w:t>
      </w:r>
      <w:r>
        <w:rPr>
          <w:spacing w:val="-2"/>
          <w:sz w:val="20"/>
        </w:rPr>
        <w:t> </w:t>
      </w:r>
      <w:r>
        <w:rPr>
          <w:sz w:val="20"/>
        </w:rPr>
        <w:t>Austin,</w:t>
      </w:r>
      <w:r>
        <w:rPr>
          <w:spacing w:val="-4"/>
          <w:sz w:val="20"/>
        </w:rPr>
        <w:t> </w:t>
      </w:r>
      <w:r>
        <w:rPr>
          <w:sz w:val="20"/>
        </w:rPr>
        <w:t>J.</w:t>
      </w:r>
      <w:r>
        <w:rPr>
          <w:spacing w:val="-4"/>
          <w:sz w:val="20"/>
        </w:rPr>
        <w:t> </w:t>
      </w:r>
      <w:r>
        <w:rPr>
          <w:sz w:val="20"/>
        </w:rPr>
        <w:t>(2012). </w:t>
      </w:r>
      <w:r>
        <w:rPr>
          <w:i/>
          <w:sz w:val="20"/>
        </w:rPr>
        <w:t>Topographic</w:t>
      </w:r>
      <w:r>
        <w:rPr>
          <w:i/>
          <w:spacing w:val="-3"/>
          <w:sz w:val="20"/>
        </w:rPr>
        <w:t> </w:t>
      </w:r>
      <w:r>
        <w:rPr>
          <w:i/>
          <w:sz w:val="20"/>
        </w:rPr>
        <w:t>Wetness</w:t>
      </w:r>
      <w:r>
        <w:rPr>
          <w:i/>
          <w:spacing w:val="-3"/>
          <w:sz w:val="20"/>
        </w:rPr>
        <w:t> </w:t>
      </w:r>
      <w:r>
        <w:rPr>
          <w:i/>
          <w:sz w:val="20"/>
        </w:rPr>
        <w:t>Index</w:t>
      </w:r>
      <w:r>
        <w:rPr>
          <w:i/>
          <w:spacing w:val="-3"/>
          <w:sz w:val="20"/>
        </w:rPr>
        <w:t> </w:t>
      </w:r>
      <w:r>
        <w:rPr>
          <w:i/>
          <w:sz w:val="20"/>
        </w:rPr>
        <w:t>derived</w:t>
      </w:r>
      <w:r>
        <w:rPr>
          <w:i/>
          <w:spacing w:val="-5"/>
          <w:sz w:val="20"/>
        </w:rPr>
        <w:t> </w:t>
      </w:r>
      <w:r>
        <w:rPr>
          <w:i/>
          <w:sz w:val="20"/>
        </w:rPr>
        <w:t>from</w:t>
      </w:r>
      <w:r>
        <w:rPr>
          <w:i/>
          <w:spacing w:val="-2"/>
          <w:sz w:val="20"/>
        </w:rPr>
        <w:t> </w:t>
      </w:r>
      <w:r>
        <w:rPr>
          <w:i/>
          <w:sz w:val="20"/>
        </w:rPr>
        <w:t>1ʺ</w:t>
      </w:r>
      <w:r>
        <w:rPr>
          <w:i/>
          <w:spacing w:val="-3"/>
          <w:sz w:val="20"/>
        </w:rPr>
        <w:t> </w:t>
      </w:r>
      <w:r>
        <w:rPr>
          <w:i/>
          <w:sz w:val="20"/>
        </w:rPr>
        <w:t>SRTM</w:t>
      </w:r>
      <w:r>
        <w:rPr>
          <w:i/>
          <w:spacing w:val="-4"/>
          <w:sz w:val="20"/>
        </w:rPr>
        <w:t> </w:t>
      </w:r>
      <w:r>
        <w:rPr>
          <w:i/>
          <w:sz w:val="20"/>
        </w:rPr>
        <w:t>DEM-H.</w:t>
      </w:r>
      <w:r>
        <w:rPr>
          <w:i/>
          <w:spacing w:val="-2"/>
          <w:sz w:val="20"/>
        </w:rPr>
        <w:t> </w:t>
      </w:r>
      <w:r>
        <w:rPr>
          <w:i/>
          <w:sz w:val="20"/>
        </w:rPr>
        <w:t>V2.</w:t>
      </w:r>
      <w:r>
        <w:rPr>
          <w:i/>
          <w:spacing w:val="-2"/>
          <w:sz w:val="20"/>
        </w:rPr>
        <w:t> </w:t>
      </w:r>
      <w:r>
        <w:rPr>
          <w:i/>
          <w:sz w:val="20"/>
        </w:rPr>
        <w:t>11</w:t>
      </w:r>
      <w:r>
        <w:rPr>
          <w:i/>
          <w:spacing w:val="-4"/>
          <w:sz w:val="20"/>
        </w:rPr>
        <w:t> </w:t>
      </w:r>
      <w:r>
        <w:rPr>
          <w:i/>
          <w:sz w:val="20"/>
        </w:rPr>
        <w:t>CSIRO.</w:t>
      </w:r>
      <w:r>
        <w:rPr>
          <w:i/>
          <w:sz w:val="20"/>
        </w:rPr>
        <w:t> Data Collection. </w:t>
      </w:r>
      <w:r>
        <w:rPr>
          <w:color w:val="0000FF"/>
          <w:sz w:val="20"/>
          <w:u w:val="single" w:color="0000FF"/>
        </w:rPr>
        <w:t>https://data.csiro.au/collection/csiro:5588</w:t>
      </w:r>
      <w:r>
        <w:rPr>
          <w:color w:val="0000FF"/>
          <w:sz w:val="20"/>
          <w:u w:val="none"/>
        </w:rPr>
        <w:t> </w:t>
      </w:r>
      <w:r>
        <w:rPr>
          <w:sz w:val="20"/>
          <w:u w:val="none"/>
        </w:rPr>
        <w:t>(accessed October 2023 ).</w:t>
      </w:r>
    </w:p>
    <w:p>
      <w:pPr>
        <w:pStyle w:val="BodyText"/>
        <w:spacing w:line="276" w:lineRule="auto" w:before="119"/>
        <w:ind w:left="1841" w:right="1167" w:hanging="709"/>
      </w:pPr>
      <w:r>
        <w:rPr/>
        <w:t>Geary,</w:t>
      </w:r>
      <w:r>
        <w:rPr>
          <w:spacing w:val="-4"/>
        </w:rPr>
        <w:t> </w:t>
      </w:r>
      <w:r>
        <w:rPr/>
        <w:t>W.L.,</w:t>
      </w:r>
      <w:r>
        <w:rPr>
          <w:spacing w:val="-4"/>
        </w:rPr>
        <w:t> </w:t>
      </w:r>
      <w:r>
        <w:rPr/>
        <w:t>Hradsky,</w:t>
      </w:r>
      <w:r>
        <w:rPr>
          <w:spacing w:val="-4"/>
        </w:rPr>
        <w:t> </w:t>
      </w:r>
      <w:r>
        <w:rPr/>
        <w:t>B.A.,</w:t>
      </w:r>
      <w:r>
        <w:rPr>
          <w:spacing w:val="-2"/>
        </w:rPr>
        <w:t> </w:t>
      </w:r>
      <w:r>
        <w:rPr/>
        <w:t>Robley,</w:t>
      </w:r>
      <w:r>
        <w:rPr>
          <w:spacing w:val="-4"/>
        </w:rPr>
        <w:t> </w:t>
      </w:r>
      <w:r>
        <w:rPr/>
        <w:t>A.</w:t>
      </w:r>
      <w:r>
        <w:rPr>
          <w:spacing w:val="-4"/>
        </w:rPr>
        <w:t> </w:t>
      </w:r>
      <w:r>
        <w:rPr/>
        <w:t>and</w:t>
      </w:r>
      <w:r>
        <w:rPr>
          <w:spacing w:val="-2"/>
        </w:rPr>
        <w:t> </w:t>
      </w:r>
      <w:r>
        <w:rPr/>
        <w:t>Wintle,</w:t>
      </w:r>
      <w:r>
        <w:rPr>
          <w:spacing w:val="-4"/>
        </w:rPr>
        <w:t> </w:t>
      </w:r>
      <w:r>
        <w:rPr/>
        <w:t>B.A.</w:t>
      </w:r>
      <w:r>
        <w:rPr>
          <w:spacing w:val="-4"/>
        </w:rPr>
        <w:t> </w:t>
      </w:r>
      <w:r>
        <w:rPr/>
        <w:t>(2020).</w:t>
      </w:r>
      <w:r>
        <w:rPr>
          <w:spacing w:val="-2"/>
        </w:rPr>
        <w:t> </w:t>
      </w:r>
      <w:r>
        <w:rPr/>
        <w:t>Predators,</w:t>
      </w:r>
      <w:r>
        <w:rPr>
          <w:spacing w:val="-4"/>
        </w:rPr>
        <w:t> </w:t>
      </w:r>
      <w:r>
        <w:rPr/>
        <w:t>fire</w:t>
      </w:r>
      <w:r>
        <w:rPr>
          <w:spacing w:val="-4"/>
        </w:rPr>
        <w:t> </w:t>
      </w:r>
      <w:r>
        <w:rPr/>
        <w:t>or</w:t>
      </w:r>
      <w:r>
        <w:rPr>
          <w:spacing w:val="-3"/>
        </w:rPr>
        <w:t> </w:t>
      </w:r>
      <w:r>
        <w:rPr/>
        <w:t>resources: What</w:t>
      </w:r>
      <w:r>
        <w:rPr>
          <w:spacing w:val="-4"/>
        </w:rPr>
        <w:t> </w:t>
      </w:r>
      <w:r>
        <w:rPr/>
        <w:t>drives</w:t>
      </w:r>
      <w:r>
        <w:rPr>
          <w:spacing w:val="-3"/>
        </w:rPr>
        <w:t> </w:t>
      </w:r>
      <w:r>
        <w:rPr/>
        <w:t>the distribution of herbivores in fragmented mesic forests? </w:t>
      </w:r>
      <w:r>
        <w:rPr>
          <w:i/>
        </w:rPr>
        <w:t>Austral Ecology </w:t>
      </w:r>
      <w:r>
        <w:rPr>
          <w:b/>
        </w:rPr>
        <w:t>45</w:t>
      </w:r>
      <w:r>
        <w:rPr/>
        <w:t>, 329–339.</w:t>
      </w:r>
    </w:p>
    <w:p>
      <w:pPr>
        <w:pStyle w:val="BodyText"/>
        <w:spacing w:line="278" w:lineRule="auto" w:before="119"/>
        <w:ind w:left="1841" w:right="1215" w:hanging="709"/>
      </w:pPr>
      <w:r>
        <w:rPr/>
        <w:t>Gelman,</w:t>
      </w:r>
      <w:r>
        <w:rPr>
          <w:spacing w:val="-2"/>
        </w:rPr>
        <w:t> </w:t>
      </w:r>
      <w:r>
        <w:rPr/>
        <w:t>A.B.,</w:t>
      </w:r>
      <w:r>
        <w:rPr>
          <w:spacing w:val="-4"/>
        </w:rPr>
        <w:t> </w:t>
      </w:r>
      <w:r>
        <w:rPr/>
        <w:t>Carlin,</w:t>
      </w:r>
      <w:r>
        <w:rPr>
          <w:spacing w:val="-4"/>
        </w:rPr>
        <w:t> </w:t>
      </w:r>
      <w:r>
        <w:rPr/>
        <w:t>J.S.,</w:t>
      </w:r>
      <w:r>
        <w:rPr>
          <w:spacing w:val="-2"/>
        </w:rPr>
        <w:t> </w:t>
      </w:r>
      <w:r>
        <w:rPr/>
        <w:t>Stern,</w:t>
      </w:r>
      <w:r>
        <w:rPr>
          <w:spacing w:val="-2"/>
        </w:rPr>
        <w:t> </w:t>
      </w:r>
      <w:r>
        <w:rPr/>
        <w:t>H.S.</w:t>
      </w:r>
      <w:r>
        <w:rPr>
          <w:spacing w:val="-4"/>
        </w:rPr>
        <w:t> </w:t>
      </w:r>
      <w:r>
        <w:rPr/>
        <w:t>and</w:t>
      </w:r>
      <w:r>
        <w:rPr>
          <w:spacing w:val="-4"/>
        </w:rPr>
        <w:t> </w:t>
      </w:r>
      <w:r>
        <w:rPr/>
        <w:t>Rubin,</w:t>
      </w:r>
      <w:r>
        <w:rPr>
          <w:spacing w:val="-4"/>
        </w:rPr>
        <w:t> </w:t>
      </w:r>
      <w:r>
        <w:rPr/>
        <w:t>D.B.</w:t>
      </w:r>
      <w:r>
        <w:rPr>
          <w:spacing w:val="-2"/>
        </w:rPr>
        <w:t> </w:t>
      </w:r>
      <w:r>
        <w:rPr/>
        <w:t>(2004). </w:t>
      </w:r>
      <w:r>
        <w:rPr>
          <w:i/>
        </w:rPr>
        <w:t>Bayesian</w:t>
      </w:r>
      <w:r>
        <w:rPr>
          <w:i/>
          <w:spacing w:val="-3"/>
        </w:rPr>
        <w:t> </w:t>
      </w:r>
      <w:r>
        <w:rPr>
          <w:i/>
        </w:rPr>
        <w:t>Data</w:t>
      </w:r>
      <w:r>
        <w:rPr>
          <w:i/>
          <w:spacing w:val="-2"/>
        </w:rPr>
        <w:t> </w:t>
      </w:r>
      <w:r>
        <w:rPr>
          <w:i/>
        </w:rPr>
        <w:t>Analysis</w:t>
      </w:r>
      <w:r>
        <w:rPr/>
        <w:t>,</w:t>
      </w:r>
      <w:r>
        <w:rPr>
          <w:spacing w:val="-4"/>
        </w:rPr>
        <w:t> </w:t>
      </w:r>
      <w:r>
        <w:rPr/>
        <w:t>2nd</w:t>
      </w:r>
      <w:r>
        <w:rPr>
          <w:spacing w:val="-4"/>
        </w:rPr>
        <w:t> </w:t>
      </w:r>
      <w:r>
        <w:rPr/>
        <w:t>edn.</w:t>
      </w:r>
      <w:r>
        <w:rPr>
          <w:spacing w:val="-4"/>
        </w:rPr>
        <w:t> </w:t>
      </w:r>
      <w:r>
        <w:rPr/>
        <w:t>Chapman and Hall/CRC, Boca Raton, Florida, USA.</w:t>
      </w:r>
    </w:p>
    <w:p>
      <w:pPr>
        <w:pStyle w:val="BodyText"/>
        <w:spacing w:after="0" w:line="278" w:lineRule="auto"/>
        <w:sectPr>
          <w:footerReference w:type="default" r:id="rId63"/>
          <w:pgSz w:w="11910" w:h="16850"/>
          <w:pgMar w:header="0" w:footer="688" w:top="1140" w:bottom="880" w:left="0" w:right="0"/>
        </w:sectPr>
      </w:pPr>
    </w:p>
    <w:p>
      <w:pPr>
        <w:pStyle w:val="BodyText"/>
        <w:spacing w:line="278" w:lineRule="auto" w:before="71"/>
        <w:ind w:left="1841" w:hanging="709"/>
      </w:pPr>
      <w:r>
        <w:rPr/>
        <w:t>Hilbe,</w:t>
      </w:r>
      <w:r>
        <w:rPr>
          <w:spacing w:val="-5"/>
        </w:rPr>
        <w:t> </w:t>
      </w:r>
      <w:r>
        <w:rPr/>
        <w:t>J.M.</w:t>
      </w:r>
      <w:r>
        <w:rPr>
          <w:spacing w:val="-5"/>
        </w:rPr>
        <w:t> </w:t>
      </w:r>
      <w:r>
        <w:rPr/>
        <w:t>(2011).</w:t>
      </w:r>
      <w:r>
        <w:rPr>
          <w:spacing w:val="-3"/>
        </w:rPr>
        <w:t> </w:t>
      </w:r>
      <w:r>
        <w:rPr>
          <w:i/>
        </w:rPr>
        <w:t>Negative</w:t>
      </w:r>
      <w:r>
        <w:rPr>
          <w:i/>
          <w:spacing w:val="-5"/>
        </w:rPr>
        <w:t> </w:t>
      </w:r>
      <w:r>
        <w:rPr>
          <w:i/>
        </w:rPr>
        <w:t>Binomial</w:t>
      </w:r>
      <w:r>
        <w:rPr>
          <w:i/>
          <w:spacing w:val="-6"/>
        </w:rPr>
        <w:t> </w:t>
      </w:r>
      <w:r>
        <w:rPr>
          <w:i/>
        </w:rPr>
        <w:t>Regression</w:t>
      </w:r>
      <w:r>
        <w:rPr/>
        <w:t>,</w:t>
      </w:r>
      <w:r>
        <w:rPr>
          <w:spacing w:val="-5"/>
        </w:rPr>
        <w:t> </w:t>
      </w:r>
      <w:r>
        <w:rPr/>
        <w:t>2nd</w:t>
      </w:r>
      <w:r>
        <w:rPr>
          <w:spacing w:val="-3"/>
        </w:rPr>
        <w:t> </w:t>
      </w:r>
      <w:r>
        <w:rPr/>
        <w:t>edn.</w:t>
      </w:r>
      <w:r>
        <w:rPr>
          <w:spacing w:val="-3"/>
        </w:rPr>
        <w:t> </w:t>
      </w:r>
      <w:r>
        <w:rPr/>
        <w:t>Cambridge</w:t>
      </w:r>
      <w:r>
        <w:rPr>
          <w:spacing w:val="-6"/>
        </w:rPr>
        <w:t> </w:t>
      </w:r>
      <w:r>
        <w:rPr/>
        <w:t>University</w:t>
      </w:r>
      <w:r>
        <w:rPr>
          <w:spacing w:val="-1"/>
        </w:rPr>
        <w:t> </w:t>
      </w:r>
      <w:r>
        <w:rPr/>
        <w:t>Press. </w:t>
      </w:r>
      <w:r>
        <w:rPr>
          <w:color w:val="0000FF"/>
          <w:u w:val="single" w:color="0000FF"/>
        </w:rPr>
        <w:t>https://doi:10.1017/CBO9780511973420</w:t>
      </w:r>
      <w:r>
        <w:rPr>
          <w:color w:val="0000FF"/>
          <w:u w:val="none"/>
        </w:rPr>
        <w:t> </w:t>
      </w:r>
      <w:r>
        <w:rPr>
          <w:u w:val="none"/>
        </w:rPr>
        <w:t>(accessed June 2024).</w:t>
      </w:r>
    </w:p>
    <w:p>
      <w:pPr>
        <w:pStyle w:val="BodyText"/>
        <w:spacing w:line="276" w:lineRule="auto" w:before="118"/>
        <w:ind w:left="1841" w:right="1215" w:hanging="709"/>
      </w:pPr>
      <w:r>
        <w:rPr/>
        <w:t>Hohnen,</w:t>
      </w:r>
      <w:r>
        <w:rPr>
          <w:spacing w:val="-4"/>
        </w:rPr>
        <w:t> </w:t>
      </w:r>
      <w:r>
        <w:rPr/>
        <w:t>R.,</w:t>
      </w:r>
      <w:r>
        <w:rPr>
          <w:spacing w:val="-4"/>
        </w:rPr>
        <w:t> </w:t>
      </w:r>
      <w:r>
        <w:rPr/>
        <w:t>Tuft,</w:t>
      </w:r>
      <w:r>
        <w:rPr>
          <w:spacing w:val="-4"/>
        </w:rPr>
        <w:t> </w:t>
      </w:r>
      <w:r>
        <w:rPr/>
        <w:t>K.,</w:t>
      </w:r>
      <w:r>
        <w:rPr>
          <w:spacing w:val="-4"/>
        </w:rPr>
        <w:t> </w:t>
      </w:r>
      <w:r>
        <w:rPr/>
        <w:t>McGregor,</w:t>
      </w:r>
      <w:r>
        <w:rPr>
          <w:spacing w:val="-4"/>
        </w:rPr>
        <w:t> </w:t>
      </w:r>
      <w:r>
        <w:rPr/>
        <w:t>H.W.,</w:t>
      </w:r>
      <w:r>
        <w:rPr>
          <w:spacing w:val="-2"/>
        </w:rPr>
        <w:t> </w:t>
      </w:r>
      <w:r>
        <w:rPr/>
        <w:t>Legge,</w:t>
      </w:r>
      <w:r>
        <w:rPr>
          <w:spacing w:val="-2"/>
        </w:rPr>
        <w:t> </w:t>
      </w:r>
      <w:r>
        <w:rPr/>
        <w:t>S.,</w:t>
      </w:r>
      <w:r>
        <w:rPr>
          <w:spacing w:val="-4"/>
        </w:rPr>
        <w:t> </w:t>
      </w:r>
      <w:r>
        <w:rPr/>
        <w:t>Radford,</w:t>
      </w:r>
      <w:r>
        <w:rPr>
          <w:spacing w:val="-4"/>
        </w:rPr>
        <w:t> </w:t>
      </w:r>
      <w:r>
        <w:rPr/>
        <w:t>I.J.</w:t>
      </w:r>
      <w:r>
        <w:rPr>
          <w:spacing w:val="-2"/>
        </w:rPr>
        <w:t> </w:t>
      </w:r>
      <w:r>
        <w:rPr/>
        <w:t>and</w:t>
      </w:r>
      <w:r>
        <w:rPr>
          <w:spacing w:val="-4"/>
        </w:rPr>
        <w:t> </w:t>
      </w:r>
      <w:r>
        <w:rPr/>
        <w:t>Johnson,</w:t>
      </w:r>
      <w:r>
        <w:rPr>
          <w:spacing w:val="-4"/>
        </w:rPr>
        <w:t> </w:t>
      </w:r>
      <w:r>
        <w:rPr/>
        <w:t>C.N.</w:t>
      </w:r>
      <w:r>
        <w:rPr>
          <w:spacing w:val="-2"/>
        </w:rPr>
        <w:t> </w:t>
      </w:r>
      <w:r>
        <w:rPr/>
        <w:t>(2016).</w:t>
      </w:r>
      <w:r>
        <w:rPr>
          <w:spacing w:val="-4"/>
        </w:rPr>
        <w:t> </w:t>
      </w:r>
      <w:r>
        <w:rPr/>
        <w:t>Occupancy</w:t>
      </w:r>
      <w:r>
        <w:rPr>
          <w:spacing w:val="-3"/>
        </w:rPr>
        <w:t> </w:t>
      </w:r>
      <w:r>
        <w:rPr/>
        <w:t>of</w:t>
      </w:r>
      <w:r>
        <w:rPr>
          <w:spacing w:val="-4"/>
        </w:rPr>
        <w:t> </w:t>
      </w:r>
      <w:r>
        <w:rPr/>
        <w:t>the invasive feral cat varies with habitat complexity. </w:t>
      </w:r>
      <w:r>
        <w:rPr>
          <w:i/>
        </w:rPr>
        <w:t>PLoS One </w:t>
      </w:r>
      <w:r>
        <w:rPr>
          <w:b/>
        </w:rPr>
        <w:t>11</w:t>
      </w:r>
      <w:r>
        <w:rPr/>
        <w:t>, e0152520.</w:t>
      </w:r>
    </w:p>
    <w:p>
      <w:pPr>
        <w:pStyle w:val="BodyText"/>
        <w:spacing w:line="276" w:lineRule="auto" w:before="119"/>
        <w:ind w:left="1841" w:right="1215" w:hanging="709"/>
      </w:pPr>
      <w:r>
        <w:rPr/>
        <w:t>Hradsky,</w:t>
      </w:r>
      <w:r>
        <w:rPr>
          <w:spacing w:val="-4"/>
        </w:rPr>
        <w:t> </w:t>
      </w:r>
      <w:r>
        <w:rPr/>
        <w:t>B.A.,</w:t>
      </w:r>
      <w:r>
        <w:rPr>
          <w:spacing w:val="-4"/>
        </w:rPr>
        <w:t> </w:t>
      </w:r>
      <w:r>
        <w:rPr/>
        <w:t>Robley,</w:t>
      </w:r>
      <w:r>
        <w:rPr>
          <w:spacing w:val="-2"/>
        </w:rPr>
        <w:t> </w:t>
      </w:r>
      <w:r>
        <w:rPr/>
        <w:t>A., Alexander,</w:t>
      </w:r>
      <w:r>
        <w:rPr>
          <w:spacing w:val="-4"/>
        </w:rPr>
        <w:t> </w:t>
      </w:r>
      <w:r>
        <w:rPr/>
        <w:t>R.,</w:t>
      </w:r>
      <w:r>
        <w:rPr>
          <w:spacing w:val="-4"/>
        </w:rPr>
        <w:t> </w:t>
      </w:r>
      <w:r>
        <w:rPr/>
        <w:t>Ritchie,</w:t>
      </w:r>
      <w:r>
        <w:rPr>
          <w:spacing w:val="-2"/>
        </w:rPr>
        <w:t> </w:t>
      </w:r>
      <w:r>
        <w:rPr/>
        <w:t>E.G.,</w:t>
      </w:r>
      <w:r>
        <w:rPr>
          <w:spacing w:val="-4"/>
        </w:rPr>
        <w:t> </w:t>
      </w:r>
      <w:r>
        <w:rPr/>
        <w:t>York,</w:t>
      </w:r>
      <w:r>
        <w:rPr>
          <w:spacing w:val="-2"/>
        </w:rPr>
        <w:t> </w:t>
      </w:r>
      <w:r>
        <w:rPr/>
        <w:t>A.</w:t>
      </w:r>
      <w:r>
        <w:rPr>
          <w:spacing w:val="-4"/>
        </w:rPr>
        <w:t> </w:t>
      </w:r>
      <w:r>
        <w:rPr/>
        <w:t>and</w:t>
      </w:r>
      <w:r>
        <w:rPr>
          <w:spacing w:val="-4"/>
        </w:rPr>
        <w:t> </w:t>
      </w:r>
      <w:r>
        <w:rPr/>
        <w:t>Di</w:t>
      </w:r>
      <w:r>
        <w:rPr>
          <w:spacing w:val="-3"/>
        </w:rPr>
        <w:t> </w:t>
      </w:r>
      <w:r>
        <w:rPr/>
        <w:t>Stefano,</w:t>
      </w:r>
      <w:r>
        <w:rPr>
          <w:spacing w:val="-2"/>
        </w:rPr>
        <w:t> </w:t>
      </w:r>
      <w:r>
        <w:rPr/>
        <w:t>J.</w:t>
      </w:r>
      <w:r>
        <w:rPr>
          <w:spacing w:val="-4"/>
        </w:rPr>
        <w:t> </w:t>
      </w:r>
      <w:r>
        <w:rPr/>
        <w:t>(2017).</w:t>
      </w:r>
      <w:r>
        <w:rPr>
          <w:spacing w:val="-2"/>
        </w:rPr>
        <w:t> </w:t>
      </w:r>
      <w:r>
        <w:rPr/>
        <w:t>Human-modified habitats facilitate forest-dwelling populations of an invasive predator (</w:t>
      </w:r>
      <w:r>
        <w:rPr>
          <w:i/>
        </w:rPr>
        <w:t>Vulpes vulpes</w:t>
      </w:r>
      <w:r>
        <w:rPr/>
        <w:t>). </w:t>
      </w:r>
      <w:r>
        <w:rPr>
          <w:i/>
        </w:rPr>
        <w:t>Scientific</w:t>
      </w:r>
      <w:r>
        <w:rPr>
          <w:i/>
        </w:rPr>
        <w:t> Reports </w:t>
      </w:r>
      <w:r>
        <w:rPr>
          <w:b/>
        </w:rPr>
        <w:t>7</w:t>
      </w:r>
      <w:r>
        <w:rPr/>
        <w:t>, 1–12.</w:t>
      </w:r>
    </w:p>
    <w:p>
      <w:pPr>
        <w:pStyle w:val="BodyText"/>
        <w:spacing w:line="276" w:lineRule="auto" w:before="121"/>
        <w:ind w:left="1841" w:right="1167" w:hanging="709"/>
      </w:pPr>
      <w:r>
        <w:rPr/>
        <w:t>Hradsky,</w:t>
      </w:r>
      <w:r>
        <w:rPr>
          <w:spacing w:val="-4"/>
        </w:rPr>
        <w:t> </w:t>
      </w:r>
      <w:r>
        <w:rPr/>
        <w:t>B.A.,</w:t>
      </w:r>
      <w:r>
        <w:rPr>
          <w:spacing w:val="-4"/>
        </w:rPr>
        <w:t> </w:t>
      </w:r>
      <w:r>
        <w:rPr/>
        <w:t>Kelly,</w:t>
      </w:r>
      <w:r>
        <w:rPr>
          <w:spacing w:val="-4"/>
        </w:rPr>
        <w:t> </w:t>
      </w:r>
      <w:r>
        <w:rPr/>
        <w:t>L.T., Robley,</w:t>
      </w:r>
      <w:r>
        <w:rPr>
          <w:spacing w:val="-4"/>
        </w:rPr>
        <w:t> </w:t>
      </w:r>
      <w:r>
        <w:rPr/>
        <w:t>A.</w:t>
      </w:r>
      <w:r>
        <w:rPr>
          <w:spacing w:val="-2"/>
        </w:rPr>
        <w:t> </w:t>
      </w:r>
      <w:r>
        <w:rPr/>
        <w:t>and</w:t>
      </w:r>
      <w:r>
        <w:rPr>
          <w:spacing w:val="-4"/>
        </w:rPr>
        <w:t> </w:t>
      </w:r>
      <w:r>
        <w:rPr/>
        <w:t>Wintle,</w:t>
      </w:r>
      <w:r>
        <w:rPr>
          <w:spacing w:val="-4"/>
        </w:rPr>
        <w:t> </w:t>
      </w:r>
      <w:r>
        <w:rPr/>
        <w:t>B.A.</w:t>
      </w:r>
      <w:r>
        <w:rPr>
          <w:spacing w:val="-2"/>
        </w:rPr>
        <w:t> </w:t>
      </w:r>
      <w:r>
        <w:rPr/>
        <w:t>(2019).</w:t>
      </w:r>
      <w:r>
        <w:rPr>
          <w:spacing w:val="-4"/>
        </w:rPr>
        <w:t> </w:t>
      </w:r>
      <w:r>
        <w:rPr/>
        <w:t>FoxNet: An</w:t>
      </w:r>
      <w:r>
        <w:rPr>
          <w:spacing w:val="-2"/>
        </w:rPr>
        <w:t> </w:t>
      </w:r>
      <w:r>
        <w:rPr/>
        <w:t>individual-based</w:t>
      </w:r>
      <w:r>
        <w:rPr>
          <w:spacing w:val="-3"/>
        </w:rPr>
        <w:t> </w:t>
      </w:r>
      <w:r>
        <w:rPr/>
        <w:t>model</w:t>
      </w:r>
      <w:r>
        <w:rPr>
          <w:spacing w:val="-5"/>
        </w:rPr>
        <w:t> </w:t>
      </w:r>
      <w:r>
        <w:rPr/>
        <w:t>framework to support the management of an invasive predator, the red fox. </w:t>
      </w:r>
      <w:r>
        <w:rPr>
          <w:i/>
        </w:rPr>
        <w:t>Journal of Applied Ecology </w:t>
      </w:r>
      <w:r>
        <w:rPr>
          <w:b/>
        </w:rPr>
        <w:t>56</w:t>
      </w:r>
      <w:r>
        <w:rPr/>
        <w:t>, 1460–1470 </w:t>
      </w:r>
      <w:hyperlink r:id="rId73">
        <w:r>
          <w:rPr>
            <w:color w:val="0000FF"/>
            <w:u w:val="single" w:color="0000FF"/>
          </w:rPr>
          <w:t>https://doi.org/10.1111/1365-2664.13374</w:t>
        </w:r>
      </w:hyperlink>
    </w:p>
    <w:p>
      <w:pPr>
        <w:spacing w:before="118"/>
        <w:ind w:left="1132" w:right="0" w:firstLine="0"/>
        <w:jc w:val="left"/>
        <w:rPr>
          <w:sz w:val="20"/>
        </w:rPr>
      </w:pPr>
      <w:r>
        <w:rPr>
          <w:sz w:val="20"/>
        </w:rPr>
        <w:t>Hutchinson,</w:t>
      </w:r>
      <w:r>
        <w:rPr>
          <w:spacing w:val="-8"/>
          <w:sz w:val="20"/>
        </w:rPr>
        <w:t> </w:t>
      </w:r>
      <w:r>
        <w:rPr>
          <w:sz w:val="20"/>
        </w:rPr>
        <w:t>G.E.</w:t>
      </w:r>
      <w:r>
        <w:rPr>
          <w:spacing w:val="-8"/>
          <w:sz w:val="20"/>
        </w:rPr>
        <w:t> </w:t>
      </w:r>
      <w:r>
        <w:rPr>
          <w:sz w:val="20"/>
        </w:rPr>
        <w:t>(1978).</w:t>
      </w:r>
      <w:r>
        <w:rPr>
          <w:spacing w:val="-4"/>
          <w:sz w:val="20"/>
        </w:rPr>
        <w:t> </w:t>
      </w:r>
      <w:r>
        <w:rPr>
          <w:i/>
          <w:sz w:val="20"/>
        </w:rPr>
        <w:t>An</w:t>
      </w:r>
      <w:r>
        <w:rPr>
          <w:i/>
          <w:spacing w:val="-8"/>
          <w:sz w:val="20"/>
        </w:rPr>
        <w:t> </w:t>
      </w:r>
      <w:r>
        <w:rPr>
          <w:i/>
          <w:sz w:val="20"/>
        </w:rPr>
        <w:t>Introduction</w:t>
      </w:r>
      <w:r>
        <w:rPr>
          <w:i/>
          <w:spacing w:val="-8"/>
          <w:sz w:val="20"/>
        </w:rPr>
        <w:t> </w:t>
      </w:r>
      <w:r>
        <w:rPr>
          <w:i/>
          <w:sz w:val="20"/>
        </w:rPr>
        <w:t>to</w:t>
      </w:r>
      <w:r>
        <w:rPr>
          <w:i/>
          <w:spacing w:val="-8"/>
          <w:sz w:val="20"/>
        </w:rPr>
        <w:t> </w:t>
      </w:r>
      <w:r>
        <w:rPr>
          <w:i/>
          <w:sz w:val="20"/>
        </w:rPr>
        <w:t>Population</w:t>
      </w:r>
      <w:r>
        <w:rPr>
          <w:i/>
          <w:spacing w:val="-6"/>
          <w:sz w:val="20"/>
        </w:rPr>
        <w:t> </w:t>
      </w:r>
      <w:r>
        <w:rPr>
          <w:i/>
          <w:sz w:val="20"/>
        </w:rPr>
        <w:t>Ecology</w:t>
      </w:r>
      <w:r>
        <w:rPr>
          <w:sz w:val="20"/>
        </w:rPr>
        <w:t>.</w:t>
      </w:r>
      <w:r>
        <w:rPr>
          <w:spacing w:val="-6"/>
          <w:sz w:val="20"/>
        </w:rPr>
        <w:t> </w:t>
      </w:r>
      <w:r>
        <w:rPr>
          <w:sz w:val="20"/>
        </w:rPr>
        <w:t>Yale</w:t>
      </w:r>
      <w:r>
        <w:rPr>
          <w:spacing w:val="-8"/>
          <w:sz w:val="20"/>
        </w:rPr>
        <w:t> </w:t>
      </w:r>
      <w:r>
        <w:rPr>
          <w:sz w:val="20"/>
        </w:rPr>
        <w:t>University</w:t>
      </w:r>
      <w:r>
        <w:rPr>
          <w:spacing w:val="-7"/>
          <w:sz w:val="20"/>
        </w:rPr>
        <w:t> </w:t>
      </w:r>
      <w:r>
        <w:rPr>
          <w:sz w:val="20"/>
        </w:rPr>
        <w:t>Press,</w:t>
      </w:r>
      <w:r>
        <w:rPr>
          <w:spacing w:val="-8"/>
          <w:sz w:val="20"/>
        </w:rPr>
        <w:t> </w:t>
      </w:r>
      <w:r>
        <w:rPr>
          <w:sz w:val="20"/>
        </w:rPr>
        <w:t>New</w:t>
      </w:r>
      <w:r>
        <w:rPr>
          <w:spacing w:val="-8"/>
          <w:sz w:val="20"/>
        </w:rPr>
        <w:t> </w:t>
      </w:r>
      <w:r>
        <w:rPr>
          <w:sz w:val="20"/>
        </w:rPr>
        <w:t>Haven,</w:t>
      </w:r>
      <w:r>
        <w:rPr>
          <w:spacing w:val="-8"/>
          <w:sz w:val="20"/>
        </w:rPr>
        <w:t> </w:t>
      </w:r>
      <w:r>
        <w:rPr>
          <w:spacing w:val="-4"/>
          <w:sz w:val="20"/>
        </w:rPr>
        <w:t>USA.</w:t>
      </w:r>
    </w:p>
    <w:p>
      <w:pPr>
        <w:pStyle w:val="BodyText"/>
        <w:spacing w:line="276" w:lineRule="auto" w:before="157"/>
        <w:ind w:left="1841" w:right="1334" w:hanging="709"/>
      </w:pPr>
      <w:r>
        <w:rPr/>
        <w:t>Jones, H.P., Holmes, N.D., Butchart, S.H.M., Tershy, B.R., Kappes, P.J., Corkery, I., Aguirre-Munoz. A., Armstrong, D.P., Bonnaud, E., Burbridge, A.A., Campbell, K., Courchamp, F., Cowan, P.E., Cuthbert, R.J., Ebbert, S., Genovesi, P., Howald, G.R., Keitt, B.S., Kress, S.W., Miskelly, C.M., Oppel, S., Poncet, S., Rauzon, M.J., Rocamora, G., Russell, J.C., Samaniego-Herrera, A.,</w:t>
      </w:r>
      <w:r>
        <w:rPr>
          <w:spacing w:val="40"/>
        </w:rPr>
        <w:t> </w:t>
      </w:r>
      <w:r>
        <w:rPr/>
        <w:t>Seddon, P.J., Spatz, D.R., Towns, D.R. and Croll, D.A. (2016). Invasive mammal eradication on islands</w:t>
      </w:r>
      <w:r>
        <w:rPr>
          <w:spacing w:val="-4"/>
        </w:rPr>
        <w:t> </w:t>
      </w:r>
      <w:r>
        <w:rPr/>
        <w:t>results</w:t>
      </w:r>
      <w:r>
        <w:rPr>
          <w:spacing w:val="-2"/>
        </w:rPr>
        <w:t> </w:t>
      </w:r>
      <w:r>
        <w:rPr/>
        <w:t>in</w:t>
      </w:r>
      <w:r>
        <w:rPr>
          <w:spacing w:val="-5"/>
        </w:rPr>
        <w:t> </w:t>
      </w:r>
      <w:r>
        <w:rPr/>
        <w:t>substantial</w:t>
      </w:r>
      <w:r>
        <w:rPr>
          <w:spacing w:val="-6"/>
        </w:rPr>
        <w:t> </w:t>
      </w:r>
      <w:r>
        <w:rPr/>
        <w:t>conservation</w:t>
      </w:r>
      <w:r>
        <w:rPr>
          <w:spacing w:val="-4"/>
        </w:rPr>
        <w:t> </w:t>
      </w:r>
      <w:r>
        <w:rPr/>
        <w:t>gains.</w:t>
      </w:r>
      <w:r>
        <w:rPr>
          <w:spacing w:val="-4"/>
        </w:rPr>
        <w:t> </w:t>
      </w:r>
      <w:r>
        <w:rPr>
          <w:i/>
        </w:rPr>
        <w:t>Proceedings</w:t>
      </w:r>
      <w:r>
        <w:rPr>
          <w:i/>
          <w:spacing w:val="-4"/>
        </w:rPr>
        <w:t> </w:t>
      </w:r>
      <w:r>
        <w:rPr>
          <w:i/>
        </w:rPr>
        <w:t>of</w:t>
      </w:r>
      <w:r>
        <w:rPr>
          <w:i/>
          <w:spacing w:val="-3"/>
        </w:rPr>
        <w:t> </w:t>
      </w:r>
      <w:r>
        <w:rPr>
          <w:i/>
        </w:rPr>
        <w:t>the</w:t>
      </w:r>
      <w:r>
        <w:rPr>
          <w:i/>
          <w:spacing w:val="-4"/>
        </w:rPr>
        <w:t> </w:t>
      </w:r>
      <w:r>
        <w:rPr>
          <w:i/>
        </w:rPr>
        <w:t>National</w:t>
      </w:r>
      <w:r>
        <w:rPr>
          <w:i/>
          <w:spacing w:val="-4"/>
        </w:rPr>
        <w:t> </w:t>
      </w:r>
      <w:r>
        <w:rPr>
          <w:i/>
        </w:rPr>
        <w:t>Academy</w:t>
      </w:r>
      <w:r>
        <w:rPr>
          <w:i/>
          <w:spacing w:val="-4"/>
        </w:rPr>
        <w:t> </w:t>
      </w:r>
      <w:r>
        <w:rPr>
          <w:i/>
        </w:rPr>
        <w:t>of</w:t>
      </w:r>
      <w:r>
        <w:rPr>
          <w:i/>
          <w:spacing w:val="-3"/>
        </w:rPr>
        <w:t> </w:t>
      </w:r>
      <w:r>
        <w:rPr>
          <w:i/>
        </w:rPr>
        <w:t>Sciences</w:t>
      </w:r>
      <w:r>
        <w:rPr>
          <w:i/>
        </w:rPr>
        <w:t> of the United States of America </w:t>
      </w:r>
      <w:r>
        <w:rPr>
          <w:b/>
        </w:rPr>
        <w:t>113</w:t>
      </w:r>
      <w:r>
        <w:rPr/>
        <w:t>, 4033–4038.</w:t>
      </w:r>
    </w:p>
    <w:p>
      <w:pPr>
        <w:pStyle w:val="BodyText"/>
        <w:spacing w:before="119"/>
        <w:ind w:left="1132"/>
      </w:pPr>
      <w:r>
        <w:rPr/>
        <w:t>Kinnear,</w:t>
      </w:r>
      <w:r>
        <w:rPr>
          <w:spacing w:val="-8"/>
        </w:rPr>
        <w:t> </w:t>
      </w:r>
      <w:r>
        <w:rPr/>
        <w:t>J.E.,</w:t>
      </w:r>
      <w:r>
        <w:rPr>
          <w:spacing w:val="-7"/>
        </w:rPr>
        <w:t> </w:t>
      </w:r>
      <w:r>
        <w:rPr/>
        <w:t>Onus,</w:t>
      </w:r>
      <w:r>
        <w:rPr>
          <w:spacing w:val="-7"/>
        </w:rPr>
        <w:t> </w:t>
      </w:r>
      <w:r>
        <w:rPr/>
        <w:t>M.L.</w:t>
      </w:r>
      <w:r>
        <w:rPr>
          <w:spacing w:val="-5"/>
        </w:rPr>
        <w:t> </w:t>
      </w:r>
      <w:r>
        <w:rPr/>
        <w:t>and</w:t>
      </w:r>
      <w:r>
        <w:rPr>
          <w:spacing w:val="-8"/>
        </w:rPr>
        <w:t> </w:t>
      </w:r>
      <w:r>
        <w:rPr/>
        <w:t>Bromilow,</w:t>
      </w:r>
      <w:r>
        <w:rPr>
          <w:spacing w:val="-7"/>
        </w:rPr>
        <w:t> </w:t>
      </w:r>
      <w:r>
        <w:rPr/>
        <w:t>R.N.</w:t>
      </w:r>
      <w:r>
        <w:rPr>
          <w:spacing w:val="-7"/>
        </w:rPr>
        <w:t> </w:t>
      </w:r>
      <w:r>
        <w:rPr/>
        <w:t>(1988).</w:t>
      </w:r>
      <w:r>
        <w:rPr>
          <w:spacing w:val="-5"/>
        </w:rPr>
        <w:t> </w:t>
      </w:r>
      <w:r>
        <w:rPr/>
        <w:t>Fox</w:t>
      </w:r>
      <w:r>
        <w:rPr>
          <w:spacing w:val="-6"/>
        </w:rPr>
        <w:t> </w:t>
      </w:r>
      <w:r>
        <w:rPr/>
        <w:t>control</w:t>
      </w:r>
      <w:r>
        <w:rPr>
          <w:spacing w:val="-6"/>
        </w:rPr>
        <w:t> </w:t>
      </w:r>
      <w:r>
        <w:rPr/>
        <w:t>and</w:t>
      </w:r>
      <w:r>
        <w:rPr>
          <w:spacing w:val="-5"/>
        </w:rPr>
        <w:t> </w:t>
      </w:r>
      <w:r>
        <w:rPr/>
        <w:t>rock-wallaby</w:t>
      </w:r>
      <w:r>
        <w:rPr>
          <w:spacing w:val="-6"/>
        </w:rPr>
        <w:t> </w:t>
      </w:r>
      <w:r>
        <w:rPr/>
        <w:t>population</w:t>
      </w:r>
      <w:r>
        <w:rPr>
          <w:spacing w:val="-6"/>
        </w:rPr>
        <w:t> </w:t>
      </w:r>
      <w:r>
        <w:rPr>
          <w:spacing w:val="-2"/>
        </w:rPr>
        <w:t>dynamics.</w:t>
      </w:r>
    </w:p>
    <w:p>
      <w:pPr>
        <w:spacing w:before="34"/>
        <w:ind w:left="1841" w:right="0" w:firstLine="0"/>
        <w:jc w:val="left"/>
        <w:rPr>
          <w:sz w:val="20"/>
        </w:rPr>
      </w:pPr>
      <w:r>
        <w:rPr>
          <w:i/>
          <w:sz w:val="20"/>
        </w:rPr>
        <w:t>Wildlife</w:t>
      </w:r>
      <w:r>
        <w:rPr>
          <w:i/>
          <w:spacing w:val="-9"/>
          <w:sz w:val="20"/>
        </w:rPr>
        <w:t> </w:t>
      </w:r>
      <w:r>
        <w:rPr>
          <w:i/>
          <w:sz w:val="20"/>
        </w:rPr>
        <w:t>Research</w:t>
      </w:r>
      <w:r>
        <w:rPr>
          <w:i/>
          <w:spacing w:val="-8"/>
          <w:sz w:val="20"/>
        </w:rPr>
        <w:t> </w:t>
      </w:r>
      <w:r>
        <w:rPr>
          <w:b/>
          <w:sz w:val="20"/>
        </w:rPr>
        <w:t>15</w:t>
      </w:r>
      <w:r>
        <w:rPr>
          <w:sz w:val="20"/>
        </w:rPr>
        <w:t>,</w:t>
      </w:r>
      <w:r>
        <w:rPr>
          <w:spacing w:val="-7"/>
          <w:sz w:val="20"/>
        </w:rPr>
        <w:t> </w:t>
      </w:r>
      <w:r>
        <w:rPr>
          <w:sz w:val="20"/>
        </w:rPr>
        <w:t>435–</w:t>
      </w:r>
      <w:r>
        <w:rPr>
          <w:spacing w:val="-4"/>
          <w:sz w:val="20"/>
        </w:rPr>
        <w:t>450.</w:t>
      </w:r>
    </w:p>
    <w:p>
      <w:pPr>
        <w:pStyle w:val="BodyText"/>
        <w:spacing w:line="278" w:lineRule="auto" w:before="154"/>
        <w:ind w:left="1841" w:right="1215" w:hanging="709"/>
      </w:pPr>
      <w:r>
        <w:rPr/>
        <w:t>Kinnear,</w:t>
      </w:r>
      <w:r>
        <w:rPr>
          <w:spacing w:val="-4"/>
        </w:rPr>
        <w:t> </w:t>
      </w:r>
      <w:r>
        <w:rPr/>
        <w:t>J.E.,</w:t>
      </w:r>
      <w:r>
        <w:rPr>
          <w:spacing w:val="-2"/>
        </w:rPr>
        <w:t> </w:t>
      </w:r>
      <w:r>
        <w:rPr/>
        <w:t>Sumner,</w:t>
      </w:r>
      <w:r>
        <w:rPr>
          <w:spacing w:val="-1"/>
        </w:rPr>
        <w:t> </w:t>
      </w:r>
      <w:r>
        <w:rPr/>
        <w:t>N.R.</w:t>
      </w:r>
      <w:r>
        <w:rPr>
          <w:spacing w:val="-4"/>
        </w:rPr>
        <w:t> </w:t>
      </w:r>
      <w:r>
        <w:rPr/>
        <w:t>and</w:t>
      </w:r>
      <w:r>
        <w:rPr>
          <w:spacing w:val="-2"/>
        </w:rPr>
        <w:t> </w:t>
      </w:r>
      <w:r>
        <w:rPr/>
        <w:t>Onus,</w:t>
      </w:r>
      <w:r>
        <w:rPr>
          <w:spacing w:val="-4"/>
        </w:rPr>
        <w:t> </w:t>
      </w:r>
      <w:r>
        <w:rPr/>
        <w:t>M.L.</w:t>
      </w:r>
      <w:r>
        <w:rPr>
          <w:spacing w:val="-4"/>
        </w:rPr>
        <w:t> </w:t>
      </w:r>
      <w:r>
        <w:rPr/>
        <w:t>(2002).</w:t>
      </w:r>
      <w:r>
        <w:rPr>
          <w:spacing w:val="-4"/>
        </w:rPr>
        <w:t> </w:t>
      </w:r>
      <w:r>
        <w:rPr/>
        <w:t>The</w:t>
      </w:r>
      <w:r>
        <w:rPr>
          <w:spacing w:val="-5"/>
        </w:rPr>
        <w:t> </w:t>
      </w:r>
      <w:r>
        <w:rPr/>
        <w:t>red</w:t>
      </w:r>
      <w:r>
        <w:rPr>
          <w:spacing w:val="-3"/>
        </w:rPr>
        <w:t> </w:t>
      </w:r>
      <w:r>
        <w:rPr/>
        <w:t>fox</w:t>
      </w:r>
      <w:r>
        <w:rPr>
          <w:spacing w:val="-3"/>
        </w:rPr>
        <w:t> </w:t>
      </w:r>
      <w:r>
        <w:rPr/>
        <w:t>in</w:t>
      </w:r>
      <w:r>
        <w:rPr>
          <w:spacing w:val="-4"/>
        </w:rPr>
        <w:t> </w:t>
      </w:r>
      <w:r>
        <w:rPr/>
        <w:t>Australia –</w:t>
      </w:r>
      <w:r>
        <w:rPr>
          <w:spacing w:val="-4"/>
        </w:rPr>
        <w:t> </w:t>
      </w:r>
      <w:r>
        <w:rPr/>
        <w:t>an exotic</w:t>
      </w:r>
      <w:r>
        <w:rPr>
          <w:spacing w:val="-3"/>
        </w:rPr>
        <w:t> </w:t>
      </w:r>
      <w:r>
        <w:rPr/>
        <w:t>predator</w:t>
      </w:r>
      <w:r>
        <w:rPr>
          <w:spacing w:val="-4"/>
        </w:rPr>
        <w:t> </w:t>
      </w:r>
      <w:r>
        <w:rPr/>
        <w:t>turned biocontrol agent. </w:t>
      </w:r>
      <w:r>
        <w:rPr>
          <w:i/>
        </w:rPr>
        <w:t>Biological Conservation </w:t>
      </w:r>
      <w:r>
        <w:rPr>
          <w:b/>
        </w:rPr>
        <w:t>108</w:t>
      </w:r>
      <w:r>
        <w:rPr/>
        <w:t>, 335–359.</w:t>
      </w:r>
    </w:p>
    <w:p>
      <w:pPr>
        <w:pStyle w:val="BodyText"/>
        <w:spacing w:line="276" w:lineRule="auto" w:before="117"/>
        <w:ind w:left="1841" w:right="1215" w:hanging="709"/>
      </w:pPr>
      <w:r>
        <w:rPr/>
        <w:t>Kopecky,</w:t>
      </w:r>
      <w:r>
        <w:rPr>
          <w:spacing w:val="-4"/>
        </w:rPr>
        <w:t> </w:t>
      </w:r>
      <w:r>
        <w:rPr/>
        <w:t>M.</w:t>
      </w:r>
      <w:r>
        <w:rPr>
          <w:spacing w:val="-4"/>
        </w:rPr>
        <w:t> </w:t>
      </w:r>
      <w:r>
        <w:rPr/>
        <w:t>and</w:t>
      </w:r>
      <w:r>
        <w:rPr>
          <w:spacing w:val="-4"/>
        </w:rPr>
        <w:t> </w:t>
      </w:r>
      <w:r>
        <w:rPr/>
        <w:t>Cizkova,</w:t>
      </w:r>
      <w:r>
        <w:rPr>
          <w:spacing w:val="-2"/>
        </w:rPr>
        <w:t> </w:t>
      </w:r>
      <w:r>
        <w:rPr/>
        <w:t>S.</w:t>
      </w:r>
      <w:r>
        <w:rPr>
          <w:spacing w:val="-4"/>
        </w:rPr>
        <w:t> </w:t>
      </w:r>
      <w:r>
        <w:rPr/>
        <w:t>(2010).</w:t>
      </w:r>
      <w:r>
        <w:rPr>
          <w:spacing w:val="-4"/>
        </w:rPr>
        <w:t> </w:t>
      </w:r>
      <w:r>
        <w:rPr/>
        <w:t>Using</w:t>
      </w:r>
      <w:r>
        <w:rPr>
          <w:spacing w:val="-5"/>
        </w:rPr>
        <w:t> </w:t>
      </w:r>
      <w:r>
        <w:rPr/>
        <w:t>topographic</w:t>
      </w:r>
      <w:r>
        <w:rPr>
          <w:spacing w:val="-3"/>
        </w:rPr>
        <w:t> </w:t>
      </w:r>
      <w:r>
        <w:rPr/>
        <w:t>wetness</w:t>
      </w:r>
      <w:r>
        <w:rPr>
          <w:spacing w:val="-3"/>
        </w:rPr>
        <w:t> </w:t>
      </w:r>
      <w:r>
        <w:rPr/>
        <w:t>index</w:t>
      </w:r>
      <w:r>
        <w:rPr>
          <w:spacing w:val="-1"/>
        </w:rPr>
        <w:t> </w:t>
      </w:r>
      <w:r>
        <w:rPr/>
        <w:t>in</w:t>
      </w:r>
      <w:r>
        <w:rPr>
          <w:spacing w:val="-4"/>
        </w:rPr>
        <w:t> </w:t>
      </w:r>
      <w:r>
        <w:rPr/>
        <w:t>vegetation</w:t>
      </w:r>
      <w:r>
        <w:rPr>
          <w:spacing w:val="-5"/>
        </w:rPr>
        <w:t> </w:t>
      </w:r>
      <w:r>
        <w:rPr/>
        <w:t>ecology: Does</w:t>
      </w:r>
      <w:r>
        <w:rPr>
          <w:spacing w:val="-3"/>
        </w:rPr>
        <w:t> </w:t>
      </w:r>
      <w:r>
        <w:rPr/>
        <w:t>the algorithm matter? </w:t>
      </w:r>
      <w:r>
        <w:rPr>
          <w:i/>
        </w:rPr>
        <w:t>Applied Vegetation Science </w:t>
      </w:r>
      <w:r>
        <w:rPr>
          <w:b/>
        </w:rPr>
        <w:t>13, </w:t>
      </w:r>
      <w:r>
        <w:rPr/>
        <w:t>450-459</w:t>
      </w:r>
    </w:p>
    <w:p>
      <w:pPr>
        <w:pStyle w:val="BodyText"/>
        <w:spacing w:line="229" w:lineRule="exact"/>
        <w:ind w:left="1896"/>
      </w:pPr>
      <w:hyperlink r:id="rId74">
        <w:r>
          <w:rPr>
            <w:color w:val="0000FF"/>
            <w:spacing w:val="-2"/>
            <w:u w:val="single" w:color="0000FF"/>
          </w:rPr>
          <w:t>https://doi.org/10.1111/j.1654-109X.2010.01083.x</w:t>
        </w:r>
      </w:hyperlink>
    </w:p>
    <w:p>
      <w:pPr>
        <w:pStyle w:val="BodyText"/>
        <w:spacing w:line="278" w:lineRule="auto" w:before="155"/>
        <w:ind w:left="1841" w:right="1215" w:hanging="709"/>
      </w:pPr>
      <w:r>
        <w:rPr/>
        <w:t>Kerle, J.A. (1984). Variation in the ecology of </w:t>
      </w:r>
      <w:r>
        <w:rPr>
          <w:i/>
        </w:rPr>
        <w:t>Trichosurus</w:t>
      </w:r>
      <w:r>
        <w:rPr/>
        <w:t>: Its adaptive significance. In: Smith, A.P. and Hume,</w:t>
      </w:r>
      <w:r>
        <w:rPr>
          <w:spacing w:val="-2"/>
        </w:rPr>
        <w:t> </w:t>
      </w:r>
      <w:r>
        <w:rPr/>
        <w:t>I.D.</w:t>
      </w:r>
      <w:r>
        <w:rPr>
          <w:spacing w:val="-4"/>
        </w:rPr>
        <w:t> </w:t>
      </w:r>
      <w:r>
        <w:rPr/>
        <w:t>(eds)</w:t>
      </w:r>
      <w:r>
        <w:rPr>
          <w:spacing w:val="-2"/>
        </w:rPr>
        <w:t> </w:t>
      </w:r>
      <w:r>
        <w:rPr>
          <w:i/>
        </w:rPr>
        <w:t>Possums</w:t>
      </w:r>
      <w:r>
        <w:rPr>
          <w:i/>
          <w:spacing w:val="-1"/>
        </w:rPr>
        <w:t> </w:t>
      </w:r>
      <w:r>
        <w:rPr>
          <w:i/>
        </w:rPr>
        <w:t>and</w:t>
      </w:r>
      <w:r>
        <w:rPr>
          <w:i/>
          <w:spacing w:val="-4"/>
        </w:rPr>
        <w:t> </w:t>
      </w:r>
      <w:r>
        <w:rPr>
          <w:i/>
        </w:rPr>
        <w:t>Gliders</w:t>
      </w:r>
      <w:r>
        <w:rPr/>
        <w:t>,</w:t>
      </w:r>
      <w:r>
        <w:rPr>
          <w:spacing w:val="-4"/>
        </w:rPr>
        <w:t> </w:t>
      </w:r>
      <w:r>
        <w:rPr/>
        <w:t>pp.</w:t>
      </w:r>
      <w:r>
        <w:rPr>
          <w:spacing w:val="-2"/>
        </w:rPr>
        <w:t> </w:t>
      </w:r>
      <w:r>
        <w:rPr/>
        <w:t>115–128.</w:t>
      </w:r>
      <w:r>
        <w:rPr>
          <w:spacing w:val="-2"/>
        </w:rPr>
        <w:t> </w:t>
      </w:r>
      <w:r>
        <w:rPr/>
        <w:t>Australian</w:t>
      </w:r>
      <w:r>
        <w:rPr>
          <w:spacing w:val="-4"/>
        </w:rPr>
        <w:t> </w:t>
      </w:r>
      <w:r>
        <w:rPr/>
        <w:t>Mammal</w:t>
      </w:r>
      <w:r>
        <w:rPr>
          <w:spacing w:val="-3"/>
        </w:rPr>
        <w:t> </w:t>
      </w:r>
      <w:r>
        <w:rPr/>
        <w:t>Society,</w:t>
      </w:r>
      <w:r>
        <w:rPr>
          <w:spacing w:val="-4"/>
        </w:rPr>
        <w:t> </w:t>
      </w:r>
      <w:r>
        <w:rPr/>
        <w:t>Sydney,</w:t>
      </w:r>
      <w:r>
        <w:rPr>
          <w:spacing w:val="-4"/>
        </w:rPr>
        <w:t> </w:t>
      </w:r>
      <w:r>
        <w:rPr/>
        <w:t>NSW.</w:t>
      </w:r>
    </w:p>
    <w:p>
      <w:pPr>
        <w:pStyle w:val="BodyText"/>
        <w:spacing w:line="276" w:lineRule="auto" w:before="116"/>
        <w:ind w:left="1841" w:right="1167" w:hanging="709"/>
      </w:pPr>
      <w:r>
        <w:rPr/>
        <w:t>Lobert, B. (1990). Home range and activity period of the Southern Brown Bandicoot (</w:t>
      </w:r>
      <w:r>
        <w:rPr>
          <w:i/>
        </w:rPr>
        <w:t>Isoodon obesulus</w:t>
      </w:r>
      <w:r>
        <w:rPr/>
        <w:t>) in a Victorian</w:t>
      </w:r>
      <w:r>
        <w:rPr>
          <w:spacing w:val="-3"/>
        </w:rPr>
        <w:t> </w:t>
      </w:r>
      <w:r>
        <w:rPr/>
        <w:t>heathland.</w:t>
      </w:r>
      <w:r>
        <w:rPr>
          <w:spacing w:val="-4"/>
        </w:rPr>
        <w:t> </w:t>
      </w:r>
      <w:r>
        <w:rPr/>
        <w:t>In:</w:t>
      </w:r>
      <w:r>
        <w:rPr>
          <w:spacing w:val="-2"/>
        </w:rPr>
        <w:t> </w:t>
      </w:r>
      <w:r>
        <w:rPr/>
        <w:t>Seebeck,</w:t>
      </w:r>
      <w:r>
        <w:rPr>
          <w:spacing w:val="-4"/>
        </w:rPr>
        <w:t> </w:t>
      </w:r>
      <w:r>
        <w:rPr/>
        <w:t>J.H.,</w:t>
      </w:r>
      <w:r>
        <w:rPr>
          <w:spacing w:val="-2"/>
        </w:rPr>
        <w:t> </w:t>
      </w:r>
      <w:r>
        <w:rPr/>
        <w:t>Brown,</w:t>
      </w:r>
      <w:r>
        <w:rPr>
          <w:spacing w:val="-4"/>
        </w:rPr>
        <w:t> </w:t>
      </w:r>
      <w:r>
        <w:rPr/>
        <w:t>P.R.,</w:t>
      </w:r>
      <w:r>
        <w:rPr>
          <w:spacing w:val="-2"/>
        </w:rPr>
        <w:t> </w:t>
      </w:r>
      <w:r>
        <w:rPr/>
        <w:t>Wallis,</w:t>
      </w:r>
      <w:r>
        <w:rPr>
          <w:spacing w:val="-4"/>
        </w:rPr>
        <w:t> </w:t>
      </w:r>
      <w:r>
        <w:rPr/>
        <w:t>R.L.</w:t>
      </w:r>
      <w:r>
        <w:rPr>
          <w:spacing w:val="-2"/>
        </w:rPr>
        <w:t> </w:t>
      </w:r>
      <w:r>
        <w:rPr/>
        <w:t>and</w:t>
      </w:r>
      <w:r>
        <w:rPr>
          <w:spacing w:val="-4"/>
        </w:rPr>
        <w:t> </w:t>
      </w:r>
      <w:r>
        <w:rPr/>
        <w:t>Kemper,</w:t>
      </w:r>
      <w:r>
        <w:rPr>
          <w:spacing w:val="-4"/>
        </w:rPr>
        <w:t> </w:t>
      </w:r>
      <w:r>
        <w:rPr/>
        <w:t>C.M.</w:t>
      </w:r>
      <w:r>
        <w:rPr>
          <w:spacing w:val="-4"/>
        </w:rPr>
        <w:t> </w:t>
      </w:r>
      <w:r>
        <w:rPr/>
        <w:t>(eds) </w:t>
      </w:r>
      <w:r>
        <w:rPr>
          <w:i/>
        </w:rPr>
        <w:t>Bandicoots</w:t>
      </w:r>
      <w:r>
        <w:rPr>
          <w:i/>
        </w:rPr>
        <w:t> and Bilbies</w:t>
      </w:r>
      <w:r>
        <w:rPr/>
        <w:t>, pp. 319–325. Surrey Beatty &amp; Sons/The Australian Mammal Society, Chipping Norton, </w:t>
      </w:r>
      <w:r>
        <w:rPr>
          <w:spacing w:val="-4"/>
        </w:rPr>
        <w:t>NSW.</w:t>
      </w:r>
    </w:p>
    <w:p>
      <w:pPr>
        <w:spacing w:line="276" w:lineRule="auto" w:before="121"/>
        <w:ind w:left="1841" w:right="1215" w:hanging="709"/>
        <w:jc w:val="left"/>
        <w:rPr>
          <w:sz w:val="20"/>
        </w:rPr>
      </w:pPr>
      <w:r>
        <w:rPr>
          <w:sz w:val="20"/>
        </w:rPr>
        <w:t>MacKenzie, D.I., Nicols, J.D., Royle, J.A., Pollock, K.H., Bailey, L.L. and Hines, J.E. (2017). </w:t>
      </w:r>
      <w:r>
        <w:rPr>
          <w:i/>
          <w:sz w:val="20"/>
        </w:rPr>
        <w:t>Occupancy</w:t>
      </w:r>
      <w:r>
        <w:rPr>
          <w:i/>
          <w:sz w:val="20"/>
        </w:rPr>
        <w:t> Estimation</w:t>
      </w:r>
      <w:r>
        <w:rPr>
          <w:i/>
          <w:spacing w:val="-4"/>
          <w:sz w:val="20"/>
        </w:rPr>
        <w:t> </w:t>
      </w:r>
      <w:r>
        <w:rPr>
          <w:i/>
          <w:sz w:val="20"/>
        </w:rPr>
        <w:t>and</w:t>
      </w:r>
      <w:r>
        <w:rPr>
          <w:i/>
          <w:spacing w:val="-4"/>
          <w:sz w:val="20"/>
        </w:rPr>
        <w:t> </w:t>
      </w:r>
      <w:r>
        <w:rPr>
          <w:i/>
          <w:sz w:val="20"/>
        </w:rPr>
        <w:t>Modeling.</w:t>
      </w:r>
      <w:r>
        <w:rPr>
          <w:i/>
          <w:spacing w:val="-5"/>
          <w:sz w:val="20"/>
        </w:rPr>
        <w:t> </w:t>
      </w:r>
      <w:r>
        <w:rPr>
          <w:i/>
          <w:sz w:val="20"/>
        </w:rPr>
        <w:t>Inferring</w:t>
      </w:r>
      <w:r>
        <w:rPr>
          <w:i/>
          <w:spacing w:val="-3"/>
          <w:sz w:val="20"/>
        </w:rPr>
        <w:t> </w:t>
      </w:r>
      <w:r>
        <w:rPr>
          <w:i/>
          <w:sz w:val="20"/>
        </w:rPr>
        <w:t>Patterns</w:t>
      </w:r>
      <w:r>
        <w:rPr>
          <w:i/>
          <w:spacing w:val="-2"/>
          <w:sz w:val="20"/>
        </w:rPr>
        <w:t> </w:t>
      </w:r>
      <w:r>
        <w:rPr>
          <w:i/>
          <w:sz w:val="20"/>
        </w:rPr>
        <w:t>and</w:t>
      </w:r>
      <w:r>
        <w:rPr>
          <w:i/>
          <w:spacing w:val="-3"/>
          <w:sz w:val="20"/>
        </w:rPr>
        <w:t> </w:t>
      </w:r>
      <w:r>
        <w:rPr>
          <w:i/>
          <w:sz w:val="20"/>
        </w:rPr>
        <w:t>Dynamics</w:t>
      </w:r>
      <w:r>
        <w:rPr>
          <w:i/>
          <w:spacing w:val="-4"/>
          <w:sz w:val="20"/>
        </w:rPr>
        <w:t> </w:t>
      </w:r>
      <w:r>
        <w:rPr>
          <w:i/>
          <w:sz w:val="20"/>
        </w:rPr>
        <w:t>of</w:t>
      </w:r>
      <w:r>
        <w:rPr>
          <w:i/>
          <w:spacing w:val="-3"/>
          <w:sz w:val="20"/>
        </w:rPr>
        <w:t> </w:t>
      </w:r>
      <w:r>
        <w:rPr>
          <w:i/>
          <w:sz w:val="20"/>
        </w:rPr>
        <w:t>Species</w:t>
      </w:r>
      <w:r>
        <w:rPr>
          <w:i/>
          <w:spacing w:val="-4"/>
          <w:sz w:val="20"/>
        </w:rPr>
        <w:t> </w:t>
      </w:r>
      <w:r>
        <w:rPr>
          <w:i/>
          <w:sz w:val="20"/>
        </w:rPr>
        <w:t>Occurrence</w:t>
      </w:r>
      <w:r>
        <w:rPr>
          <w:sz w:val="20"/>
        </w:rPr>
        <w:t>.</w:t>
      </w:r>
      <w:r>
        <w:rPr>
          <w:spacing w:val="-5"/>
          <w:sz w:val="20"/>
        </w:rPr>
        <w:t> </w:t>
      </w:r>
      <w:r>
        <w:rPr>
          <w:sz w:val="20"/>
        </w:rPr>
        <w:t>Elsevier,</w:t>
      </w:r>
      <w:r>
        <w:rPr>
          <w:spacing w:val="-3"/>
          <w:sz w:val="20"/>
        </w:rPr>
        <w:t> </w:t>
      </w:r>
      <w:r>
        <w:rPr>
          <w:sz w:val="20"/>
        </w:rPr>
        <w:t>San Diego, California, USA.</w:t>
      </w:r>
    </w:p>
    <w:p>
      <w:pPr>
        <w:spacing w:before="118"/>
        <w:ind w:left="1132" w:right="0" w:firstLine="0"/>
        <w:jc w:val="left"/>
        <w:rPr>
          <w:sz w:val="20"/>
        </w:rPr>
      </w:pPr>
      <w:r>
        <w:rPr>
          <w:sz w:val="20"/>
        </w:rPr>
        <w:t>McCarthy,</w:t>
      </w:r>
      <w:r>
        <w:rPr>
          <w:spacing w:val="-9"/>
          <w:sz w:val="20"/>
        </w:rPr>
        <w:t> </w:t>
      </w:r>
      <w:r>
        <w:rPr>
          <w:sz w:val="20"/>
        </w:rPr>
        <w:t>M.A.</w:t>
      </w:r>
      <w:r>
        <w:rPr>
          <w:spacing w:val="-9"/>
          <w:sz w:val="20"/>
        </w:rPr>
        <w:t> </w:t>
      </w:r>
      <w:r>
        <w:rPr>
          <w:sz w:val="20"/>
        </w:rPr>
        <w:t>(2007).</w:t>
      </w:r>
      <w:r>
        <w:rPr>
          <w:spacing w:val="-5"/>
          <w:sz w:val="20"/>
        </w:rPr>
        <w:t> </w:t>
      </w:r>
      <w:r>
        <w:rPr>
          <w:i/>
          <w:sz w:val="20"/>
        </w:rPr>
        <w:t>Bayesian</w:t>
      </w:r>
      <w:r>
        <w:rPr>
          <w:i/>
          <w:spacing w:val="-9"/>
          <w:sz w:val="20"/>
        </w:rPr>
        <w:t> </w:t>
      </w:r>
      <w:r>
        <w:rPr>
          <w:i/>
          <w:sz w:val="20"/>
        </w:rPr>
        <w:t>Methods</w:t>
      </w:r>
      <w:r>
        <w:rPr>
          <w:i/>
          <w:spacing w:val="-8"/>
          <w:sz w:val="20"/>
        </w:rPr>
        <w:t> </w:t>
      </w:r>
      <w:r>
        <w:rPr>
          <w:i/>
          <w:sz w:val="20"/>
        </w:rPr>
        <w:t>for</w:t>
      </w:r>
      <w:r>
        <w:rPr>
          <w:i/>
          <w:spacing w:val="-6"/>
          <w:sz w:val="20"/>
        </w:rPr>
        <w:t> </w:t>
      </w:r>
      <w:r>
        <w:rPr>
          <w:i/>
          <w:sz w:val="20"/>
        </w:rPr>
        <w:t>Ecology</w:t>
      </w:r>
      <w:r>
        <w:rPr>
          <w:sz w:val="20"/>
        </w:rPr>
        <w:t>.</w:t>
      </w:r>
      <w:r>
        <w:rPr>
          <w:spacing w:val="-8"/>
          <w:sz w:val="20"/>
        </w:rPr>
        <w:t> </w:t>
      </w:r>
      <w:r>
        <w:rPr>
          <w:sz w:val="20"/>
        </w:rPr>
        <w:t>Cambridge</w:t>
      </w:r>
      <w:r>
        <w:rPr>
          <w:spacing w:val="-9"/>
          <w:sz w:val="20"/>
        </w:rPr>
        <w:t> </w:t>
      </w:r>
      <w:r>
        <w:rPr>
          <w:sz w:val="20"/>
        </w:rPr>
        <w:t>University</w:t>
      </w:r>
      <w:r>
        <w:rPr>
          <w:spacing w:val="-7"/>
          <w:sz w:val="20"/>
        </w:rPr>
        <w:t> </w:t>
      </w:r>
      <w:r>
        <w:rPr>
          <w:sz w:val="20"/>
        </w:rPr>
        <w:t>Press,</w:t>
      </w:r>
      <w:r>
        <w:rPr>
          <w:spacing w:val="-9"/>
          <w:sz w:val="20"/>
        </w:rPr>
        <w:t> </w:t>
      </w:r>
      <w:r>
        <w:rPr>
          <w:sz w:val="20"/>
        </w:rPr>
        <w:t>Cambridge,</w:t>
      </w:r>
      <w:r>
        <w:rPr>
          <w:spacing w:val="-9"/>
          <w:sz w:val="20"/>
        </w:rPr>
        <w:t> </w:t>
      </w:r>
      <w:r>
        <w:rPr>
          <w:spacing w:val="-5"/>
          <w:sz w:val="20"/>
        </w:rPr>
        <w:t>UK.</w:t>
      </w:r>
    </w:p>
    <w:p>
      <w:pPr>
        <w:pStyle w:val="BodyText"/>
        <w:spacing w:line="276" w:lineRule="auto" w:before="154"/>
        <w:ind w:left="1841" w:right="1215" w:hanging="709"/>
      </w:pPr>
      <w:r>
        <w:rPr/>
        <w:t>McDonald,</w:t>
      </w:r>
      <w:r>
        <w:rPr>
          <w:spacing w:val="-3"/>
        </w:rPr>
        <w:t> </w:t>
      </w:r>
      <w:r>
        <w:rPr/>
        <w:t>P.J.,</w:t>
      </w:r>
      <w:r>
        <w:rPr>
          <w:spacing w:val="-3"/>
        </w:rPr>
        <w:t> </w:t>
      </w:r>
      <w:r>
        <w:rPr/>
        <w:t>Nano,</w:t>
      </w:r>
      <w:r>
        <w:rPr>
          <w:spacing w:val="-4"/>
        </w:rPr>
        <w:t> </w:t>
      </w:r>
      <w:r>
        <w:rPr/>
        <w:t>C.E.M.,</w:t>
      </w:r>
      <w:r>
        <w:rPr>
          <w:spacing w:val="-3"/>
        </w:rPr>
        <w:t> </w:t>
      </w:r>
      <w:r>
        <w:rPr/>
        <w:t>Ward,</w:t>
      </w:r>
      <w:r>
        <w:rPr>
          <w:spacing w:val="-3"/>
        </w:rPr>
        <w:t> </w:t>
      </w:r>
      <w:r>
        <w:rPr/>
        <w:t>S.J.,</w:t>
      </w:r>
      <w:r>
        <w:rPr>
          <w:spacing w:val="-3"/>
        </w:rPr>
        <w:t> </w:t>
      </w:r>
      <w:r>
        <w:rPr/>
        <w:t>Stewart,</w:t>
      </w:r>
      <w:r>
        <w:rPr>
          <w:spacing w:val="-2"/>
        </w:rPr>
        <w:t> </w:t>
      </w:r>
      <w:r>
        <w:rPr/>
        <w:t>A.,</w:t>
      </w:r>
      <w:r>
        <w:rPr>
          <w:spacing w:val="-3"/>
        </w:rPr>
        <w:t> </w:t>
      </w:r>
      <w:r>
        <w:rPr/>
        <w:t>Pavey,</w:t>
      </w:r>
      <w:r>
        <w:rPr>
          <w:spacing w:val="-4"/>
        </w:rPr>
        <w:t> </w:t>
      </w:r>
      <w:r>
        <w:rPr/>
        <w:t>C.R.,</w:t>
      </w:r>
      <w:r>
        <w:rPr>
          <w:spacing w:val="-4"/>
        </w:rPr>
        <w:t> </w:t>
      </w:r>
      <w:r>
        <w:rPr/>
        <w:t>Luck,</w:t>
      </w:r>
      <w:r>
        <w:rPr>
          <w:spacing w:val="-4"/>
        </w:rPr>
        <w:t> </w:t>
      </w:r>
      <w:r>
        <w:rPr/>
        <w:t>G.W.</w:t>
      </w:r>
      <w:r>
        <w:rPr>
          <w:spacing w:val="-3"/>
        </w:rPr>
        <w:t> </w:t>
      </w:r>
      <w:r>
        <w:rPr/>
        <w:t>and</w:t>
      </w:r>
      <w:r>
        <w:rPr>
          <w:spacing w:val="-5"/>
        </w:rPr>
        <w:t> </w:t>
      </w:r>
      <w:r>
        <w:rPr/>
        <w:t>Dickman,</w:t>
      </w:r>
      <w:r>
        <w:rPr>
          <w:spacing w:val="-3"/>
        </w:rPr>
        <w:t> </w:t>
      </w:r>
      <w:r>
        <w:rPr/>
        <w:t>C.R.</w:t>
      </w:r>
      <w:r>
        <w:rPr>
          <w:spacing w:val="-4"/>
        </w:rPr>
        <w:t> </w:t>
      </w:r>
      <w:r>
        <w:rPr/>
        <w:t>(2017). Habitat as a mediator of mesopredator-driven mammal extinction. </w:t>
      </w:r>
      <w:r>
        <w:rPr>
          <w:i/>
        </w:rPr>
        <w:t>Conservation Biology </w:t>
      </w:r>
      <w:r>
        <w:rPr>
          <w:b/>
        </w:rPr>
        <w:t>31</w:t>
      </w:r>
      <w:r>
        <w:rPr/>
        <w:t>, 1183–</w:t>
      </w:r>
      <w:r>
        <w:rPr>
          <w:spacing w:val="-2"/>
        </w:rPr>
        <w:t>1191.</w:t>
      </w:r>
    </w:p>
    <w:p>
      <w:pPr>
        <w:pStyle w:val="BodyText"/>
        <w:spacing w:line="276" w:lineRule="auto" w:before="122"/>
        <w:ind w:left="1841" w:right="1215" w:hanging="709"/>
      </w:pPr>
      <w:r>
        <w:rPr/>
        <w:t>McGregor,</w:t>
      </w:r>
      <w:r>
        <w:rPr>
          <w:spacing w:val="-4"/>
        </w:rPr>
        <w:t> </w:t>
      </w:r>
      <w:r>
        <w:rPr/>
        <w:t>H.W.,</w:t>
      </w:r>
      <w:r>
        <w:rPr>
          <w:spacing w:val="-4"/>
        </w:rPr>
        <w:t> </w:t>
      </w:r>
      <w:r>
        <w:rPr/>
        <w:t>Hannah,</w:t>
      </w:r>
      <w:r>
        <w:rPr>
          <w:spacing w:val="-2"/>
        </w:rPr>
        <w:t> </w:t>
      </w:r>
      <w:r>
        <w:rPr/>
        <w:t>B.C.</w:t>
      </w:r>
      <w:r>
        <w:rPr>
          <w:spacing w:val="-2"/>
        </w:rPr>
        <w:t> </w:t>
      </w:r>
      <w:r>
        <w:rPr/>
        <w:t>and</w:t>
      </w:r>
      <w:r>
        <w:rPr>
          <w:spacing w:val="-2"/>
        </w:rPr>
        <w:t> </w:t>
      </w:r>
      <w:r>
        <w:rPr/>
        <w:t>Kanowski,</w:t>
      </w:r>
      <w:r>
        <w:rPr>
          <w:spacing w:val="-4"/>
        </w:rPr>
        <w:t> </w:t>
      </w:r>
      <w:r>
        <w:rPr/>
        <w:t>J.</w:t>
      </w:r>
      <w:r>
        <w:rPr>
          <w:spacing w:val="-4"/>
        </w:rPr>
        <w:t> </w:t>
      </w:r>
      <w:r>
        <w:rPr/>
        <w:t>(2017).</w:t>
      </w:r>
      <w:r>
        <w:rPr>
          <w:spacing w:val="-4"/>
        </w:rPr>
        <w:t> </w:t>
      </w:r>
      <w:r>
        <w:rPr/>
        <w:t>Habitat</w:t>
      </w:r>
      <w:r>
        <w:rPr>
          <w:spacing w:val="-2"/>
        </w:rPr>
        <w:t> </w:t>
      </w:r>
      <w:r>
        <w:rPr/>
        <w:t>preference</w:t>
      </w:r>
      <w:r>
        <w:rPr>
          <w:spacing w:val="-4"/>
        </w:rPr>
        <w:t> </w:t>
      </w:r>
      <w:r>
        <w:rPr/>
        <w:t>for</w:t>
      </w:r>
      <w:r>
        <w:rPr>
          <w:spacing w:val="-4"/>
        </w:rPr>
        <w:t> </w:t>
      </w:r>
      <w:r>
        <w:rPr/>
        <w:t>fire</w:t>
      </w:r>
      <w:r>
        <w:rPr>
          <w:spacing w:val="-4"/>
        </w:rPr>
        <w:t> </w:t>
      </w:r>
      <w:r>
        <w:rPr/>
        <w:t>scars</w:t>
      </w:r>
      <w:r>
        <w:rPr>
          <w:spacing w:val="-2"/>
        </w:rPr>
        <w:t> </w:t>
      </w:r>
      <w:r>
        <w:rPr/>
        <w:t>by</w:t>
      </w:r>
      <w:r>
        <w:rPr>
          <w:spacing w:val="-3"/>
        </w:rPr>
        <w:t> </w:t>
      </w:r>
      <w:r>
        <w:rPr/>
        <w:t>feral</w:t>
      </w:r>
      <w:r>
        <w:rPr>
          <w:spacing w:val="-5"/>
        </w:rPr>
        <w:t> </w:t>
      </w:r>
      <w:r>
        <w:rPr/>
        <w:t>cats</w:t>
      </w:r>
      <w:r>
        <w:rPr>
          <w:spacing w:val="-1"/>
        </w:rPr>
        <w:t> </w:t>
      </w:r>
      <w:r>
        <w:rPr/>
        <w:t>in Cape York Peninsula, Australia. </w:t>
      </w:r>
      <w:r>
        <w:rPr>
          <w:i/>
        </w:rPr>
        <w:t>Wildlife Research </w:t>
      </w:r>
      <w:r>
        <w:rPr>
          <w:b/>
        </w:rPr>
        <w:t>43</w:t>
      </w:r>
      <w:r>
        <w:rPr/>
        <w:t>, 623–633.</w:t>
      </w:r>
    </w:p>
    <w:p>
      <w:pPr>
        <w:spacing w:line="276" w:lineRule="auto" w:before="119"/>
        <w:ind w:left="1841" w:right="1295" w:hanging="709"/>
        <w:jc w:val="left"/>
        <w:rPr>
          <w:sz w:val="20"/>
        </w:rPr>
      </w:pPr>
      <w:r>
        <w:rPr>
          <w:sz w:val="20"/>
        </w:rPr>
        <w:t>McLeod,</w:t>
      </w:r>
      <w:r>
        <w:rPr>
          <w:spacing w:val="-4"/>
          <w:sz w:val="20"/>
        </w:rPr>
        <w:t> </w:t>
      </w:r>
      <w:r>
        <w:rPr>
          <w:sz w:val="20"/>
        </w:rPr>
        <w:t>L.J.,</w:t>
      </w:r>
      <w:r>
        <w:rPr>
          <w:spacing w:val="-2"/>
          <w:sz w:val="20"/>
        </w:rPr>
        <w:t> </w:t>
      </w:r>
      <w:r>
        <w:rPr>
          <w:sz w:val="20"/>
        </w:rPr>
        <w:t>Saunders,</w:t>
      </w:r>
      <w:r>
        <w:rPr>
          <w:spacing w:val="-4"/>
          <w:sz w:val="20"/>
        </w:rPr>
        <w:t> </w:t>
      </w:r>
      <w:r>
        <w:rPr>
          <w:sz w:val="20"/>
        </w:rPr>
        <w:t>G.R.</w:t>
      </w:r>
      <w:r>
        <w:rPr>
          <w:spacing w:val="-4"/>
          <w:sz w:val="20"/>
        </w:rPr>
        <w:t> </w:t>
      </w:r>
      <w:r>
        <w:rPr>
          <w:sz w:val="20"/>
        </w:rPr>
        <w:t>and</w:t>
      </w:r>
      <w:r>
        <w:rPr>
          <w:spacing w:val="-4"/>
          <w:sz w:val="20"/>
        </w:rPr>
        <w:t> </w:t>
      </w:r>
      <w:r>
        <w:rPr>
          <w:sz w:val="20"/>
        </w:rPr>
        <w:t>Kabat,</w:t>
      </w:r>
      <w:r>
        <w:rPr>
          <w:spacing w:val="-4"/>
          <w:sz w:val="20"/>
        </w:rPr>
        <w:t> </w:t>
      </w:r>
      <w:r>
        <w:rPr>
          <w:sz w:val="20"/>
        </w:rPr>
        <w:t>T.J.</w:t>
      </w:r>
      <w:r>
        <w:rPr>
          <w:spacing w:val="-4"/>
          <w:sz w:val="20"/>
        </w:rPr>
        <w:t> </w:t>
      </w:r>
      <w:r>
        <w:rPr>
          <w:sz w:val="20"/>
        </w:rPr>
        <w:t>(2008). </w:t>
      </w:r>
      <w:r>
        <w:rPr>
          <w:i/>
          <w:sz w:val="20"/>
        </w:rPr>
        <w:t>Do</w:t>
      </w:r>
      <w:r>
        <w:rPr>
          <w:i/>
          <w:spacing w:val="-4"/>
          <w:sz w:val="20"/>
        </w:rPr>
        <w:t> </w:t>
      </w:r>
      <w:r>
        <w:rPr>
          <w:i/>
          <w:sz w:val="20"/>
        </w:rPr>
        <w:t>control</w:t>
      </w:r>
      <w:r>
        <w:rPr>
          <w:i/>
          <w:spacing w:val="-3"/>
          <w:sz w:val="20"/>
        </w:rPr>
        <w:t> </w:t>
      </w:r>
      <w:r>
        <w:rPr>
          <w:i/>
          <w:sz w:val="20"/>
        </w:rPr>
        <w:t>interventions</w:t>
      </w:r>
      <w:r>
        <w:rPr>
          <w:i/>
          <w:spacing w:val="-3"/>
          <w:sz w:val="20"/>
        </w:rPr>
        <w:t> </w:t>
      </w:r>
      <w:r>
        <w:rPr>
          <w:i/>
          <w:sz w:val="20"/>
        </w:rPr>
        <w:t>effectively</w:t>
      </w:r>
      <w:r>
        <w:rPr>
          <w:i/>
          <w:spacing w:val="-3"/>
          <w:sz w:val="20"/>
        </w:rPr>
        <w:t> </w:t>
      </w:r>
      <w:r>
        <w:rPr>
          <w:i/>
          <w:sz w:val="20"/>
        </w:rPr>
        <w:t>reduce</w:t>
      </w:r>
      <w:r>
        <w:rPr>
          <w:i/>
          <w:spacing w:val="-4"/>
          <w:sz w:val="20"/>
        </w:rPr>
        <w:t> </w:t>
      </w:r>
      <w:r>
        <w:rPr>
          <w:i/>
          <w:sz w:val="20"/>
        </w:rPr>
        <w:t>the</w:t>
      </w:r>
      <w:r>
        <w:rPr>
          <w:i/>
          <w:spacing w:val="-3"/>
          <w:sz w:val="20"/>
        </w:rPr>
        <w:t> </w:t>
      </w:r>
      <w:r>
        <w:rPr>
          <w:i/>
          <w:sz w:val="20"/>
        </w:rPr>
        <w:t>impact</w:t>
      </w:r>
      <w:r>
        <w:rPr>
          <w:i/>
          <w:sz w:val="20"/>
        </w:rPr>
        <w:t> of European red foxes on conservation values and agricultural production in Australia? Systematic Review No. 24. The Collaboration for Environmental Evidence review 06-003</w:t>
      </w:r>
      <w:r>
        <w:rPr>
          <w:sz w:val="20"/>
        </w:rPr>
        <w:t>, </w:t>
      </w:r>
      <w:hyperlink r:id="rId75">
        <w:r>
          <w:rPr>
            <w:sz w:val="20"/>
          </w:rPr>
          <w:t>https://www.environmentalevidence.org/wp-content/uploads/2014/07/SR24.pdf</w:t>
        </w:r>
      </w:hyperlink>
      <w:r>
        <w:rPr>
          <w:sz w:val="20"/>
        </w:rPr>
        <w:t> (accessed June </w:t>
      </w:r>
      <w:r>
        <w:rPr>
          <w:spacing w:val="-2"/>
          <w:sz w:val="20"/>
        </w:rPr>
        <w:t>2023).</w:t>
      </w:r>
    </w:p>
    <w:p>
      <w:pPr>
        <w:spacing w:line="278" w:lineRule="auto" w:before="120"/>
        <w:ind w:left="1841" w:right="1133" w:hanging="709"/>
        <w:jc w:val="left"/>
        <w:rPr>
          <w:sz w:val="20"/>
        </w:rPr>
      </w:pPr>
      <w:r>
        <w:rPr>
          <w:sz w:val="20"/>
        </w:rPr>
        <w:t>Menkhorst,</w:t>
      </w:r>
      <w:r>
        <w:rPr>
          <w:spacing w:val="-2"/>
          <w:sz w:val="20"/>
        </w:rPr>
        <w:t> </w:t>
      </w:r>
      <w:r>
        <w:rPr>
          <w:sz w:val="20"/>
        </w:rPr>
        <w:t>P.</w:t>
      </w:r>
      <w:r>
        <w:rPr>
          <w:spacing w:val="-4"/>
          <w:sz w:val="20"/>
        </w:rPr>
        <w:t> </w:t>
      </w:r>
      <w:r>
        <w:rPr>
          <w:sz w:val="20"/>
        </w:rPr>
        <w:t>(1995).</w:t>
      </w:r>
      <w:r>
        <w:rPr>
          <w:spacing w:val="-1"/>
          <w:sz w:val="20"/>
        </w:rPr>
        <w:t> </w:t>
      </w:r>
      <w:r>
        <w:rPr>
          <w:i/>
          <w:sz w:val="20"/>
        </w:rPr>
        <w:t>Mammals</w:t>
      </w:r>
      <w:r>
        <w:rPr>
          <w:i/>
          <w:spacing w:val="-3"/>
          <w:sz w:val="20"/>
        </w:rPr>
        <w:t> </w:t>
      </w:r>
      <w:r>
        <w:rPr>
          <w:i/>
          <w:sz w:val="20"/>
        </w:rPr>
        <w:t>of</w:t>
      </w:r>
      <w:r>
        <w:rPr>
          <w:i/>
          <w:spacing w:val="-4"/>
          <w:sz w:val="20"/>
        </w:rPr>
        <w:t> </w:t>
      </w:r>
      <w:r>
        <w:rPr>
          <w:i/>
          <w:sz w:val="20"/>
        </w:rPr>
        <w:t>Victoria.</w:t>
      </w:r>
      <w:r>
        <w:rPr>
          <w:i/>
          <w:spacing w:val="-4"/>
          <w:sz w:val="20"/>
        </w:rPr>
        <w:t> </w:t>
      </w:r>
      <w:r>
        <w:rPr>
          <w:i/>
          <w:sz w:val="20"/>
        </w:rPr>
        <w:t>Distribution,</w:t>
      </w:r>
      <w:r>
        <w:rPr>
          <w:i/>
          <w:spacing w:val="-4"/>
          <w:sz w:val="20"/>
        </w:rPr>
        <w:t> </w:t>
      </w:r>
      <w:r>
        <w:rPr>
          <w:i/>
          <w:sz w:val="20"/>
        </w:rPr>
        <w:t>Ecology</w:t>
      </w:r>
      <w:r>
        <w:rPr>
          <w:i/>
          <w:spacing w:val="-2"/>
          <w:sz w:val="20"/>
        </w:rPr>
        <w:t> </w:t>
      </w:r>
      <w:r>
        <w:rPr>
          <w:i/>
          <w:sz w:val="20"/>
        </w:rPr>
        <w:t>and</w:t>
      </w:r>
      <w:r>
        <w:rPr>
          <w:i/>
          <w:spacing w:val="-2"/>
          <w:sz w:val="20"/>
        </w:rPr>
        <w:t> </w:t>
      </w:r>
      <w:r>
        <w:rPr>
          <w:i/>
          <w:sz w:val="20"/>
        </w:rPr>
        <w:t>Conservation</w:t>
      </w:r>
      <w:r>
        <w:rPr>
          <w:sz w:val="20"/>
        </w:rPr>
        <w:t>.</w:t>
      </w:r>
      <w:r>
        <w:rPr>
          <w:spacing w:val="-4"/>
          <w:sz w:val="20"/>
        </w:rPr>
        <w:t> </w:t>
      </w:r>
      <w:r>
        <w:rPr>
          <w:sz w:val="20"/>
        </w:rPr>
        <w:t>Oxford</w:t>
      </w:r>
      <w:r>
        <w:rPr>
          <w:spacing w:val="-4"/>
          <w:sz w:val="20"/>
        </w:rPr>
        <w:t> </w:t>
      </w:r>
      <w:r>
        <w:rPr>
          <w:sz w:val="20"/>
        </w:rPr>
        <w:t>University</w:t>
      </w:r>
      <w:r>
        <w:rPr>
          <w:spacing w:val="-3"/>
          <w:sz w:val="20"/>
        </w:rPr>
        <w:t> </w:t>
      </w:r>
      <w:r>
        <w:rPr>
          <w:sz w:val="20"/>
        </w:rPr>
        <w:t>Press, South Melbourne, Victoria.</w:t>
      </w:r>
    </w:p>
    <w:p>
      <w:pPr>
        <w:spacing w:after="0" w:line="278" w:lineRule="auto"/>
        <w:jc w:val="left"/>
        <w:rPr>
          <w:sz w:val="20"/>
        </w:rPr>
        <w:sectPr>
          <w:footerReference w:type="default" r:id="rId72"/>
          <w:pgSz w:w="11910" w:h="16850"/>
          <w:pgMar w:header="0" w:footer="688" w:top="1060" w:bottom="880" w:left="0" w:right="0"/>
        </w:sectPr>
      </w:pPr>
    </w:p>
    <w:p>
      <w:pPr>
        <w:pStyle w:val="BodyText"/>
        <w:spacing w:before="71"/>
        <w:ind w:left="1132"/>
      </w:pPr>
      <w:r>
        <w:rPr/>
        <w:t>Nuske,</w:t>
      </w:r>
      <w:r>
        <w:rPr>
          <w:spacing w:val="-7"/>
        </w:rPr>
        <w:t> </w:t>
      </w:r>
      <w:r>
        <w:rPr/>
        <w:t>S.,</w:t>
      </w:r>
      <w:r>
        <w:rPr>
          <w:spacing w:val="-5"/>
        </w:rPr>
        <w:t> </w:t>
      </w:r>
      <w:r>
        <w:rPr/>
        <w:t>Vernes,</w:t>
      </w:r>
      <w:r>
        <w:rPr>
          <w:spacing w:val="-5"/>
        </w:rPr>
        <w:t> </w:t>
      </w:r>
      <w:r>
        <w:rPr/>
        <w:t>K.,</w:t>
      </w:r>
      <w:r>
        <w:rPr>
          <w:spacing w:val="-7"/>
        </w:rPr>
        <w:t> </w:t>
      </w:r>
      <w:r>
        <w:rPr/>
        <w:t>May,</w:t>
      </w:r>
      <w:r>
        <w:rPr>
          <w:spacing w:val="-6"/>
        </w:rPr>
        <w:t> </w:t>
      </w:r>
      <w:r>
        <w:rPr/>
        <w:t>T.,</w:t>
      </w:r>
      <w:r>
        <w:rPr>
          <w:spacing w:val="-7"/>
        </w:rPr>
        <w:t> </w:t>
      </w:r>
      <w:r>
        <w:rPr/>
        <w:t>Claridge,</w:t>
      </w:r>
      <w:r>
        <w:rPr>
          <w:spacing w:val="-5"/>
        </w:rPr>
        <w:t> </w:t>
      </w:r>
      <w:r>
        <w:rPr/>
        <w:t>A.,</w:t>
      </w:r>
      <w:r>
        <w:rPr>
          <w:spacing w:val="-5"/>
        </w:rPr>
        <w:t> </w:t>
      </w:r>
      <w:r>
        <w:rPr/>
        <w:t>Congdon,</w:t>
      </w:r>
      <w:r>
        <w:rPr>
          <w:spacing w:val="-5"/>
        </w:rPr>
        <w:t> </w:t>
      </w:r>
      <w:r>
        <w:rPr/>
        <w:t>B.,</w:t>
      </w:r>
      <w:r>
        <w:rPr>
          <w:spacing w:val="-4"/>
        </w:rPr>
        <w:t> </w:t>
      </w:r>
      <w:r>
        <w:rPr/>
        <w:t>Krockenberger,</w:t>
      </w:r>
      <w:r>
        <w:rPr>
          <w:spacing w:val="-5"/>
        </w:rPr>
        <w:t> </w:t>
      </w:r>
      <w:r>
        <w:rPr/>
        <w:t>A.</w:t>
      </w:r>
      <w:r>
        <w:rPr>
          <w:spacing w:val="-7"/>
        </w:rPr>
        <w:t> </w:t>
      </w:r>
      <w:r>
        <w:rPr/>
        <w:t>and</w:t>
      </w:r>
      <w:r>
        <w:rPr>
          <w:spacing w:val="-6"/>
        </w:rPr>
        <w:t> </w:t>
      </w:r>
      <w:r>
        <w:rPr/>
        <w:t>Abell,</w:t>
      </w:r>
      <w:r>
        <w:rPr>
          <w:spacing w:val="-5"/>
        </w:rPr>
        <w:t> </w:t>
      </w:r>
      <w:r>
        <w:rPr/>
        <w:t>S.</w:t>
      </w:r>
      <w:r>
        <w:rPr>
          <w:spacing w:val="-5"/>
        </w:rPr>
        <w:t> </w:t>
      </w:r>
      <w:r>
        <w:rPr>
          <w:spacing w:val="-2"/>
        </w:rPr>
        <w:t>(2017).</w:t>
      </w:r>
    </w:p>
    <w:p>
      <w:pPr>
        <w:pStyle w:val="BodyText"/>
        <w:spacing w:before="37"/>
        <w:ind w:left="1841"/>
      </w:pPr>
      <w:r>
        <w:rPr/>
        <w:t>Redundancy</w:t>
      </w:r>
      <w:r>
        <w:rPr>
          <w:spacing w:val="-9"/>
        </w:rPr>
        <w:t> </w:t>
      </w:r>
      <w:r>
        <w:rPr/>
        <w:t>among</w:t>
      </w:r>
      <w:r>
        <w:rPr>
          <w:spacing w:val="-9"/>
        </w:rPr>
        <w:t> </w:t>
      </w:r>
      <w:r>
        <w:rPr/>
        <w:t>mammalian</w:t>
      </w:r>
      <w:r>
        <w:rPr>
          <w:spacing w:val="-9"/>
        </w:rPr>
        <w:t> </w:t>
      </w:r>
      <w:r>
        <w:rPr/>
        <w:t>fungal</w:t>
      </w:r>
      <w:r>
        <w:rPr>
          <w:spacing w:val="-10"/>
        </w:rPr>
        <w:t> </w:t>
      </w:r>
      <w:r>
        <w:rPr/>
        <w:t>dispersers</w:t>
      </w:r>
      <w:r>
        <w:rPr>
          <w:spacing w:val="-8"/>
        </w:rPr>
        <w:t> </w:t>
      </w:r>
      <w:r>
        <w:rPr/>
        <w:t>and</w:t>
      </w:r>
      <w:r>
        <w:rPr>
          <w:spacing w:val="-9"/>
        </w:rPr>
        <w:t> </w:t>
      </w:r>
      <w:r>
        <w:rPr/>
        <w:t>the</w:t>
      </w:r>
      <w:r>
        <w:rPr>
          <w:spacing w:val="-8"/>
        </w:rPr>
        <w:t> </w:t>
      </w:r>
      <w:r>
        <w:rPr/>
        <w:t>importance</w:t>
      </w:r>
      <w:r>
        <w:rPr>
          <w:spacing w:val="-9"/>
        </w:rPr>
        <w:t> </w:t>
      </w:r>
      <w:r>
        <w:rPr/>
        <w:t>of</w:t>
      </w:r>
      <w:r>
        <w:rPr>
          <w:spacing w:val="-8"/>
        </w:rPr>
        <w:t> </w:t>
      </w:r>
      <w:r>
        <w:rPr/>
        <w:t>declining</w:t>
      </w:r>
      <w:r>
        <w:rPr>
          <w:spacing w:val="-9"/>
        </w:rPr>
        <w:t> </w:t>
      </w:r>
      <w:r>
        <w:rPr>
          <w:spacing w:val="-2"/>
        </w:rPr>
        <w:t>specialists.</w:t>
      </w:r>
    </w:p>
    <w:p>
      <w:pPr>
        <w:spacing w:before="34"/>
        <w:ind w:left="1841" w:right="0" w:firstLine="0"/>
        <w:jc w:val="left"/>
        <w:rPr>
          <w:sz w:val="20"/>
        </w:rPr>
      </w:pPr>
      <w:r>
        <w:rPr>
          <w:i/>
          <w:sz w:val="20"/>
        </w:rPr>
        <w:t>Fungal</w:t>
      </w:r>
      <w:r>
        <w:rPr>
          <w:i/>
          <w:spacing w:val="-8"/>
          <w:sz w:val="20"/>
        </w:rPr>
        <w:t> </w:t>
      </w:r>
      <w:r>
        <w:rPr>
          <w:i/>
          <w:sz w:val="20"/>
        </w:rPr>
        <w:t>Ecology</w:t>
      </w:r>
      <w:r>
        <w:rPr>
          <w:i/>
          <w:spacing w:val="-7"/>
          <w:sz w:val="20"/>
        </w:rPr>
        <w:t> </w:t>
      </w:r>
      <w:r>
        <w:rPr>
          <w:b/>
          <w:sz w:val="20"/>
        </w:rPr>
        <w:t>27</w:t>
      </w:r>
      <w:r>
        <w:rPr>
          <w:sz w:val="20"/>
        </w:rPr>
        <w:t>,</w:t>
      </w:r>
      <w:r>
        <w:rPr>
          <w:spacing w:val="-7"/>
          <w:sz w:val="20"/>
        </w:rPr>
        <w:t> </w:t>
      </w:r>
      <w:r>
        <w:rPr>
          <w:sz w:val="20"/>
        </w:rPr>
        <w:t>1–</w:t>
      </w:r>
      <w:r>
        <w:rPr>
          <w:spacing w:val="-5"/>
          <w:sz w:val="20"/>
        </w:rPr>
        <w:t>13.</w:t>
      </w:r>
    </w:p>
    <w:p>
      <w:pPr>
        <w:pStyle w:val="BodyText"/>
        <w:spacing w:before="44"/>
      </w:pPr>
    </w:p>
    <w:p>
      <w:pPr>
        <w:pStyle w:val="BodyText"/>
        <w:spacing w:line="276" w:lineRule="auto"/>
        <w:ind w:left="1841" w:right="1215" w:hanging="709"/>
      </w:pPr>
      <w:r>
        <w:rPr/>
        <w:t>Phillips,</w:t>
      </w:r>
      <w:r>
        <w:rPr>
          <w:spacing w:val="-3"/>
        </w:rPr>
        <w:t> </w:t>
      </w:r>
      <w:r>
        <w:rPr/>
        <w:t>S.J.,</w:t>
      </w:r>
      <w:r>
        <w:rPr>
          <w:spacing w:val="-3"/>
        </w:rPr>
        <w:t> </w:t>
      </w:r>
      <w:r>
        <w:rPr/>
        <w:t>Anderson,</w:t>
      </w:r>
      <w:r>
        <w:rPr>
          <w:spacing w:val="-5"/>
        </w:rPr>
        <w:t> </w:t>
      </w:r>
      <w:r>
        <w:rPr/>
        <w:t>R.P.</w:t>
      </w:r>
      <w:r>
        <w:rPr>
          <w:spacing w:val="-5"/>
        </w:rPr>
        <w:t> </w:t>
      </w:r>
      <w:r>
        <w:rPr/>
        <w:t>and</w:t>
      </w:r>
      <w:r>
        <w:rPr>
          <w:spacing w:val="-4"/>
        </w:rPr>
        <w:t> </w:t>
      </w:r>
      <w:r>
        <w:rPr/>
        <w:t>Schapire,</w:t>
      </w:r>
      <w:r>
        <w:rPr>
          <w:spacing w:val="-3"/>
        </w:rPr>
        <w:t> </w:t>
      </w:r>
      <w:r>
        <w:rPr/>
        <w:t>R.E.</w:t>
      </w:r>
      <w:r>
        <w:rPr>
          <w:spacing w:val="-3"/>
        </w:rPr>
        <w:t> </w:t>
      </w:r>
      <w:r>
        <w:rPr/>
        <w:t>(2006).</w:t>
      </w:r>
      <w:r>
        <w:rPr>
          <w:spacing w:val="-5"/>
        </w:rPr>
        <w:t> </w:t>
      </w:r>
      <w:r>
        <w:rPr/>
        <w:t>Maximum</w:t>
      </w:r>
      <w:r>
        <w:rPr>
          <w:spacing w:val="-5"/>
        </w:rPr>
        <w:t> </w:t>
      </w:r>
      <w:r>
        <w:rPr/>
        <w:t>entropy</w:t>
      </w:r>
      <w:r>
        <w:rPr>
          <w:spacing w:val="-4"/>
        </w:rPr>
        <w:t> </w:t>
      </w:r>
      <w:r>
        <w:rPr/>
        <w:t>modeling</w:t>
      </w:r>
      <w:r>
        <w:rPr>
          <w:spacing w:val="-5"/>
        </w:rPr>
        <w:t> </w:t>
      </w:r>
      <w:r>
        <w:rPr/>
        <w:t>of</w:t>
      </w:r>
      <w:r>
        <w:rPr>
          <w:spacing w:val="-3"/>
        </w:rPr>
        <w:t> </w:t>
      </w:r>
      <w:r>
        <w:rPr/>
        <w:t>species</w:t>
      </w:r>
      <w:r>
        <w:rPr>
          <w:spacing w:val="-2"/>
        </w:rPr>
        <w:t> </w:t>
      </w:r>
      <w:r>
        <w:rPr/>
        <w:t>geographic distributions. </w:t>
      </w:r>
      <w:r>
        <w:rPr>
          <w:i/>
        </w:rPr>
        <w:t>Ecological Modelling </w:t>
      </w:r>
      <w:r>
        <w:rPr>
          <w:b/>
        </w:rPr>
        <w:t>190</w:t>
      </w:r>
      <w:r>
        <w:rPr/>
        <w:t>, 231–259.</w:t>
      </w:r>
    </w:p>
    <w:p>
      <w:pPr>
        <w:spacing w:line="276" w:lineRule="auto" w:before="119"/>
        <w:ind w:left="1841" w:right="1296" w:hanging="709"/>
        <w:jc w:val="left"/>
        <w:rPr>
          <w:sz w:val="20"/>
        </w:rPr>
      </w:pPr>
      <w:r>
        <w:rPr>
          <w:sz w:val="20"/>
        </w:rPr>
        <w:t>Plummer,</w:t>
      </w:r>
      <w:r>
        <w:rPr>
          <w:spacing w:val="-4"/>
          <w:sz w:val="20"/>
        </w:rPr>
        <w:t> </w:t>
      </w:r>
      <w:r>
        <w:rPr>
          <w:sz w:val="20"/>
        </w:rPr>
        <w:t>M.</w:t>
      </w:r>
      <w:r>
        <w:rPr>
          <w:spacing w:val="-4"/>
          <w:sz w:val="20"/>
        </w:rPr>
        <w:t> </w:t>
      </w:r>
      <w:r>
        <w:rPr>
          <w:sz w:val="20"/>
        </w:rPr>
        <w:t>(2003).</w:t>
      </w:r>
      <w:r>
        <w:rPr>
          <w:spacing w:val="-4"/>
          <w:sz w:val="20"/>
        </w:rPr>
        <w:t> </w:t>
      </w:r>
      <w:r>
        <w:rPr>
          <w:sz w:val="20"/>
        </w:rPr>
        <w:t>JAGS: A</w:t>
      </w:r>
      <w:r>
        <w:rPr>
          <w:spacing w:val="-5"/>
          <w:sz w:val="20"/>
        </w:rPr>
        <w:t> </w:t>
      </w:r>
      <w:r>
        <w:rPr>
          <w:sz w:val="20"/>
        </w:rPr>
        <w:t>program</w:t>
      </w:r>
      <w:r>
        <w:rPr>
          <w:spacing w:val="-2"/>
          <w:sz w:val="20"/>
        </w:rPr>
        <w:t> </w:t>
      </w:r>
      <w:r>
        <w:rPr>
          <w:sz w:val="20"/>
        </w:rPr>
        <w:t>for</w:t>
      </w:r>
      <w:r>
        <w:rPr>
          <w:spacing w:val="-4"/>
          <w:sz w:val="20"/>
        </w:rPr>
        <w:t> </w:t>
      </w:r>
      <w:r>
        <w:rPr>
          <w:sz w:val="20"/>
        </w:rPr>
        <w:t>analysis</w:t>
      </w:r>
      <w:r>
        <w:rPr>
          <w:spacing w:val="-3"/>
          <w:sz w:val="20"/>
        </w:rPr>
        <w:t> </w:t>
      </w:r>
      <w:r>
        <w:rPr>
          <w:sz w:val="20"/>
        </w:rPr>
        <w:t>of</w:t>
      </w:r>
      <w:r>
        <w:rPr>
          <w:spacing w:val="-2"/>
          <w:sz w:val="20"/>
        </w:rPr>
        <w:t> </w:t>
      </w:r>
      <w:r>
        <w:rPr>
          <w:sz w:val="20"/>
        </w:rPr>
        <w:t>Bayesian</w:t>
      </w:r>
      <w:r>
        <w:rPr>
          <w:spacing w:val="-4"/>
          <w:sz w:val="20"/>
        </w:rPr>
        <w:t> </w:t>
      </w:r>
      <w:r>
        <w:rPr>
          <w:sz w:val="20"/>
        </w:rPr>
        <w:t>graphical</w:t>
      </w:r>
      <w:r>
        <w:rPr>
          <w:spacing w:val="-3"/>
          <w:sz w:val="20"/>
        </w:rPr>
        <w:t> </w:t>
      </w:r>
      <w:r>
        <w:rPr>
          <w:sz w:val="20"/>
        </w:rPr>
        <w:t>models</w:t>
      </w:r>
      <w:r>
        <w:rPr>
          <w:spacing w:val="-1"/>
          <w:sz w:val="20"/>
        </w:rPr>
        <w:t> </w:t>
      </w:r>
      <w:r>
        <w:rPr>
          <w:sz w:val="20"/>
        </w:rPr>
        <w:t>using</w:t>
      </w:r>
      <w:r>
        <w:rPr>
          <w:spacing w:val="-5"/>
          <w:sz w:val="20"/>
        </w:rPr>
        <w:t> </w:t>
      </w:r>
      <w:r>
        <w:rPr>
          <w:sz w:val="20"/>
        </w:rPr>
        <w:t>Gibbs</w:t>
      </w:r>
      <w:r>
        <w:rPr>
          <w:spacing w:val="-3"/>
          <w:sz w:val="20"/>
        </w:rPr>
        <w:t> </w:t>
      </w:r>
      <w:r>
        <w:rPr>
          <w:sz w:val="20"/>
        </w:rPr>
        <w:t>sampling.</w:t>
      </w:r>
      <w:r>
        <w:rPr>
          <w:spacing w:val="-4"/>
          <w:sz w:val="20"/>
        </w:rPr>
        <w:t> </w:t>
      </w:r>
      <w:r>
        <w:rPr>
          <w:sz w:val="20"/>
        </w:rPr>
        <w:t>In: Hornik, K., Leisch, F. and Zeileis, A. (eds) </w:t>
      </w:r>
      <w:r>
        <w:rPr>
          <w:i/>
          <w:sz w:val="20"/>
        </w:rPr>
        <w:t>Proceedings of the 3rd International Workshop on</w:t>
      </w:r>
      <w:r>
        <w:rPr>
          <w:i/>
          <w:sz w:val="20"/>
        </w:rPr>
        <w:t> Distributed Statistical Computing (DSC 2003)</w:t>
      </w:r>
      <w:r>
        <w:rPr>
          <w:sz w:val="20"/>
        </w:rPr>
        <w:t>, Vienna, Austria, 20–22 March 2003. </w:t>
      </w:r>
      <w:hyperlink r:id="rId77">
        <w:r>
          <w:rPr>
            <w:color w:val="0000FF"/>
            <w:sz w:val="20"/>
            <w:u w:val="single" w:color="0000FF"/>
          </w:rPr>
          <w:t>http://www.R-</w:t>
        </w:r>
      </w:hyperlink>
      <w:hyperlink r:id="rId77">
        <w:r>
          <w:rPr>
            <w:color w:val="0000FF"/>
            <w:sz w:val="20"/>
            <w:u w:val="single" w:color="0000FF"/>
          </w:rPr>
          <w:t>project.org/conferences/DSC-2003/</w:t>
        </w:r>
      </w:hyperlink>
      <w:r>
        <w:rPr>
          <w:color w:val="0000FF"/>
          <w:sz w:val="20"/>
          <w:u w:val="none"/>
        </w:rPr>
        <w:t> </w:t>
      </w:r>
      <w:r>
        <w:rPr>
          <w:sz w:val="20"/>
          <w:u w:val="none"/>
        </w:rPr>
        <w:t>(accessed June 2024).</w:t>
      </w:r>
    </w:p>
    <w:p>
      <w:pPr>
        <w:pStyle w:val="BodyText"/>
        <w:spacing w:line="276" w:lineRule="auto" w:before="121"/>
        <w:ind w:left="1841" w:right="1457" w:hanging="709"/>
        <w:jc w:val="both"/>
      </w:pPr>
      <w:r>
        <w:rPr/>
        <w:t>Qin,</w:t>
      </w:r>
      <w:r>
        <w:rPr>
          <w:spacing w:val="-4"/>
        </w:rPr>
        <w:t> </w:t>
      </w:r>
      <w:r>
        <w:rPr/>
        <w:t>Haiming,</w:t>
      </w:r>
      <w:r>
        <w:rPr>
          <w:spacing w:val="-2"/>
        </w:rPr>
        <w:t> </w:t>
      </w:r>
      <w:r>
        <w:rPr/>
        <w:t>Wang,</w:t>
      </w:r>
      <w:r>
        <w:rPr>
          <w:spacing w:val="-4"/>
        </w:rPr>
        <w:t> </w:t>
      </w:r>
      <w:r>
        <w:rPr/>
        <w:t>Cheng,</w:t>
      </w:r>
      <w:r>
        <w:rPr>
          <w:spacing w:val="-4"/>
        </w:rPr>
        <w:t> </w:t>
      </w:r>
      <w:r>
        <w:rPr/>
        <w:t>Zhao,</w:t>
      </w:r>
      <w:r>
        <w:rPr>
          <w:spacing w:val="-2"/>
        </w:rPr>
        <w:t> </w:t>
      </w:r>
      <w:r>
        <w:rPr/>
        <w:t>Kaiguang,</w:t>
      </w:r>
      <w:r>
        <w:rPr>
          <w:spacing w:val="-2"/>
        </w:rPr>
        <w:t> </w:t>
      </w:r>
      <w:r>
        <w:rPr/>
        <w:t>Xi,</w:t>
      </w:r>
      <w:r>
        <w:rPr>
          <w:spacing w:val="-4"/>
        </w:rPr>
        <w:t> </w:t>
      </w:r>
      <w:r>
        <w:rPr/>
        <w:t>Xiaohuan</w:t>
      </w:r>
      <w:r>
        <w:rPr>
          <w:spacing w:val="-2"/>
        </w:rPr>
        <w:t> </w:t>
      </w:r>
      <w:r>
        <w:rPr/>
        <w:t>(2018).</w:t>
      </w:r>
      <w:r>
        <w:rPr>
          <w:spacing w:val="-4"/>
        </w:rPr>
        <w:t> </w:t>
      </w:r>
      <w:r>
        <w:rPr/>
        <w:t>Estimation</w:t>
      </w:r>
      <w:r>
        <w:rPr>
          <w:spacing w:val="-4"/>
        </w:rPr>
        <w:t> </w:t>
      </w:r>
      <w:r>
        <w:rPr/>
        <w:t>of the</w:t>
      </w:r>
      <w:r>
        <w:rPr>
          <w:spacing w:val="-5"/>
        </w:rPr>
        <w:t> </w:t>
      </w:r>
      <w:r>
        <w:rPr/>
        <w:t>fraction</w:t>
      </w:r>
      <w:r>
        <w:rPr>
          <w:spacing w:val="-3"/>
        </w:rPr>
        <w:t> </w:t>
      </w:r>
      <w:r>
        <w:rPr/>
        <w:t>of</w:t>
      </w:r>
      <w:r>
        <w:rPr>
          <w:spacing w:val="-4"/>
        </w:rPr>
        <w:t> </w:t>
      </w:r>
      <w:r>
        <w:rPr/>
        <w:t>absorbed photosynthetically active radiation (fPAR) in maize canopies using LiDAR data</w:t>
      </w:r>
      <w:r>
        <w:rPr>
          <w:spacing w:val="-1"/>
        </w:rPr>
        <w:t> </w:t>
      </w:r>
      <w:r>
        <w:rPr/>
        <w:t>and hyperspectral imagery. </w:t>
      </w:r>
      <w:r>
        <w:rPr>
          <w:i/>
        </w:rPr>
        <w:t>PLOS ONE </w:t>
      </w:r>
      <w:r>
        <w:rPr>
          <w:b/>
        </w:rPr>
        <w:t>13 </w:t>
      </w:r>
      <w:r>
        <w:rPr/>
        <w:t>(5), e0197510 </w:t>
      </w:r>
      <w:hyperlink r:id="rId78">
        <w:r>
          <w:rPr/>
          <w:t>doi</w:t>
        </w:r>
      </w:hyperlink>
      <w:hyperlink r:id="rId79">
        <w:r>
          <w:rPr/>
          <w:t>:10.1371/journal.pone.0197510</w:t>
        </w:r>
      </w:hyperlink>
    </w:p>
    <w:p>
      <w:pPr>
        <w:spacing w:line="276" w:lineRule="auto" w:before="121"/>
        <w:ind w:left="1841" w:right="1215" w:hanging="709"/>
        <w:jc w:val="left"/>
        <w:rPr>
          <w:sz w:val="20"/>
        </w:rPr>
      </w:pPr>
      <w:r>
        <w:rPr>
          <w:sz w:val="20"/>
        </w:rPr>
        <w:t>R Core Team. (2021). </w:t>
      </w:r>
      <w:r>
        <w:rPr>
          <w:i/>
          <w:sz w:val="20"/>
        </w:rPr>
        <w:t>R: A Language and Environment for Statistical Computing (Version 4.2.1)</w:t>
      </w:r>
      <w:r>
        <w:rPr>
          <w:sz w:val="20"/>
        </w:rPr>
        <w:t>. R Foundation</w:t>
      </w:r>
      <w:r>
        <w:rPr>
          <w:spacing w:val="-7"/>
          <w:sz w:val="20"/>
        </w:rPr>
        <w:t> </w:t>
      </w:r>
      <w:r>
        <w:rPr>
          <w:sz w:val="20"/>
        </w:rPr>
        <w:t>for</w:t>
      </w:r>
      <w:r>
        <w:rPr>
          <w:spacing w:val="-6"/>
          <w:sz w:val="20"/>
        </w:rPr>
        <w:t> </w:t>
      </w:r>
      <w:r>
        <w:rPr>
          <w:sz w:val="20"/>
        </w:rPr>
        <w:t>Statistical</w:t>
      </w:r>
      <w:r>
        <w:rPr>
          <w:spacing w:val="-5"/>
          <w:sz w:val="20"/>
        </w:rPr>
        <w:t> </w:t>
      </w:r>
      <w:r>
        <w:rPr>
          <w:sz w:val="20"/>
        </w:rPr>
        <w:t>Computing,</w:t>
      </w:r>
      <w:r>
        <w:rPr>
          <w:spacing w:val="-4"/>
          <w:sz w:val="20"/>
        </w:rPr>
        <w:t> </w:t>
      </w:r>
      <w:r>
        <w:rPr>
          <w:sz w:val="20"/>
        </w:rPr>
        <w:t>Vienna,</w:t>
      </w:r>
      <w:r>
        <w:rPr>
          <w:spacing w:val="-4"/>
          <w:sz w:val="20"/>
        </w:rPr>
        <w:t> </w:t>
      </w:r>
      <w:r>
        <w:rPr>
          <w:sz w:val="20"/>
        </w:rPr>
        <w:t>Austria. </w:t>
      </w:r>
      <w:hyperlink r:id="rId80">
        <w:r>
          <w:rPr>
            <w:color w:val="0000FF"/>
            <w:sz w:val="20"/>
            <w:u w:val="single" w:color="0000FF"/>
          </w:rPr>
          <w:t>http://www.R-project.org</w:t>
        </w:r>
      </w:hyperlink>
      <w:r>
        <w:rPr>
          <w:color w:val="0000FF"/>
          <w:spacing w:val="-5"/>
          <w:sz w:val="20"/>
          <w:u w:val="none"/>
        </w:rPr>
        <w:t> </w:t>
      </w:r>
      <w:r>
        <w:rPr>
          <w:sz w:val="20"/>
          <w:u w:val="none"/>
        </w:rPr>
        <w:t>(accessed</w:t>
      </w:r>
      <w:r>
        <w:rPr>
          <w:spacing w:val="-7"/>
          <w:sz w:val="20"/>
          <w:u w:val="none"/>
        </w:rPr>
        <w:t> </w:t>
      </w:r>
      <w:r>
        <w:rPr>
          <w:sz w:val="20"/>
          <w:u w:val="none"/>
        </w:rPr>
        <w:t>June </w:t>
      </w:r>
      <w:r>
        <w:rPr>
          <w:spacing w:val="-2"/>
          <w:sz w:val="20"/>
          <w:u w:val="none"/>
        </w:rPr>
        <w:t>2024).</w:t>
      </w:r>
    </w:p>
    <w:p>
      <w:pPr>
        <w:pStyle w:val="BodyText"/>
        <w:spacing w:line="278" w:lineRule="auto" w:before="119"/>
        <w:ind w:left="1841" w:right="1215" w:hanging="709"/>
      </w:pPr>
      <w:r>
        <w:rPr/>
        <w:t>Reddiex,</w:t>
      </w:r>
      <w:r>
        <w:rPr>
          <w:spacing w:val="-2"/>
        </w:rPr>
        <w:t> </w:t>
      </w:r>
      <w:r>
        <w:rPr/>
        <w:t>B.</w:t>
      </w:r>
      <w:r>
        <w:rPr>
          <w:spacing w:val="-4"/>
        </w:rPr>
        <w:t> </w:t>
      </w:r>
      <w:r>
        <w:rPr/>
        <w:t>and</w:t>
      </w:r>
      <w:r>
        <w:rPr>
          <w:spacing w:val="-4"/>
        </w:rPr>
        <w:t> </w:t>
      </w:r>
      <w:r>
        <w:rPr/>
        <w:t>Forsyth,</w:t>
      </w:r>
      <w:r>
        <w:rPr>
          <w:spacing w:val="-2"/>
        </w:rPr>
        <w:t> </w:t>
      </w:r>
      <w:r>
        <w:rPr/>
        <w:t>D.M.</w:t>
      </w:r>
      <w:r>
        <w:rPr>
          <w:spacing w:val="-4"/>
        </w:rPr>
        <w:t> </w:t>
      </w:r>
      <w:r>
        <w:rPr/>
        <w:t>(2006).</w:t>
      </w:r>
      <w:r>
        <w:rPr>
          <w:spacing w:val="-4"/>
        </w:rPr>
        <w:t> </w:t>
      </w:r>
      <w:r>
        <w:rPr/>
        <w:t>Control</w:t>
      </w:r>
      <w:r>
        <w:rPr>
          <w:spacing w:val="-5"/>
        </w:rPr>
        <w:t> </w:t>
      </w:r>
      <w:r>
        <w:rPr/>
        <w:t>of</w:t>
      </w:r>
      <w:r>
        <w:rPr>
          <w:spacing w:val="-2"/>
        </w:rPr>
        <w:t> </w:t>
      </w:r>
      <w:r>
        <w:rPr/>
        <w:t>pest</w:t>
      </w:r>
      <w:r>
        <w:rPr>
          <w:spacing w:val="-2"/>
        </w:rPr>
        <w:t> </w:t>
      </w:r>
      <w:r>
        <w:rPr/>
        <w:t>mammals</w:t>
      </w:r>
      <w:r>
        <w:rPr>
          <w:spacing w:val="-3"/>
        </w:rPr>
        <w:t> </w:t>
      </w:r>
      <w:r>
        <w:rPr/>
        <w:t>for</w:t>
      </w:r>
      <w:r>
        <w:rPr>
          <w:spacing w:val="-4"/>
        </w:rPr>
        <w:t> </w:t>
      </w:r>
      <w:r>
        <w:rPr/>
        <w:t>biodiversity</w:t>
      </w:r>
      <w:r>
        <w:rPr>
          <w:spacing w:val="-3"/>
        </w:rPr>
        <w:t> </w:t>
      </w:r>
      <w:r>
        <w:rPr/>
        <w:t>protection</w:t>
      </w:r>
      <w:r>
        <w:rPr>
          <w:spacing w:val="-3"/>
        </w:rPr>
        <w:t> </w:t>
      </w:r>
      <w:r>
        <w:rPr/>
        <w:t>in</w:t>
      </w:r>
      <w:r>
        <w:rPr>
          <w:spacing w:val="-2"/>
        </w:rPr>
        <w:t> </w:t>
      </w:r>
      <w:r>
        <w:rPr/>
        <w:t>Australia.</w:t>
      </w:r>
      <w:r>
        <w:rPr>
          <w:spacing w:val="-2"/>
        </w:rPr>
        <w:t> </w:t>
      </w:r>
      <w:r>
        <w:rPr/>
        <w:t>II. Reliability of knowledge. </w:t>
      </w:r>
      <w:r>
        <w:rPr>
          <w:i/>
        </w:rPr>
        <w:t>Wildlife Research </w:t>
      </w:r>
      <w:r>
        <w:rPr>
          <w:b/>
        </w:rPr>
        <w:t>33</w:t>
      </w:r>
      <w:r>
        <w:rPr/>
        <w:t>, 711–717.</w:t>
      </w:r>
    </w:p>
    <w:p>
      <w:pPr>
        <w:pStyle w:val="BodyText"/>
        <w:spacing w:line="276" w:lineRule="auto" w:before="117"/>
        <w:ind w:left="1841" w:right="1215" w:hanging="709"/>
      </w:pPr>
      <w:r>
        <w:rPr/>
        <w:t>Rees,</w:t>
      </w:r>
      <w:r>
        <w:rPr>
          <w:spacing w:val="-4"/>
        </w:rPr>
        <w:t> </w:t>
      </w:r>
      <w:r>
        <w:rPr/>
        <w:t>M.W.,</w:t>
      </w:r>
      <w:r>
        <w:rPr>
          <w:spacing w:val="-2"/>
        </w:rPr>
        <w:t> </w:t>
      </w:r>
      <w:r>
        <w:rPr/>
        <w:t>Pascoe,</w:t>
      </w:r>
      <w:r>
        <w:rPr>
          <w:spacing w:val="-4"/>
        </w:rPr>
        <w:t> </w:t>
      </w:r>
      <w:r>
        <w:rPr/>
        <w:t>J.H.,</w:t>
      </w:r>
      <w:r>
        <w:rPr>
          <w:spacing w:val="-2"/>
        </w:rPr>
        <w:t> </w:t>
      </w:r>
      <w:r>
        <w:rPr/>
        <w:t>Wintle,</w:t>
      </w:r>
      <w:r>
        <w:rPr>
          <w:spacing w:val="-4"/>
        </w:rPr>
        <w:t> </w:t>
      </w:r>
      <w:r>
        <w:rPr/>
        <w:t>B.A.,</w:t>
      </w:r>
      <w:r>
        <w:rPr>
          <w:spacing w:val="-2"/>
        </w:rPr>
        <w:t> </w:t>
      </w:r>
      <w:r>
        <w:rPr/>
        <w:t>Le</w:t>
      </w:r>
      <w:r>
        <w:rPr>
          <w:spacing w:val="-3"/>
        </w:rPr>
        <w:t> </w:t>
      </w:r>
      <w:r>
        <w:rPr/>
        <w:t>Pla,</w:t>
      </w:r>
      <w:r>
        <w:rPr>
          <w:spacing w:val="-2"/>
        </w:rPr>
        <w:t> </w:t>
      </w:r>
      <w:r>
        <w:rPr/>
        <w:t>M.,</w:t>
      </w:r>
      <w:r>
        <w:rPr>
          <w:spacing w:val="-2"/>
        </w:rPr>
        <w:t> </w:t>
      </w:r>
      <w:r>
        <w:rPr/>
        <w:t>Birnbaum,</w:t>
      </w:r>
      <w:r>
        <w:rPr>
          <w:spacing w:val="-2"/>
        </w:rPr>
        <w:t> </w:t>
      </w:r>
      <w:r>
        <w:rPr/>
        <w:t>E.K.</w:t>
      </w:r>
      <w:r>
        <w:rPr>
          <w:spacing w:val="-4"/>
        </w:rPr>
        <w:t> </w:t>
      </w:r>
      <w:r>
        <w:rPr/>
        <w:t>and</w:t>
      </w:r>
      <w:r>
        <w:rPr>
          <w:spacing w:val="-4"/>
        </w:rPr>
        <w:t> </w:t>
      </w:r>
      <w:r>
        <w:rPr/>
        <w:t>Hradsky,</w:t>
      </w:r>
      <w:r>
        <w:rPr>
          <w:spacing w:val="-4"/>
        </w:rPr>
        <w:t> </w:t>
      </w:r>
      <w:r>
        <w:rPr/>
        <w:t>B.</w:t>
      </w:r>
      <w:r>
        <w:rPr>
          <w:spacing w:val="-4"/>
        </w:rPr>
        <w:t> </w:t>
      </w:r>
      <w:r>
        <w:rPr/>
        <w:t>(2019).</w:t>
      </w:r>
      <w:r>
        <w:rPr>
          <w:spacing w:val="-4"/>
        </w:rPr>
        <w:t> </w:t>
      </w:r>
      <w:r>
        <w:rPr/>
        <w:t>Unexpectedly high densities of feral cats in a rugged temperate forest. </w:t>
      </w:r>
      <w:r>
        <w:rPr>
          <w:i/>
        </w:rPr>
        <w:t>Biological Conservation </w:t>
      </w:r>
      <w:r>
        <w:rPr>
          <w:b/>
        </w:rPr>
        <w:t>239</w:t>
      </w:r>
      <w:r>
        <w:rPr/>
        <w:t>, 108287 </w:t>
      </w:r>
      <w:hyperlink r:id="rId81">
        <w:r>
          <w:rPr>
            <w:color w:val="0000FF"/>
            <w:spacing w:val="-2"/>
            <w:u w:val="single" w:color="0000FF"/>
          </w:rPr>
          <w:t>https://doi.org/10.1016/j.biocon.2019.108287</w:t>
        </w:r>
      </w:hyperlink>
    </w:p>
    <w:p>
      <w:pPr>
        <w:pStyle w:val="BodyText"/>
        <w:spacing w:line="276" w:lineRule="auto" w:before="118"/>
        <w:ind w:left="1841" w:right="1215" w:hanging="709"/>
      </w:pPr>
      <w:r>
        <w:rPr/>
        <w:t>Rees,</w:t>
      </w:r>
      <w:r>
        <w:rPr>
          <w:spacing w:val="-4"/>
        </w:rPr>
        <w:t> </w:t>
      </w:r>
      <w:r>
        <w:rPr/>
        <w:t>M.W.,</w:t>
      </w:r>
      <w:r>
        <w:rPr>
          <w:spacing w:val="-2"/>
        </w:rPr>
        <w:t> </w:t>
      </w:r>
      <w:r>
        <w:rPr/>
        <w:t>Pascoe,</w:t>
      </w:r>
      <w:r>
        <w:rPr>
          <w:spacing w:val="-4"/>
        </w:rPr>
        <w:t> </w:t>
      </w:r>
      <w:r>
        <w:rPr/>
        <w:t>J.H.,</w:t>
      </w:r>
      <w:r>
        <w:rPr>
          <w:spacing w:val="-2"/>
        </w:rPr>
        <w:t> </w:t>
      </w:r>
      <w:r>
        <w:rPr/>
        <w:t>Wintle,</w:t>
      </w:r>
      <w:r>
        <w:rPr>
          <w:spacing w:val="-4"/>
        </w:rPr>
        <w:t> </w:t>
      </w:r>
      <w:r>
        <w:rPr/>
        <w:t>B.A., Robley,</w:t>
      </w:r>
      <w:r>
        <w:rPr>
          <w:spacing w:val="-2"/>
        </w:rPr>
        <w:t> </w:t>
      </w:r>
      <w:r>
        <w:rPr/>
        <w:t>A.,</w:t>
      </w:r>
      <w:r>
        <w:rPr>
          <w:spacing w:val="-2"/>
        </w:rPr>
        <w:t> </w:t>
      </w:r>
      <w:r>
        <w:rPr/>
        <w:t>Pascoe,</w:t>
      </w:r>
      <w:r>
        <w:rPr>
          <w:spacing w:val="-4"/>
        </w:rPr>
        <w:t> </w:t>
      </w:r>
      <w:r>
        <w:rPr/>
        <w:t>J.,</w:t>
      </w:r>
      <w:r>
        <w:rPr>
          <w:spacing w:val="-2"/>
        </w:rPr>
        <w:t> </w:t>
      </w:r>
      <w:r>
        <w:rPr/>
        <w:t>Le</w:t>
      </w:r>
      <w:r>
        <w:rPr>
          <w:spacing w:val="-3"/>
        </w:rPr>
        <w:t> </w:t>
      </w:r>
      <w:r>
        <w:rPr/>
        <w:t>Pla,</w:t>
      </w:r>
      <w:r>
        <w:rPr>
          <w:spacing w:val="-2"/>
        </w:rPr>
        <w:t> </w:t>
      </w:r>
      <w:r>
        <w:rPr/>
        <w:t>M.,</w:t>
      </w:r>
      <w:r>
        <w:rPr>
          <w:spacing w:val="-2"/>
        </w:rPr>
        <w:t> </w:t>
      </w:r>
      <w:r>
        <w:rPr/>
        <w:t>Birnbaum,</w:t>
      </w:r>
      <w:r>
        <w:rPr>
          <w:spacing w:val="-2"/>
        </w:rPr>
        <w:t> </w:t>
      </w:r>
      <w:r>
        <w:rPr/>
        <w:t>E.K.</w:t>
      </w:r>
      <w:r>
        <w:rPr>
          <w:spacing w:val="-4"/>
        </w:rPr>
        <w:t> </w:t>
      </w:r>
      <w:r>
        <w:rPr/>
        <w:t>and</w:t>
      </w:r>
      <w:r>
        <w:rPr>
          <w:spacing w:val="-4"/>
        </w:rPr>
        <w:t> </w:t>
      </w:r>
      <w:r>
        <w:rPr/>
        <w:t>Hradsky,</w:t>
      </w:r>
      <w:r>
        <w:rPr>
          <w:spacing w:val="-4"/>
        </w:rPr>
        <w:t> </w:t>
      </w:r>
      <w:r>
        <w:rPr/>
        <w:t>B. (2023a). Fox control and fire influence the occurrence of invasive predators and threatened native prey. </w:t>
      </w:r>
      <w:r>
        <w:rPr>
          <w:i/>
        </w:rPr>
        <w:t>Biological Invasions </w:t>
      </w:r>
      <w:r>
        <w:rPr>
          <w:b/>
        </w:rPr>
        <w:t>26</w:t>
      </w:r>
      <w:r>
        <w:rPr/>
        <w:t>, 685–703 </w:t>
      </w:r>
      <w:hyperlink r:id="rId82">
        <w:r>
          <w:rPr>
            <w:color w:val="0000FF"/>
            <w:u w:val="single" w:color="0000FF"/>
          </w:rPr>
          <w:t>https://doi.org/10.1007/s10530-023-03200-6</w:t>
        </w:r>
      </w:hyperlink>
    </w:p>
    <w:p>
      <w:pPr>
        <w:pStyle w:val="BodyText"/>
        <w:spacing w:before="121"/>
        <w:ind w:left="1132"/>
      </w:pPr>
      <w:r>
        <w:rPr/>
        <w:t>Rees,</w:t>
      </w:r>
      <w:r>
        <w:rPr>
          <w:spacing w:val="-7"/>
        </w:rPr>
        <w:t> </w:t>
      </w:r>
      <w:r>
        <w:rPr/>
        <w:t>M.W.,</w:t>
      </w:r>
      <w:r>
        <w:rPr>
          <w:spacing w:val="-4"/>
        </w:rPr>
        <w:t> </w:t>
      </w:r>
      <w:r>
        <w:rPr/>
        <w:t>Pascoe,</w:t>
      </w:r>
      <w:r>
        <w:rPr>
          <w:spacing w:val="-6"/>
        </w:rPr>
        <w:t> </w:t>
      </w:r>
      <w:r>
        <w:rPr/>
        <w:t>J.H.,</w:t>
      </w:r>
      <w:r>
        <w:rPr>
          <w:spacing w:val="-4"/>
        </w:rPr>
        <w:t> </w:t>
      </w:r>
      <w:r>
        <w:rPr/>
        <w:t>Le</w:t>
      </w:r>
      <w:r>
        <w:rPr>
          <w:spacing w:val="-7"/>
        </w:rPr>
        <w:t> </w:t>
      </w:r>
      <w:r>
        <w:rPr/>
        <w:t>Pla,</w:t>
      </w:r>
      <w:r>
        <w:rPr>
          <w:spacing w:val="-2"/>
        </w:rPr>
        <w:t> </w:t>
      </w:r>
      <w:r>
        <w:rPr/>
        <w:t>Robley,</w:t>
      </w:r>
      <w:r>
        <w:rPr>
          <w:spacing w:val="-4"/>
        </w:rPr>
        <w:t> </w:t>
      </w:r>
      <w:r>
        <w:rPr/>
        <w:t>A.,</w:t>
      </w:r>
      <w:r>
        <w:rPr>
          <w:spacing w:val="-4"/>
        </w:rPr>
        <w:t> </w:t>
      </w:r>
      <w:r>
        <w:rPr/>
        <w:t>M.,</w:t>
      </w:r>
      <w:r>
        <w:rPr>
          <w:spacing w:val="-4"/>
        </w:rPr>
        <w:t> </w:t>
      </w:r>
      <w:r>
        <w:rPr/>
        <w:t>Birnbaum,</w:t>
      </w:r>
      <w:r>
        <w:rPr>
          <w:spacing w:val="-6"/>
        </w:rPr>
        <w:t> </w:t>
      </w:r>
      <w:r>
        <w:rPr/>
        <w:t>E.K.,</w:t>
      </w:r>
      <w:r>
        <w:rPr>
          <w:spacing w:val="-4"/>
        </w:rPr>
        <w:t> </w:t>
      </w:r>
      <w:r>
        <w:rPr/>
        <w:t>Wintle,</w:t>
      </w:r>
      <w:r>
        <w:rPr>
          <w:spacing w:val="-5"/>
        </w:rPr>
        <w:t> </w:t>
      </w:r>
      <w:r>
        <w:rPr/>
        <w:t>B.A.</w:t>
      </w:r>
      <w:r>
        <w:rPr>
          <w:spacing w:val="-6"/>
        </w:rPr>
        <w:t> </w:t>
      </w:r>
      <w:r>
        <w:rPr/>
        <w:t>and</w:t>
      </w:r>
      <w:r>
        <w:rPr>
          <w:spacing w:val="-6"/>
        </w:rPr>
        <w:t> </w:t>
      </w:r>
      <w:r>
        <w:rPr/>
        <w:t>Hradsky,</w:t>
      </w:r>
      <w:r>
        <w:rPr>
          <w:spacing w:val="-6"/>
        </w:rPr>
        <w:t> </w:t>
      </w:r>
      <w:r>
        <w:rPr/>
        <w:t>B.</w:t>
      </w:r>
      <w:r>
        <w:rPr>
          <w:spacing w:val="-4"/>
        </w:rPr>
        <w:t> </w:t>
      </w:r>
      <w:r>
        <w:rPr>
          <w:spacing w:val="-2"/>
        </w:rPr>
        <w:t>(2023b).</w:t>
      </w:r>
    </w:p>
    <w:p>
      <w:pPr>
        <w:pStyle w:val="BodyText"/>
        <w:spacing w:line="276" w:lineRule="auto" w:before="34"/>
        <w:ind w:left="1841" w:right="1140"/>
      </w:pPr>
      <w:r>
        <w:rPr/>
        <w:t>Mesopredator</w:t>
      </w:r>
      <w:r>
        <w:rPr>
          <w:spacing w:val="-3"/>
        </w:rPr>
        <w:t> </w:t>
      </w:r>
      <w:r>
        <w:rPr/>
        <w:t>release</w:t>
      </w:r>
      <w:r>
        <w:rPr>
          <w:spacing w:val="-4"/>
        </w:rPr>
        <w:t> </w:t>
      </w:r>
      <w:r>
        <w:rPr/>
        <w:t>among</w:t>
      </w:r>
      <w:r>
        <w:rPr>
          <w:spacing w:val="-5"/>
        </w:rPr>
        <w:t> </w:t>
      </w:r>
      <w:r>
        <w:rPr/>
        <w:t>invasive</w:t>
      </w:r>
      <w:r>
        <w:rPr>
          <w:spacing w:val="-4"/>
        </w:rPr>
        <w:t> </w:t>
      </w:r>
      <w:r>
        <w:rPr/>
        <w:t>predators:</w:t>
      </w:r>
      <w:r>
        <w:rPr>
          <w:spacing w:val="-4"/>
        </w:rPr>
        <w:t> </w:t>
      </w:r>
      <w:r>
        <w:rPr/>
        <w:t>Controlling</w:t>
      </w:r>
      <w:r>
        <w:rPr>
          <w:spacing w:val="-2"/>
        </w:rPr>
        <w:t> </w:t>
      </w:r>
      <w:r>
        <w:rPr/>
        <w:t>red</w:t>
      </w:r>
      <w:r>
        <w:rPr>
          <w:spacing w:val="-5"/>
        </w:rPr>
        <w:t> </w:t>
      </w:r>
      <w:r>
        <w:rPr/>
        <w:t>foxes</w:t>
      </w:r>
      <w:r>
        <w:rPr>
          <w:spacing w:val="-3"/>
        </w:rPr>
        <w:t> </w:t>
      </w:r>
      <w:r>
        <w:rPr/>
        <w:t>can</w:t>
      </w:r>
      <w:r>
        <w:rPr>
          <w:spacing w:val="-5"/>
        </w:rPr>
        <w:t> </w:t>
      </w:r>
      <w:r>
        <w:rPr/>
        <w:t>increase</w:t>
      </w:r>
      <w:r>
        <w:rPr>
          <w:spacing w:val="-4"/>
        </w:rPr>
        <w:t> </w:t>
      </w:r>
      <w:r>
        <w:rPr/>
        <w:t>feral</w:t>
      </w:r>
      <w:r>
        <w:rPr>
          <w:spacing w:val="-5"/>
        </w:rPr>
        <w:t> </w:t>
      </w:r>
      <w:r>
        <w:rPr/>
        <w:t>cat</w:t>
      </w:r>
      <w:r>
        <w:rPr>
          <w:spacing w:val="-4"/>
        </w:rPr>
        <w:t> </w:t>
      </w:r>
      <w:r>
        <w:rPr/>
        <w:t>density and alter their behaviour. </w:t>
      </w:r>
      <w:r>
        <w:rPr>
          <w:i/>
        </w:rPr>
        <w:t>Journal of Applied Ecology </w:t>
      </w:r>
      <w:r>
        <w:rPr>
          <w:b/>
        </w:rPr>
        <w:t>60</w:t>
      </w:r>
      <w:r>
        <w:rPr/>
        <w:t>,1100–1114 </w:t>
      </w:r>
      <w:hyperlink r:id="rId83">
        <w:r>
          <w:rPr>
            <w:color w:val="0000FF"/>
            <w:u w:val="single" w:color="0000FF"/>
          </w:rPr>
          <w:t>https://doi.org/10.1111/1365-</w:t>
        </w:r>
      </w:hyperlink>
      <w:hyperlink r:id="rId83">
        <w:r>
          <w:rPr>
            <w:color w:val="0000FF"/>
            <w:spacing w:val="-2"/>
            <w:u w:val="single" w:color="0000FF"/>
          </w:rPr>
          <w:t>2664.14402</w:t>
        </w:r>
      </w:hyperlink>
    </w:p>
    <w:p>
      <w:pPr>
        <w:spacing w:line="276" w:lineRule="auto" w:before="122"/>
        <w:ind w:left="1841" w:right="1215" w:hanging="709"/>
        <w:jc w:val="left"/>
        <w:rPr>
          <w:sz w:val="20"/>
        </w:rPr>
      </w:pPr>
      <w:r>
        <w:rPr>
          <w:sz w:val="20"/>
        </w:rPr>
        <w:t>Riley,</w:t>
      </w:r>
      <w:r>
        <w:rPr>
          <w:spacing w:val="-5"/>
          <w:sz w:val="20"/>
        </w:rPr>
        <w:t> </w:t>
      </w:r>
      <w:r>
        <w:rPr>
          <w:sz w:val="20"/>
        </w:rPr>
        <w:t>S.J.,</w:t>
      </w:r>
      <w:r>
        <w:rPr>
          <w:spacing w:val="-3"/>
          <w:sz w:val="20"/>
        </w:rPr>
        <w:t> </w:t>
      </w:r>
      <w:r>
        <w:rPr>
          <w:sz w:val="20"/>
        </w:rPr>
        <w:t>DeGloria,</w:t>
      </w:r>
      <w:r>
        <w:rPr>
          <w:spacing w:val="-3"/>
          <w:sz w:val="20"/>
        </w:rPr>
        <w:t> </w:t>
      </w:r>
      <w:r>
        <w:rPr>
          <w:sz w:val="20"/>
        </w:rPr>
        <w:t>S.D.</w:t>
      </w:r>
      <w:r>
        <w:rPr>
          <w:spacing w:val="-3"/>
          <w:sz w:val="20"/>
        </w:rPr>
        <w:t> </w:t>
      </w:r>
      <w:r>
        <w:rPr>
          <w:sz w:val="20"/>
        </w:rPr>
        <w:t>and</w:t>
      </w:r>
      <w:r>
        <w:rPr>
          <w:spacing w:val="-3"/>
          <w:sz w:val="20"/>
        </w:rPr>
        <w:t> </w:t>
      </w:r>
      <w:r>
        <w:rPr>
          <w:sz w:val="20"/>
        </w:rPr>
        <w:t>Elliot,</w:t>
      </w:r>
      <w:r>
        <w:rPr>
          <w:spacing w:val="-5"/>
          <w:sz w:val="20"/>
        </w:rPr>
        <w:t> </w:t>
      </w:r>
      <w:r>
        <w:rPr>
          <w:sz w:val="20"/>
        </w:rPr>
        <w:t>R.</w:t>
      </w:r>
      <w:r>
        <w:rPr>
          <w:spacing w:val="-3"/>
          <w:sz w:val="20"/>
        </w:rPr>
        <w:t> </w:t>
      </w:r>
      <w:r>
        <w:rPr>
          <w:sz w:val="20"/>
        </w:rPr>
        <w:t>(1999).</w:t>
      </w:r>
      <w:r>
        <w:rPr>
          <w:spacing w:val="-5"/>
          <w:sz w:val="20"/>
        </w:rPr>
        <w:t> </w:t>
      </w:r>
      <w:r>
        <w:rPr>
          <w:sz w:val="20"/>
        </w:rPr>
        <w:t>A</w:t>
      </w:r>
      <w:r>
        <w:rPr>
          <w:spacing w:val="-3"/>
          <w:sz w:val="20"/>
        </w:rPr>
        <w:t> </w:t>
      </w:r>
      <w:r>
        <w:rPr>
          <w:sz w:val="20"/>
        </w:rPr>
        <w:t>terrain</w:t>
      </w:r>
      <w:r>
        <w:rPr>
          <w:spacing w:val="-5"/>
          <w:sz w:val="20"/>
        </w:rPr>
        <w:t> </w:t>
      </w:r>
      <w:r>
        <w:rPr>
          <w:sz w:val="20"/>
        </w:rPr>
        <w:t>ruggedness</w:t>
      </w:r>
      <w:r>
        <w:rPr>
          <w:spacing w:val="-4"/>
          <w:sz w:val="20"/>
        </w:rPr>
        <w:t> </w:t>
      </w:r>
      <w:r>
        <w:rPr>
          <w:sz w:val="20"/>
        </w:rPr>
        <w:t>that</w:t>
      </w:r>
      <w:r>
        <w:rPr>
          <w:spacing w:val="-3"/>
          <w:sz w:val="20"/>
        </w:rPr>
        <w:t> </w:t>
      </w:r>
      <w:r>
        <w:rPr>
          <w:sz w:val="20"/>
        </w:rPr>
        <w:t>quantifies</w:t>
      </w:r>
      <w:r>
        <w:rPr>
          <w:spacing w:val="-4"/>
          <w:sz w:val="20"/>
        </w:rPr>
        <w:t> </w:t>
      </w:r>
      <w:r>
        <w:rPr>
          <w:sz w:val="20"/>
        </w:rPr>
        <w:t>topographic heterogeneity. </w:t>
      </w:r>
      <w:r>
        <w:rPr>
          <w:i/>
          <w:sz w:val="20"/>
        </w:rPr>
        <w:t>Intermountain Journal of Sciences </w:t>
      </w:r>
      <w:r>
        <w:rPr>
          <w:b/>
          <w:sz w:val="20"/>
        </w:rPr>
        <w:t>5</w:t>
      </w:r>
      <w:r>
        <w:rPr>
          <w:sz w:val="20"/>
        </w:rPr>
        <w:t>, 23–27.</w:t>
      </w:r>
    </w:p>
    <w:p>
      <w:pPr>
        <w:spacing w:line="276" w:lineRule="auto" w:before="119"/>
        <w:ind w:left="1841" w:right="1215" w:hanging="709"/>
        <w:jc w:val="left"/>
        <w:rPr>
          <w:sz w:val="20"/>
        </w:rPr>
      </w:pPr>
      <w:r>
        <w:rPr>
          <w:sz w:val="20"/>
        </w:rPr>
        <w:t>Robley, A. Gormley, A., Albert, R., Bowd, M., Hatfield, C., McDonald, R., Thorp, A., Scroggie, M., Smith, A. and</w:t>
      </w:r>
      <w:r>
        <w:rPr>
          <w:spacing w:val="-1"/>
          <w:sz w:val="20"/>
        </w:rPr>
        <w:t> </w:t>
      </w:r>
      <w:r>
        <w:rPr>
          <w:sz w:val="20"/>
        </w:rPr>
        <w:t>Warton,</w:t>
      </w:r>
      <w:r>
        <w:rPr>
          <w:spacing w:val="-3"/>
          <w:sz w:val="20"/>
        </w:rPr>
        <w:t> </w:t>
      </w:r>
      <w:r>
        <w:rPr>
          <w:sz w:val="20"/>
        </w:rPr>
        <w:t>F.</w:t>
      </w:r>
      <w:r>
        <w:rPr>
          <w:spacing w:val="-3"/>
          <w:sz w:val="20"/>
        </w:rPr>
        <w:t> </w:t>
      </w:r>
      <w:r>
        <w:rPr>
          <w:sz w:val="20"/>
        </w:rPr>
        <w:t>(2011). </w:t>
      </w:r>
      <w:r>
        <w:rPr>
          <w:i/>
          <w:sz w:val="20"/>
        </w:rPr>
        <w:t>Glenelg</w:t>
      </w:r>
      <w:r>
        <w:rPr>
          <w:i/>
          <w:spacing w:val="-3"/>
          <w:sz w:val="20"/>
        </w:rPr>
        <w:t> </w:t>
      </w:r>
      <w:r>
        <w:rPr>
          <w:i/>
          <w:sz w:val="20"/>
        </w:rPr>
        <w:t>Ark</w:t>
      </w:r>
      <w:r>
        <w:rPr>
          <w:i/>
          <w:spacing w:val="-2"/>
          <w:sz w:val="20"/>
        </w:rPr>
        <w:t> </w:t>
      </w:r>
      <w:r>
        <w:rPr>
          <w:i/>
          <w:sz w:val="20"/>
        </w:rPr>
        <w:t>2005–2010: Evidence</w:t>
      </w:r>
      <w:r>
        <w:rPr>
          <w:i/>
          <w:spacing w:val="-3"/>
          <w:sz w:val="20"/>
        </w:rPr>
        <w:t> </w:t>
      </w:r>
      <w:r>
        <w:rPr>
          <w:i/>
          <w:sz w:val="20"/>
        </w:rPr>
        <w:t>of</w:t>
      </w:r>
      <w:r>
        <w:rPr>
          <w:i/>
          <w:spacing w:val="-3"/>
          <w:sz w:val="20"/>
        </w:rPr>
        <w:t> </w:t>
      </w:r>
      <w:r>
        <w:rPr>
          <w:i/>
          <w:sz w:val="20"/>
        </w:rPr>
        <w:t>sustained</w:t>
      </w:r>
      <w:r>
        <w:rPr>
          <w:i/>
          <w:spacing w:val="-4"/>
          <w:sz w:val="20"/>
        </w:rPr>
        <w:t> </w:t>
      </w:r>
      <w:r>
        <w:rPr>
          <w:i/>
          <w:sz w:val="20"/>
        </w:rPr>
        <w:t>control</w:t>
      </w:r>
      <w:r>
        <w:rPr>
          <w:i/>
          <w:spacing w:val="-2"/>
          <w:sz w:val="20"/>
        </w:rPr>
        <w:t> </w:t>
      </w:r>
      <w:r>
        <w:rPr>
          <w:i/>
          <w:sz w:val="20"/>
        </w:rPr>
        <w:t>of</w:t>
      </w:r>
      <w:r>
        <w:rPr>
          <w:i/>
          <w:spacing w:val="-3"/>
          <w:sz w:val="20"/>
        </w:rPr>
        <w:t> </w:t>
      </w:r>
      <w:r>
        <w:rPr>
          <w:i/>
          <w:sz w:val="20"/>
        </w:rPr>
        <w:t>foxes</w:t>
      </w:r>
      <w:r>
        <w:rPr>
          <w:i/>
          <w:spacing w:val="-2"/>
          <w:sz w:val="20"/>
        </w:rPr>
        <w:t> </w:t>
      </w:r>
      <w:r>
        <w:rPr>
          <w:i/>
          <w:sz w:val="20"/>
        </w:rPr>
        <w:t>and</w:t>
      </w:r>
      <w:r>
        <w:rPr>
          <w:i/>
          <w:spacing w:val="-1"/>
          <w:sz w:val="20"/>
        </w:rPr>
        <w:t> </w:t>
      </w:r>
      <w:r>
        <w:rPr>
          <w:i/>
          <w:sz w:val="20"/>
        </w:rPr>
        <w:t>benefits</w:t>
      </w:r>
      <w:r>
        <w:rPr>
          <w:i/>
          <w:sz w:val="20"/>
        </w:rPr>
        <w:t> for</w:t>
      </w:r>
      <w:r>
        <w:rPr>
          <w:i/>
          <w:spacing w:val="-9"/>
          <w:sz w:val="20"/>
        </w:rPr>
        <w:t> </w:t>
      </w:r>
      <w:r>
        <w:rPr>
          <w:i/>
          <w:sz w:val="20"/>
        </w:rPr>
        <w:t>native</w:t>
      </w:r>
      <w:r>
        <w:rPr>
          <w:i/>
          <w:spacing w:val="-9"/>
          <w:sz w:val="20"/>
        </w:rPr>
        <w:t> </w:t>
      </w:r>
      <w:r>
        <w:rPr>
          <w:i/>
          <w:sz w:val="20"/>
        </w:rPr>
        <w:t>mammals</w:t>
      </w:r>
      <w:r>
        <w:rPr>
          <w:sz w:val="20"/>
        </w:rPr>
        <w:t>.</w:t>
      </w:r>
      <w:r>
        <w:rPr>
          <w:spacing w:val="-6"/>
          <w:sz w:val="20"/>
        </w:rPr>
        <w:t> </w:t>
      </w:r>
      <w:r>
        <w:rPr>
          <w:sz w:val="20"/>
        </w:rPr>
        <w:t>Arthur</w:t>
      </w:r>
      <w:r>
        <w:rPr>
          <w:spacing w:val="-9"/>
          <w:sz w:val="20"/>
        </w:rPr>
        <w:t> </w:t>
      </w:r>
      <w:r>
        <w:rPr>
          <w:sz w:val="20"/>
        </w:rPr>
        <w:t>Rylah</w:t>
      </w:r>
      <w:r>
        <w:rPr>
          <w:spacing w:val="-8"/>
          <w:sz w:val="20"/>
        </w:rPr>
        <w:t> </w:t>
      </w:r>
      <w:r>
        <w:rPr>
          <w:sz w:val="20"/>
        </w:rPr>
        <w:t>Institute</w:t>
      </w:r>
      <w:r>
        <w:rPr>
          <w:spacing w:val="-7"/>
          <w:sz w:val="20"/>
        </w:rPr>
        <w:t> </w:t>
      </w:r>
      <w:r>
        <w:rPr>
          <w:sz w:val="20"/>
        </w:rPr>
        <w:t>for</w:t>
      </w:r>
      <w:r>
        <w:rPr>
          <w:spacing w:val="-9"/>
          <w:sz w:val="20"/>
        </w:rPr>
        <w:t> </w:t>
      </w:r>
      <w:r>
        <w:rPr>
          <w:sz w:val="20"/>
        </w:rPr>
        <w:t>Environmental</w:t>
      </w:r>
      <w:r>
        <w:rPr>
          <w:spacing w:val="-9"/>
          <w:sz w:val="20"/>
        </w:rPr>
        <w:t> </w:t>
      </w:r>
      <w:r>
        <w:rPr>
          <w:sz w:val="20"/>
        </w:rPr>
        <w:t>Research</w:t>
      </w:r>
      <w:r>
        <w:rPr>
          <w:spacing w:val="-9"/>
          <w:sz w:val="20"/>
        </w:rPr>
        <w:t> </w:t>
      </w:r>
      <w:r>
        <w:rPr>
          <w:sz w:val="20"/>
        </w:rPr>
        <w:t>Technical</w:t>
      </w:r>
      <w:r>
        <w:rPr>
          <w:spacing w:val="-7"/>
          <w:sz w:val="20"/>
        </w:rPr>
        <w:t> </w:t>
      </w:r>
      <w:r>
        <w:rPr>
          <w:sz w:val="20"/>
        </w:rPr>
        <w:t>Report</w:t>
      </w:r>
      <w:r>
        <w:rPr>
          <w:spacing w:val="-6"/>
          <w:sz w:val="20"/>
        </w:rPr>
        <w:t> </w:t>
      </w:r>
      <w:r>
        <w:rPr>
          <w:sz w:val="20"/>
        </w:rPr>
        <w:t>Series</w:t>
      </w:r>
      <w:r>
        <w:rPr>
          <w:spacing w:val="-8"/>
          <w:sz w:val="20"/>
        </w:rPr>
        <w:t> </w:t>
      </w:r>
      <w:r>
        <w:rPr>
          <w:spacing w:val="-5"/>
          <w:sz w:val="20"/>
        </w:rPr>
        <w:t>No.</w:t>
      </w:r>
    </w:p>
    <w:p>
      <w:pPr>
        <w:pStyle w:val="BodyText"/>
        <w:spacing w:before="1"/>
        <w:ind w:left="1841"/>
      </w:pPr>
      <w:r>
        <w:rPr/>
        <w:t>226.</w:t>
      </w:r>
      <w:r>
        <w:rPr>
          <w:spacing w:val="-10"/>
        </w:rPr>
        <w:t> </w:t>
      </w:r>
      <w:r>
        <w:rPr/>
        <w:t>Department</w:t>
      </w:r>
      <w:r>
        <w:rPr>
          <w:spacing w:val="-11"/>
        </w:rPr>
        <w:t> </w:t>
      </w:r>
      <w:r>
        <w:rPr/>
        <w:t>of</w:t>
      </w:r>
      <w:r>
        <w:rPr>
          <w:spacing w:val="-10"/>
        </w:rPr>
        <w:t> </w:t>
      </w:r>
      <w:r>
        <w:rPr/>
        <w:t>Sustainability</w:t>
      </w:r>
      <w:r>
        <w:rPr>
          <w:spacing w:val="-8"/>
        </w:rPr>
        <w:t> </w:t>
      </w:r>
      <w:r>
        <w:rPr/>
        <w:t>and</w:t>
      </w:r>
      <w:r>
        <w:rPr>
          <w:spacing w:val="-10"/>
        </w:rPr>
        <w:t> </w:t>
      </w:r>
      <w:r>
        <w:rPr/>
        <w:t>Environment,</w:t>
      </w:r>
      <w:r>
        <w:rPr>
          <w:spacing w:val="-9"/>
        </w:rPr>
        <w:t> </w:t>
      </w:r>
      <w:r>
        <w:rPr/>
        <w:t>Heidelberg,</w:t>
      </w:r>
      <w:r>
        <w:rPr>
          <w:spacing w:val="-12"/>
        </w:rPr>
        <w:t> </w:t>
      </w:r>
      <w:r>
        <w:rPr>
          <w:spacing w:val="-2"/>
        </w:rPr>
        <w:t>Victoria</w:t>
      </w:r>
    </w:p>
    <w:p>
      <w:pPr>
        <w:spacing w:line="276" w:lineRule="auto" w:before="154"/>
        <w:ind w:left="1841" w:right="1167" w:hanging="709"/>
        <w:jc w:val="left"/>
        <w:rPr>
          <w:sz w:val="20"/>
        </w:rPr>
      </w:pPr>
      <w:r>
        <w:rPr>
          <w:sz w:val="20"/>
        </w:rPr>
        <w:t>Robley, A., Moloney, P., Moxham, C., Neave, G., Friend, G. and Fraser, I. (2016). </w:t>
      </w:r>
      <w:r>
        <w:rPr>
          <w:i/>
          <w:sz w:val="20"/>
        </w:rPr>
        <w:t>The effects of interaction</w:t>
      </w:r>
      <w:r>
        <w:rPr>
          <w:i/>
          <w:sz w:val="20"/>
        </w:rPr>
        <w:t> between planned burning and foxes on the presence of native mammals. </w:t>
      </w:r>
      <w:r>
        <w:rPr>
          <w:sz w:val="20"/>
        </w:rPr>
        <w:t>Arthur Rylah Institute for Environmental</w:t>
      </w:r>
      <w:r>
        <w:rPr>
          <w:spacing w:val="-6"/>
          <w:sz w:val="20"/>
        </w:rPr>
        <w:t> </w:t>
      </w:r>
      <w:r>
        <w:rPr>
          <w:sz w:val="20"/>
        </w:rPr>
        <w:t>Research</w:t>
      </w:r>
      <w:r>
        <w:rPr>
          <w:spacing w:val="-5"/>
          <w:sz w:val="20"/>
        </w:rPr>
        <w:t> </w:t>
      </w:r>
      <w:r>
        <w:rPr>
          <w:sz w:val="20"/>
        </w:rPr>
        <w:t>Technical</w:t>
      </w:r>
      <w:r>
        <w:rPr>
          <w:spacing w:val="-6"/>
          <w:sz w:val="20"/>
        </w:rPr>
        <w:t> </w:t>
      </w:r>
      <w:r>
        <w:rPr>
          <w:sz w:val="20"/>
        </w:rPr>
        <w:t>Report</w:t>
      </w:r>
      <w:r>
        <w:rPr>
          <w:spacing w:val="-3"/>
          <w:sz w:val="20"/>
        </w:rPr>
        <w:t> </w:t>
      </w:r>
      <w:r>
        <w:rPr>
          <w:sz w:val="20"/>
        </w:rPr>
        <w:t>Series</w:t>
      </w:r>
      <w:r>
        <w:rPr>
          <w:spacing w:val="-4"/>
          <w:sz w:val="20"/>
        </w:rPr>
        <w:t> </w:t>
      </w:r>
      <w:r>
        <w:rPr>
          <w:sz w:val="20"/>
        </w:rPr>
        <w:t>No.</w:t>
      </w:r>
      <w:r>
        <w:rPr>
          <w:spacing w:val="-3"/>
          <w:sz w:val="20"/>
        </w:rPr>
        <w:t> </w:t>
      </w:r>
      <w:r>
        <w:rPr>
          <w:sz w:val="20"/>
        </w:rPr>
        <w:t>273.</w:t>
      </w:r>
      <w:r>
        <w:rPr>
          <w:spacing w:val="-3"/>
          <w:sz w:val="20"/>
        </w:rPr>
        <w:t> </w:t>
      </w:r>
      <w:r>
        <w:rPr>
          <w:sz w:val="20"/>
        </w:rPr>
        <w:t>Department</w:t>
      </w:r>
      <w:r>
        <w:rPr>
          <w:spacing w:val="-5"/>
          <w:sz w:val="20"/>
        </w:rPr>
        <w:t> </w:t>
      </w:r>
      <w:r>
        <w:rPr>
          <w:sz w:val="20"/>
        </w:rPr>
        <w:t>of</w:t>
      </w:r>
      <w:r>
        <w:rPr>
          <w:spacing w:val="-3"/>
          <w:sz w:val="20"/>
        </w:rPr>
        <w:t> </w:t>
      </w:r>
      <w:r>
        <w:rPr>
          <w:sz w:val="20"/>
        </w:rPr>
        <w:t>Environment,</w:t>
      </w:r>
      <w:r>
        <w:rPr>
          <w:spacing w:val="-3"/>
          <w:sz w:val="20"/>
        </w:rPr>
        <w:t> </w:t>
      </w:r>
      <w:r>
        <w:rPr>
          <w:sz w:val="20"/>
        </w:rPr>
        <w:t>Land,</w:t>
      </w:r>
      <w:r>
        <w:rPr>
          <w:spacing w:val="-3"/>
          <w:sz w:val="20"/>
        </w:rPr>
        <w:t> </w:t>
      </w:r>
      <w:r>
        <w:rPr>
          <w:sz w:val="20"/>
        </w:rPr>
        <w:t>Water and Planning, Heidelberg, Victoria.</w:t>
      </w:r>
    </w:p>
    <w:p>
      <w:pPr>
        <w:pStyle w:val="BodyText"/>
        <w:spacing w:line="276" w:lineRule="auto" w:before="121"/>
        <w:ind w:left="1841" w:right="1133" w:hanging="709"/>
      </w:pPr>
      <w:r>
        <w:rPr/>
        <w:t>Robley,</w:t>
      </w:r>
      <w:r>
        <w:rPr>
          <w:spacing w:val="-4"/>
        </w:rPr>
        <w:t> </w:t>
      </w:r>
      <w:r>
        <w:rPr/>
        <w:t>A.,</w:t>
      </w:r>
      <w:r>
        <w:rPr>
          <w:spacing w:val="-4"/>
        </w:rPr>
        <w:t> </w:t>
      </w:r>
      <w:r>
        <w:rPr/>
        <w:t>Stringer,</w:t>
      </w:r>
      <w:r>
        <w:rPr>
          <w:spacing w:val="-4"/>
        </w:rPr>
        <w:t> </w:t>
      </w:r>
      <w:r>
        <w:rPr/>
        <w:t>L.</w:t>
      </w:r>
      <w:r>
        <w:rPr>
          <w:spacing w:val="-2"/>
        </w:rPr>
        <w:t> </w:t>
      </w:r>
      <w:r>
        <w:rPr/>
        <w:t>and</w:t>
      </w:r>
      <w:r>
        <w:rPr>
          <w:spacing w:val="-2"/>
        </w:rPr>
        <w:t> </w:t>
      </w:r>
      <w:r>
        <w:rPr/>
        <w:t>Hale,</w:t>
      </w:r>
      <w:r>
        <w:rPr>
          <w:spacing w:val="-4"/>
        </w:rPr>
        <w:t> </w:t>
      </w:r>
      <w:r>
        <w:rPr/>
        <w:t>R.</w:t>
      </w:r>
      <w:r>
        <w:rPr>
          <w:spacing w:val="-4"/>
        </w:rPr>
        <w:t> </w:t>
      </w:r>
      <w:r>
        <w:rPr/>
        <w:t>(2019). </w:t>
      </w:r>
      <w:r>
        <w:rPr>
          <w:i/>
        </w:rPr>
        <w:t>Glenelg</w:t>
      </w:r>
      <w:r>
        <w:rPr>
          <w:i/>
          <w:spacing w:val="-2"/>
        </w:rPr>
        <w:t> </w:t>
      </w:r>
      <w:r>
        <w:rPr>
          <w:i/>
        </w:rPr>
        <w:t>Ark</w:t>
      </w:r>
      <w:r>
        <w:rPr>
          <w:i/>
          <w:spacing w:val="-3"/>
        </w:rPr>
        <w:t> </w:t>
      </w:r>
      <w:r>
        <w:rPr>
          <w:i/>
        </w:rPr>
        <w:t>2005–2018</w:t>
      </w:r>
      <w:r>
        <w:rPr/>
        <w:t>.</w:t>
      </w:r>
      <w:r>
        <w:rPr>
          <w:spacing w:val="-2"/>
        </w:rPr>
        <w:t> </w:t>
      </w:r>
      <w:r>
        <w:rPr/>
        <w:t>Arthur</w:t>
      </w:r>
      <w:r>
        <w:rPr>
          <w:spacing w:val="-3"/>
        </w:rPr>
        <w:t> </w:t>
      </w:r>
      <w:r>
        <w:rPr/>
        <w:t>Rylah</w:t>
      </w:r>
      <w:r>
        <w:rPr>
          <w:spacing w:val="-2"/>
        </w:rPr>
        <w:t> </w:t>
      </w:r>
      <w:r>
        <w:rPr/>
        <w:t>Institute</w:t>
      </w:r>
      <w:r>
        <w:rPr>
          <w:spacing w:val="-5"/>
        </w:rPr>
        <w:t> </w:t>
      </w:r>
      <w:r>
        <w:rPr/>
        <w:t>for</w:t>
      </w:r>
      <w:r>
        <w:rPr>
          <w:spacing w:val="-4"/>
        </w:rPr>
        <w:t> </w:t>
      </w:r>
      <w:r>
        <w:rPr/>
        <w:t>Environmental Research Technical Report Series No. 297. Department of Environment, Land, Water and Planning, Heidelberg, Victoria.</w:t>
      </w:r>
    </w:p>
    <w:p>
      <w:pPr>
        <w:spacing w:line="276" w:lineRule="auto" w:before="118"/>
        <w:ind w:left="1841" w:right="1215" w:hanging="709"/>
        <w:jc w:val="left"/>
        <w:rPr>
          <w:sz w:val="20"/>
        </w:rPr>
      </w:pPr>
      <w:r>
        <w:rPr>
          <w:sz w:val="20"/>
        </w:rPr>
        <w:t>Robley,</w:t>
      </w:r>
      <w:r>
        <w:rPr>
          <w:spacing w:val="-4"/>
          <w:sz w:val="20"/>
        </w:rPr>
        <w:t> </w:t>
      </w:r>
      <w:r>
        <w:rPr>
          <w:sz w:val="20"/>
        </w:rPr>
        <w:t>A.,</w:t>
      </w:r>
      <w:r>
        <w:rPr>
          <w:spacing w:val="-4"/>
          <w:sz w:val="20"/>
        </w:rPr>
        <w:t> </w:t>
      </w:r>
      <w:r>
        <w:rPr>
          <w:sz w:val="20"/>
        </w:rPr>
        <w:t>Cally,</w:t>
      </w:r>
      <w:r>
        <w:rPr>
          <w:spacing w:val="-4"/>
          <w:sz w:val="20"/>
        </w:rPr>
        <w:t> </w:t>
      </w:r>
      <w:r>
        <w:rPr>
          <w:sz w:val="20"/>
        </w:rPr>
        <w:t>J.G.,</w:t>
      </w:r>
      <w:r>
        <w:rPr>
          <w:spacing w:val="-2"/>
          <w:sz w:val="20"/>
        </w:rPr>
        <w:t> </w:t>
      </w:r>
      <w:r>
        <w:rPr>
          <w:sz w:val="20"/>
        </w:rPr>
        <w:t>Murray,</w:t>
      </w:r>
      <w:r>
        <w:rPr>
          <w:spacing w:val="-4"/>
          <w:sz w:val="20"/>
        </w:rPr>
        <w:t> </w:t>
      </w:r>
      <w:r>
        <w:rPr>
          <w:sz w:val="20"/>
        </w:rPr>
        <w:t>A.,</w:t>
      </w:r>
      <w:r>
        <w:rPr>
          <w:spacing w:val="-2"/>
          <w:sz w:val="20"/>
        </w:rPr>
        <w:t> </w:t>
      </w:r>
      <w:r>
        <w:rPr>
          <w:sz w:val="20"/>
        </w:rPr>
        <w:t>Bluff,</w:t>
      </w:r>
      <w:r>
        <w:rPr>
          <w:spacing w:val="-2"/>
          <w:sz w:val="20"/>
        </w:rPr>
        <w:t> </w:t>
      </w:r>
      <w:r>
        <w:rPr>
          <w:sz w:val="20"/>
        </w:rPr>
        <w:t>L.,</w:t>
      </w:r>
      <w:r>
        <w:rPr>
          <w:spacing w:val="-4"/>
          <w:sz w:val="20"/>
        </w:rPr>
        <w:t> </w:t>
      </w:r>
      <w:r>
        <w:rPr>
          <w:sz w:val="20"/>
        </w:rPr>
        <w:t>Collyer,</w:t>
      </w:r>
      <w:r>
        <w:rPr>
          <w:spacing w:val="-4"/>
          <w:sz w:val="20"/>
        </w:rPr>
        <w:t> </w:t>
      </w:r>
      <w:r>
        <w:rPr>
          <w:sz w:val="20"/>
        </w:rPr>
        <w:t>A.,</w:t>
      </w:r>
      <w:r>
        <w:rPr>
          <w:spacing w:val="-4"/>
          <w:sz w:val="20"/>
        </w:rPr>
        <w:t> </w:t>
      </w:r>
      <w:r>
        <w:rPr>
          <w:sz w:val="20"/>
        </w:rPr>
        <w:t>Borg,</w:t>
      </w:r>
      <w:r>
        <w:rPr>
          <w:spacing w:val="-4"/>
          <w:sz w:val="20"/>
        </w:rPr>
        <w:t> </w:t>
      </w:r>
      <w:r>
        <w:rPr>
          <w:sz w:val="20"/>
        </w:rPr>
        <w:t>N.</w:t>
      </w:r>
      <w:r>
        <w:rPr>
          <w:spacing w:val="-2"/>
          <w:sz w:val="20"/>
        </w:rPr>
        <w:t> </w:t>
      </w:r>
      <w:r>
        <w:rPr>
          <w:sz w:val="20"/>
        </w:rPr>
        <w:t>and</w:t>
      </w:r>
      <w:r>
        <w:rPr>
          <w:spacing w:val="-2"/>
          <w:sz w:val="20"/>
        </w:rPr>
        <w:t> </w:t>
      </w:r>
      <w:r>
        <w:rPr>
          <w:sz w:val="20"/>
        </w:rPr>
        <w:t>Phillips,</w:t>
      </w:r>
      <w:r>
        <w:rPr>
          <w:spacing w:val="-4"/>
          <w:sz w:val="20"/>
        </w:rPr>
        <w:t> </w:t>
      </w:r>
      <w:r>
        <w:rPr>
          <w:sz w:val="20"/>
        </w:rPr>
        <w:t>L.</w:t>
      </w:r>
      <w:r>
        <w:rPr>
          <w:spacing w:val="-4"/>
          <w:sz w:val="20"/>
        </w:rPr>
        <w:t> </w:t>
      </w:r>
      <w:r>
        <w:rPr>
          <w:sz w:val="20"/>
        </w:rPr>
        <w:t>(2022). </w:t>
      </w:r>
      <w:r>
        <w:rPr>
          <w:i/>
          <w:sz w:val="20"/>
        </w:rPr>
        <w:t>The</w:t>
      </w:r>
      <w:r>
        <w:rPr>
          <w:i/>
          <w:spacing w:val="-4"/>
          <w:sz w:val="20"/>
        </w:rPr>
        <w:t> </w:t>
      </w:r>
      <w:r>
        <w:rPr>
          <w:i/>
          <w:sz w:val="20"/>
        </w:rPr>
        <w:t>response</w:t>
      </w:r>
      <w:r>
        <w:rPr>
          <w:i/>
          <w:spacing w:val="-4"/>
          <w:sz w:val="20"/>
        </w:rPr>
        <w:t> </w:t>
      </w:r>
      <w:r>
        <w:rPr>
          <w:i/>
          <w:sz w:val="20"/>
        </w:rPr>
        <w:t>of</w:t>
      </w:r>
      <w:r>
        <w:rPr>
          <w:i/>
          <w:sz w:val="20"/>
        </w:rPr>
        <w:t> native species to the 2019–20 bushfires and introduced predators in far East Gippsland</w:t>
      </w:r>
      <w:r>
        <w:rPr>
          <w:sz w:val="20"/>
        </w:rPr>
        <w:t>. Arthur Rylah Institute for Environmental Research Technical Report Series No. 329. Department of Environment, Land, Water and Planning, Heidelberg, Victoria.</w:t>
      </w:r>
    </w:p>
    <w:p>
      <w:pPr>
        <w:spacing w:before="121"/>
        <w:ind w:left="1132" w:right="0" w:firstLine="0"/>
        <w:jc w:val="left"/>
        <w:rPr>
          <w:i/>
          <w:sz w:val="20"/>
        </w:rPr>
      </w:pPr>
      <w:r>
        <w:rPr>
          <w:sz w:val="20"/>
        </w:rPr>
        <w:t>Robley,</w:t>
      </w:r>
      <w:r>
        <w:rPr>
          <w:spacing w:val="-8"/>
          <w:sz w:val="20"/>
        </w:rPr>
        <w:t> </w:t>
      </w:r>
      <w:r>
        <w:rPr>
          <w:sz w:val="20"/>
        </w:rPr>
        <w:t>A.,</w:t>
      </w:r>
      <w:r>
        <w:rPr>
          <w:spacing w:val="-8"/>
          <w:sz w:val="20"/>
        </w:rPr>
        <w:t> </w:t>
      </w:r>
      <w:r>
        <w:rPr>
          <w:sz w:val="20"/>
        </w:rPr>
        <w:t>Moloney,</w:t>
      </w:r>
      <w:r>
        <w:rPr>
          <w:spacing w:val="-5"/>
          <w:sz w:val="20"/>
        </w:rPr>
        <w:t> </w:t>
      </w:r>
      <w:r>
        <w:rPr>
          <w:sz w:val="20"/>
        </w:rPr>
        <w:t>P.D.</w:t>
      </w:r>
      <w:r>
        <w:rPr>
          <w:spacing w:val="-6"/>
          <w:sz w:val="20"/>
        </w:rPr>
        <w:t> </w:t>
      </w:r>
      <w:r>
        <w:rPr>
          <w:sz w:val="20"/>
        </w:rPr>
        <w:t>and</w:t>
      </w:r>
      <w:r>
        <w:rPr>
          <w:spacing w:val="-6"/>
          <w:sz w:val="20"/>
        </w:rPr>
        <w:t> </w:t>
      </w:r>
      <w:r>
        <w:rPr>
          <w:sz w:val="20"/>
        </w:rPr>
        <w:t>Le</w:t>
      </w:r>
      <w:r>
        <w:rPr>
          <w:spacing w:val="-9"/>
          <w:sz w:val="20"/>
        </w:rPr>
        <w:t> </w:t>
      </w:r>
      <w:r>
        <w:rPr>
          <w:sz w:val="20"/>
        </w:rPr>
        <w:t>Duc,</w:t>
      </w:r>
      <w:r>
        <w:rPr>
          <w:spacing w:val="-7"/>
          <w:sz w:val="20"/>
        </w:rPr>
        <w:t> </w:t>
      </w:r>
      <w:r>
        <w:rPr>
          <w:sz w:val="20"/>
        </w:rPr>
        <w:t>E.</w:t>
      </w:r>
      <w:r>
        <w:rPr>
          <w:spacing w:val="-8"/>
          <w:sz w:val="20"/>
        </w:rPr>
        <w:t> </w:t>
      </w:r>
      <w:r>
        <w:rPr>
          <w:sz w:val="20"/>
        </w:rPr>
        <w:t>(2023).</w:t>
      </w:r>
      <w:r>
        <w:rPr>
          <w:spacing w:val="-3"/>
          <w:sz w:val="20"/>
        </w:rPr>
        <w:t> </w:t>
      </w:r>
      <w:r>
        <w:rPr>
          <w:i/>
          <w:sz w:val="20"/>
        </w:rPr>
        <w:t>Glenelg</w:t>
      </w:r>
      <w:r>
        <w:rPr>
          <w:i/>
          <w:spacing w:val="-8"/>
          <w:sz w:val="20"/>
        </w:rPr>
        <w:t> </w:t>
      </w:r>
      <w:r>
        <w:rPr>
          <w:i/>
          <w:sz w:val="20"/>
        </w:rPr>
        <w:t>Ark—2022</w:t>
      </w:r>
      <w:r>
        <w:rPr>
          <w:i/>
          <w:spacing w:val="-5"/>
          <w:sz w:val="20"/>
        </w:rPr>
        <w:t> </w:t>
      </w:r>
      <w:r>
        <w:rPr>
          <w:i/>
          <w:sz w:val="20"/>
        </w:rPr>
        <w:t>monitoring</w:t>
      </w:r>
      <w:r>
        <w:rPr>
          <w:i/>
          <w:spacing w:val="-6"/>
          <w:sz w:val="20"/>
        </w:rPr>
        <w:t> </w:t>
      </w:r>
      <w:r>
        <w:rPr>
          <w:i/>
          <w:sz w:val="20"/>
        </w:rPr>
        <w:t>and</w:t>
      </w:r>
      <w:r>
        <w:rPr>
          <w:i/>
          <w:spacing w:val="-6"/>
          <w:sz w:val="20"/>
        </w:rPr>
        <w:t> </w:t>
      </w:r>
      <w:r>
        <w:rPr>
          <w:i/>
          <w:sz w:val="20"/>
        </w:rPr>
        <w:t>evaluation</w:t>
      </w:r>
      <w:r>
        <w:rPr>
          <w:i/>
          <w:spacing w:val="-7"/>
          <w:sz w:val="20"/>
        </w:rPr>
        <w:t> </w:t>
      </w:r>
      <w:r>
        <w:rPr>
          <w:i/>
          <w:spacing w:val="-2"/>
          <w:sz w:val="20"/>
        </w:rPr>
        <w:t>update.</w:t>
      </w:r>
    </w:p>
    <w:p>
      <w:pPr>
        <w:pStyle w:val="BodyText"/>
        <w:spacing w:line="278" w:lineRule="auto" w:before="34"/>
        <w:ind w:left="1841" w:right="1204"/>
      </w:pPr>
      <w:r>
        <w:rPr/>
        <w:t>Arthur</w:t>
      </w:r>
      <w:r>
        <w:rPr>
          <w:spacing w:val="-3"/>
        </w:rPr>
        <w:t> </w:t>
      </w:r>
      <w:r>
        <w:rPr/>
        <w:t>Rylah</w:t>
      </w:r>
      <w:r>
        <w:rPr>
          <w:spacing w:val="-5"/>
        </w:rPr>
        <w:t> </w:t>
      </w:r>
      <w:r>
        <w:rPr/>
        <w:t>Institute</w:t>
      </w:r>
      <w:r>
        <w:rPr>
          <w:spacing w:val="-5"/>
        </w:rPr>
        <w:t> </w:t>
      </w:r>
      <w:r>
        <w:rPr/>
        <w:t>for</w:t>
      </w:r>
      <w:r>
        <w:rPr>
          <w:spacing w:val="-4"/>
        </w:rPr>
        <w:t> </w:t>
      </w:r>
      <w:r>
        <w:rPr/>
        <w:t>Environmental</w:t>
      </w:r>
      <w:r>
        <w:rPr>
          <w:spacing w:val="-5"/>
        </w:rPr>
        <w:t> </w:t>
      </w:r>
      <w:r>
        <w:rPr/>
        <w:t>Research</w:t>
      </w:r>
      <w:r>
        <w:rPr>
          <w:spacing w:val="-4"/>
        </w:rPr>
        <w:t> </w:t>
      </w:r>
      <w:r>
        <w:rPr/>
        <w:t>Technical</w:t>
      </w:r>
      <w:r>
        <w:rPr>
          <w:spacing w:val="-5"/>
        </w:rPr>
        <w:t> </w:t>
      </w:r>
      <w:r>
        <w:rPr/>
        <w:t>Report</w:t>
      </w:r>
      <w:r>
        <w:rPr>
          <w:spacing w:val="-2"/>
        </w:rPr>
        <w:t> </w:t>
      </w:r>
      <w:r>
        <w:rPr/>
        <w:t>Series</w:t>
      </w:r>
      <w:r>
        <w:rPr>
          <w:spacing w:val="-3"/>
        </w:rPr>
        <w:t> </w:t>
      </w:r>
      <w:r>
        <w:rPr/>
        <w:t>No.</w:t>
      </w:r>
      <w:r>
        <w:rPr>
          <w:spacing w:val="-2"/>
        </w:rPr>
        <w:t> </w:t>
      </w:r>
      <w:r>
        <w:rPr/>
        <w:t>358</w:t>
      </w:r>
      <w:r>
        <w:rPr>
          <w:i/>
        </w:rPr>
        <w:t>.</w:t>
      </w:r>
      <w:r>
        <w:rPr>
          <w:i/>
          <w:spacing w:val="-4"/>
        </w:rPr>
        <w:t> </w:t>
      </w:r>
      <w:r>
        <w:rPr/>
        <w:t>Department</w:t>
      </w:r>
      <w:r>
        <w:rPr>
          <w:spacing w:val="-2"/>
        </w:rPr>
        <w:t> </w:t>
      </w:r>
      <w:r>
        <w:rPr/>
        <w:t>of Energy, Environment and Climate Action, Heidelberg, Victoria.</w:t>
      </w:r>
    </w:p>
    <w:p>
      <w:pPr>
        <w:pStyle w:val="BodyText"/>
        <w:spacing w:after="0" w:line="278" w:lineRule="auto"/>
        <w:sectPr>
          <w:footerReference w:type="default" r:id="rId76"/>
          <w:pgSz w:w="11910" w:h="16850"/>
          <w:pgMar w:header="0" w:footer="688" w:top="1060" w:bottom="880" w:left="0" w:right="0"/>
        </w:sectPr>
      </w:pPr>
    </w:p>
    <w:p>
      <w:pPr>
        <w:pStyle w:val="BodyText"/>
        <w:spacing w:before="71"/>
        <w:ind w:left="1132"/>
      </w:pPr>
      <w:r>
        <w:rPr/>
        <w:t>Royle,</w:t>
      </w:r>
      <w:r>
        <w:rPr>
          <w:spacing w:val="-7"/>
        </w:rPr>
        <w:t> </w:t>
      </w:r>
      <w:r>
        <w:rPr/>
        <w:t>J.A.</w:t>
      </w:r>
      <w:r>
        <w:rPr>
          <w:spacing w:val="-7"/>
        </w:rPr>
        <w:t> </w:t>
      </w:r>
      <w:r>
        <w:rPr/>
        <w:t>and</w:t>
      </w:r>
      <w:r>
        <w:rPr>
          <w:spacing w:val="-6"/>
        </w:rPr>
        <w:t> </w:t>
      </w:r>
      <w:r>
        <w:rPr/>
        <w:t>Kéry,</w:t>
      </w:r>
      <w:r>
        <w:rPr>
          <w:spacing w:val="-7"/>
        </w:rPr>
        <w:t> </w:t>
      </w:r>
      <w:r>
        <w:rPr/>
        <w:t>M.</w:t>
      </w:r>
      <w:r>
        <w:rPr>
          <w:spacing w:val="-7"/>
        </w:rPr>
        <w:t> </w:t>
      </w:r>
      <w:r>
        <w:rPr/>
        <w:t>(2007).</w:t>
      </w:r>
      <w:r>
        <w:rPr>
          <w:spacing w:val="-4"/>
        </w:rPr>
        <w:t> </w:t>
      </w:r>
      <w:r>
        <w:rPr/>
        <w:t>A</w:t>
      </w:r>
      <w:r>
        <w:rPr>
          <w:spacing w:val="-7"/>
        </w:rPr>
        <w:t> </w:t>
      </w:r>
      <w:r>
        <w:rPr/>
        <w:t>Bayesian</w:t>
      </w:r>
      <w:r>
        <w:rPr>
          <w:spacing w:val="-7"/>
        </w:rPr>
        <w:t> </w:t>
      </w:r>
      <w:r>
        <w:rPr/>
        <w:t>state–space</w:t>
      </w:r>
      <w:r>
        <w:rPr>
          <w:spacing w:val="-7"/>
        </w:rPr>
        <w:t> </w:t>
      </w:r>
      <w:r>
        <w:rPr/>
        <w:t>formulation</w:t>
      </w:r>
      <w:r>
        <w:rPr>
          <w:spacing w:val="-5"/>
        </w:rPr>
        <w:t> </w:t>
      </w:r>
      <w:r>
        <w:rPr/>
        <w:t>of</w:t>
      </w:r>
      <w:r>
        <w:rPr>
          <w:spacing w:val="-5"/>
        </w:rPr>
        <w:t> </w:t>
      </w:r>
      <w:r>
        <w:rPr/>
        <w:t>dynamic</w:t>
      </w:r>
      <w:r>
        <w:rPr>
          <w:spacing w:val="-6"/>
        </w:rPr>
        <w:t> </w:t>
      </w:r>
      <w:r>
        <w:rPr/>
        <w:t>occupancy</w:t>
      </w:r>
      <w:r>
        <w:rPr>
          <w:spacing w:val="-6"/>
        </w:rPr>
        <w:t> </w:t>
      </w:r>
      <w:r>
        <w:rPr>
          <w:spacing w:val="-2"/>
        </w:rPr>
        <w:t>models.</w:t>
      </w:r>
    </w:p>
    <w:p>
      <w:pPr>
        <w:spacing w:before="37"/>
        <w:ind w:left="1841" w:right="0" w:firstLine="0"/>
        <w:jc w:val="left"/>
        <w:rPr>
          <w:sz w:val="20"/>
        </w:rPr>
      </w:pPr>
      <w:r>
        <w:rPr>
          <w:i/>
          <w:sz w:val="20"/>
        </w:rPr>
        <w:t>Ecology</w:t>
      </w:r>
      <w:r>
        <w:rPr>
          <w:i/>
          <w:spacing w:val="-9"/>
          <w:sz w:val="20"/>
        </w:rPr>
        <w:t> </w:t>
      </w:r>
      <w:r>
        <w:rPr>
          <w:b/>
          <w:sz w:val="20"/>
        </w:rPr>
        <w:t>88</w:t>
      </w:r>
      <w:r>
        <w:rPr>
          <w:sz w:val="20"/>
        </w:rPr>
        <w:t>,</w:t>
      </w:r>
      <w:r>
        <w:rPr>
          <w:spacing w:val="-8"/>
          <w:sz w:val="20"/>
        </w:rPr>
        <w:t> </w:t>
      </w:r>
      <w:r>
        <w:rPr>
          <w:sz w:val="20"/>
        </w:rPr>
        <w:t>1813–</w:t>
      </w:r>
      <w:r>
        <w:rPr>
          <w:spacing w:val="-4"/>
          <w:sz w:val="20"/>
        </w:rPr>
        <w:t>1823.</w:t>
      </w:r>
    </w:p>
    <w:p>
      <w:pPr>
        <w:pStyle w:val="BodyText"/>
        <w:spacing w:line="276" w:lineRule="auto" w:before="154"/>
        <w:ind w:left="1841" w:right="1133" w:hanging="709"/>
      </w:pPr>
      <w:r>
        <w:rPr/>
        <w:t>Salo, P., Korpimaki, E., Banks, P.B., Nordstrom, M. and Dickman, C. (2007). Alien predators are more dangerous</w:t>
      </w:r>
      <w:r>
        <w:rPr>
          <w:spacing w:val="-3"/>
        </w:rPr>
        <w:t> </w:t>
      </w:r>
      <w:r>
        <w:rPr/>
        <w:t>than</w:t>
      </w:r>
      <w:r>
        <w:rPr>
          <w:spacing w:val="-3"/>
        </w:rPr>
        <w:t> </w:t>
      </w:r>
      <w:r>
        <w:rPr/>
        <w:t>native</w:t>
      </w:r>
      <w:r>
        <w:rPr>
          <w:spacing w:val="-4"/>
        </w:rPr>
        <w:t> </w:t>
      </w:r>
      <w:r>
        <w:rPr/>
        <w:t>predators</w:t>
      </w:r>
      <w:r>
        <w:rPr>
          <w:spacing w:val="-3"/>
        </w:rPr>
        <w:t> </w:t>
      </w:r>
      <w:r>
        <w:rPr/>
        <w:t>to</w:t>
      </w:r>
      <w:r>
        <w:rPr>
          <w:spacing w:val="-5"/>
        </w:rPr>
        <w:t> </w:t>
      </w:r>
      <w:r>
        <w:rPr/>
        <w:t>prey</w:t>
      </w:r>
      <w:r>
        <w:rPr>
          <w:spacing w:val="-3"/>
        </w:rPr>
        <w:t> </w:t>
      </w:r>
      <w:r>
        <w:rPr/>
        <w:t>populations. </w:t>
      </w:r>
      <w:r>
        <w:rPr>
          <w:i/>
        </w:rPr>
        <w:t>Proceedings</w:t>
      </w:r>
      <w:r>
        <w:rPr>
          <w:i/>
          <w:spacing w:val="-3"/>
        </w:rPr>
        <w:t> </w:t>
      </w:r>
      <w:r>
        <w:rPr>
          <w:i/>
        </w:rPr>
        <w:t>of</w:t>
      </w:r>
      <w:r>
        <w:rPr>
          <w:i/>
          <w:spacing w:val="-3"/>
        </w:rPr>
        <w:t> </w:t>
      </w:r>
      <w:r>
        <w:rPr>
          <w:i/>
        </w:rPr>
        <w:t>the</w:t>
      </w:r>
      <w:r>
        <w:rPr>
          <w:i/>
          <w:spacing w:val="-3"/>
        </w:rPr>
        <w:t> </w:t>
      </w:r>
      <w:r>
        <w:rPr>
          <w:i/>
        </w:rPr>
        <w:t>Royal</w:t>
      </w:r>
      <w:r>
        <w:rPr>
          <w:i/>
          <w:spacing w:val="-5"/>
        </w:rPr>
        <w:t> </w:t>
      </w:r>
      <w:r>
        <w:rPr>
          <w:i/>
        </w:rPr>
        <w:t>Society</w:t>
      </w:r>
      <w:r>
        <w:rPr>
          <w:i/>
          <w:spacing w:val="-3"/>
        </w:rPr>
        <w:t> </w:t>
      </w:r>
      <w:r>
        <w:rPr>
          <w:i/>
        </w:rPr>
        <w:t>B </w:t>
      </w:r>
      <w:r>
        <w:rPr>
          <w:b/>
        </w:rPr>
        <w:t>274</w:t>
      </w:r>
      <w:r>
        <w:rPr/>
        <w:t>,</w:t>
      </w:r>
      <w:r>
        <w:rPr>
          <w:spacing w:val="-3"/>
        </w:rPr>
        <w:t> </w:t>
      </w:r>
      <w:r>
        <w:rPr/>
        <w:t>1237–</w:t>
      </w:r>
      <w:r>
        <w:rPr>
          <w:spacing w:val="-2"/>
        </w:rPr>
        <w:t>1243.</w:t>
      </w:r>
    </w:p>
    <w:p>
      <w:pPr>
        <w:spacing w:line="278" w:lineRule="auto" w:before="119"/>
        <w:ind w:left="1841" w:right="1215" w:hanging="709"/>
        <w:jc w:val="left"/>
        <w:rPr>
          <w:sz w:val="20"/>
        </w:rPr>
      </w:pPr>
      <w:r>
        <w:rPr>
          <w:sz w:val="20"/>
        </w:rPr>
        <w:t>Seebeck,</w:t>
      </w:r>
      <w:r>
        <w:rPr>
          <w:spacing w:val="-4"/>
          <w:sz w:val="20"/>
        </w:rPr>
        <w:t> </w:t>
      </w:r>
      <w:r>
        <w:rPr>
          <w:sz w:val="20"/>
        </w:rPr>
        <w:t>J.H.</w:t>
      </w:r>
      <w:r>
        <w:rPr>
          <w:spacing w:val="-4"/>
          <w:sz w:val="20"/>
        </w:rPr>
        <w:t> </w:t>
      </w:r>
      <w:r>
        <w:rPr>
          <w:sz w:val="20"/>
        </w:rPr>
        <w:t>(1978).</w:t>
      </w:r>
      <w:r>
        <w:rPr>
          <w:spacing w:val="-4"/>
          <w:sz w:val="20"/>
        </w:rPr>
        <w:t> </w:t>
      </w:r>
      <w:r>
        <w:rPr>
          <w:sz w:val="20"/>
        </w:rPr>
        <w:t>Diet of</w:t>
      </w:r>
      <w:r>
        <w:rPr>
          <w:spacing w:val="-4"/>
          <w:sz w:val="20"/>
        </w:rPr>
        <w:t> </w:t>
      </w:r>
      <w:r>
        <w:rPr>
          <w:sz w:val="20"/>
        </w:rPr>
        <w:t>the</w:t>
      </w:r>
      <w:r>
        <w:rPr>
          <w:spacing w:val="-4"/>
          <w:sz w:val="20"/>
        </w:rPr>
        <w:t> </w:t>
      </w:r>
      <w:r>
        <w:rPr>
          <w:sz w:val="20"/>
        </w:rPr>
        <w:t>fox </w:t>
      </w:r>
      <w:r>
        <w:rPr>
          <w:i/>
          <w:sz w:val="20"/>
        </w:rPr>
        <w:t>Vulpes</w:t>
      </w:r>
      <w:r>
        <w:rPr>
          <w:i/>
          <w:spacing w:val="-3"/>
          <w:sz w:val="20"/>
        </w:rPr>
        <w:t> </w:t>
      </w:r>
      <w:r>
        <w:rPr>
          <w:i/>
          <w:sz w:val="20"/>
        </w:rPr>
        <w:t>vulpes </w:t>
      </w:r>
      <w:r>
        <w:rPr>
          <w:sz w:val="20"/>
        </w:rPr>
        <w:t>in</w:t>
      </w:r>
      <w:r>
        <w:rPr>
          <w:spacing w:val="-2"/>
          <w:sz w:val="20"/>
        </w:rPr>
        <w:t> </w:t>
      </w:r>
      <w:r>
        <w:rPr>
          <w:sz w:val="20"/>
        </w:rPr>
        <w:t>a</w:t>
      </w:r>
      <w:r>
        <w:rPr>
          <w:spacing w:val="-4"/>
          <w:sz w:val="20"/>
        </w:rPr>
        <w:t> </w:t>
      </w:r>
      <w:r>
        <w:rPr>
          <w:sz w:val="20"/>
        </w:rPr>
        <w:t>western</w:t>
      </w:r>
      <w:r>
        <w:rPr>
          <w:spacing w:val="-2"/>
          <w:sz w:val="20"/>
        </w:rPr>
        <w:t> </w:t>
      </w:r>
      <w:r>
        <w:rPr>
          <w:sz w:val="20"/>
        </w:rPr>
        <w:t>Victorian</w:t>
      </w:r>
      <w:r>
        <w:rPr>
          <w:spacing w:val="-4"/>
          <w:sz w:val="20"/>
        </w:rPr>
        <w:t> </w:t>
      </w:r>
      <w:r>
        <w:rPr>
          <w:sz w:val="20"/>
        </w:rPr>
        <w:t>forest. </w:t>
      </w:r>
      <w:r>
        <w:rPr>
          <w:i/>
          <w:sz w:val="20"/>
        </w:rPr>
        <w:t>Australian</w:t>
      </w:r>
      <w:r>
        <w:rPr>
          <w:i/>
          <w:spacing w:val="-4"/>
          <w:sz w:val="20"/>
        </w:rPr>
        <w:t> </w:t>
      </w:r>
      <w:r>
        <w:rPr>
          <w:i/>
          <w:sz w:val="20"/>
        </w:rPr>
        <w:t>Journal</w:t>
      </w:r>
      <w:r>
        <w:rPr>
          <w:i/>
          <w:spacing w:val="-3"/>
          <w:sz w:val="20"/>
        </w:rPr>
        <w:t> </w:t>
      </w:r>
      <w:r>
        <w:rPr>
          <w:i/>
          <w:sz w:val="20"/>
        </w:rPr>
        <w:t>of</w:t>
      </w:r>
      <w:r>
        <w:rPr>
          <w:i/>
          <w:sz w:val="20"/>
        </w:rPr>
        <w:t> Ecology </w:t>
      </w:r>
      <w:r>
        <w:rPr>
          <w:b/>
          <w:sz w:val="20"/>
        </w:rPr>
        <w:t>3</w:t>
      </w:r>
      <w:r>
        <w:rPr>
          <w:sz w:val="20"/>
        </w:rPr>
        <w:t>, 105–108 </w:t>
      </w:r>
      <w:hyperlink r:id="rId85">
        <w:r>
          <w:rPr>
            <w:color w:val="0000FF"/>
            <w:sz w:val="20"/>
            <w:u w:val="single" w:color="0000FF"/>
          </w:rPr>
          <w:t>https://doi.org/10.1111/j.1442-9993.1978.tb00856.x</w:t>
        </w:r>
      </w:hyperlink>
    </w:p>
    <w:p>
      <w:pPr>
        <w:spacing w:line="276" w:lineRule="auto" w:before="117"/>
        <w:ind w:left="1841" w:right="1215" w:hanging="709"/>
        <w:jc w:val="left"/>
        <w:rPr>
          <w:sz w:val="20"/>
        </w:rPr>
      </w:pPr>
      <w:r>
        <w:rPr>
          <w:sz w:val="20"/>
        </w:rPr>
        <w:t>Short,</w:t>
      </w:r>
      <w:r>
        <w:rPr>
          <w:spacing w:val="-2"/>
          <w:sz w:val="20"/>
        </w:rPr>
        <w:t> </w:t>
      </w:r>
      <w:r>
        <w:rPr>
          <w:sz w:val="20"/>
        </w:rPr>
        <w:t>J.</w:t>
      </w:r>
      <w:r>
        <w:rPr>
          <w:spacing w:val="-4"/>
          <w:sz w:val="20"/>
        </w:rPr>
        <w:t> </w:t>
      </w:r>
      <w:r>
        <w:rPr>
          <w:sz w:val="20"/>
        </w:rPr>
        <w:t>and</w:t>
      </w:r>
      <w:r>
        <w:rPr>
          <w:spacing w:val="-4"/>
          <w:sz w:val="20"/>
        </w:rPr>
        <w:t> </w:t>
      </w:r>
      <w:r>
        <w:rPr>
          <w:sz w:val="20"/>
        </w:rPr>
        <w:t>Smith,</w:t>
      </w:r>
      <w:r>
        <w:rPr>
          <w:spacing w:val="-2"/>
          <w:sz w:val="20"/>
        </w:rPr>
        <w:t> </w:t>
      </w:r>
      <w:r>
        <w:rPr>
          <w:sz w:val="20"/>
        </w:rPr>
        <w:t>A.</w:t>
      </w:r>
      <w:r>
        <w:rPr>
          <w:spacing w:val="-4"/>
          <w:sz w:val="20"/>
        </w:rPr>
        <w:t> </w:t>
      </w:r>
      <w:r>
        <w:rPr>
          <w:sz w:val="20"/>
        </w:rPr>
        <w:t>(1994).</w:t>
      </w:r>
      <w:r>
        <w:rPr>
          <w:spacing w:val="-4"/>
          <w:sz w:val="20"/>
        </w:rPr>
        <w:t> </w:t>
      </w:r>
      <w:r>
        <w:rPr>
          <w:sz w:val="20"/>
        </w:rPr>
        <w:t>Mammal</w:t>
      </w:r>
      <w:r>
        <w:rPr>
          <w:spacing w:val="-3"/>
          <w:sz w:val="20"/>
        </w:rPr>
        <w:t> </w:t>
      </w:r>
      <w:r>
        <w:rPr>
          <w:sz w:val="20"/>
        </w:rPr>
        <w:t>decline</w:t>
      </w:r>
      <w:r>
        <w:rPr>
          <w:spacing w:val="-2"/>
          <w:sz w:val="20"/>
        </w:rPr>
        <w:t> </w:t>
      </w:r>
      <w:r>
        <w:rPr>
          <w:sz w:val="20"/>
        </w:rPr>
        <w:t>and</w:t>
      </w:r>
      <w:r>
        <w:rPr>
          <w:spacing w:val="-4"/>
          <w:sz w:val="20"/>
        </w:rPr>
        <w:t> </w:t>
      </w:r>
      <w:r>
        <w:rPr>
          <w:sz w:val="20"/>
        </w:rPr>
        <w:t>recovery</w:t>
      </w:r>
      <w:r>
        <w:rPr>
          <w:spacing w:val="-2"/>
          <w:sz w:val="20"/>
        </w:rPr>
        <w:t> </w:t>
      </w:r>
      <w:r>
        <w:rPr>
          <w:sz w:val="20"/>
        </w:rPr>
        <w:t>in</w:t>
      </w:r>
      <w:r>
        <w:rPr>
          <w:spacing w:val="-2"/>
          <w:sz w:val="20"/>
        </w:rPr>
        <w:t> </w:t>
      </w:r>
      <w:r>
        <w:rPr>
          <w:sz w:val="20"/>
        </w:rPr>
        <w:t>Australia. </w:t>
      </w:r>
      <w:r>
        <w:rPr>
          <w:i/>
          <w:sz w:val="20"/>
        </w:rPr>
        <w:t>Journal</w:t>
      </w:r>
      <w:r>
        <w:rPr>
          <w:i/>
          <w:spacing w:val="-5"/>
          <w:sz w:val="20"/>
        </w:rPr>
        <w:t> </w:t>
      </w:r>
      <w:r>
        <w:rPr>
          <w:i/>
          <w:sz w:val="20"/>
        </w:rPr>
        <w:t>of</w:t>
      </w:r>
      <w:r>
        <w:rPr>
          <w:i/>
          <w:spacing w:val="-4"/>
          <w:sz w:val="20"/>
        </w:rPr>
        <w:t> </w:t>
      </w:r>
      <w:r>
        <w:rPr>
          <w:i/>
          <w:sz w:val="20"/>
        </w:rPr>
        <w:t>Mammalogy </w:t>
      </w:r>
      <w:r>
        <w:rPr>
          <w:b/>
          <w:sz w:val="20"/>
        </w:rPr>
        <w:t>75</w:t>
      </w:r>
      <w:r>
        <w:rPr>
          <w:sz w:val="20"/>
        </w:rPr>
        <w:t>,</w:t>
      </w:r>
      <w:r>
        <w:rPr>
          <w:spacing w:val="-4"/>
          <w:sz w:val="20"/>
        </w:rPr>
        <w:t> </w:t>
      </w:r>
      <w:r>
        <w:rPr>
          <w:sz w:val="20"/>
        </w:rPr>
        <w:t>288–</w:t>
      </w:r>
      <w:r>
        <w:rPr>
          <w:spacing w:val="-4"/>
          <w:sz w:val="20"/>
        </w:rPr>
        <w:t>297.</w:t>
      </w:r>
    </w:p>
    <w:p>
      <w:pPr>
        <w:pStyle w:val="BodyText"/>
        <w:spacing w:line="276" w:lineRule="auto" w:before="119"/>
        <w:ind w:left="1841" w:right="1167" w:hanging="709"/>
      </w:pPr>
      <w:r>
        <w:rPr/>
        <w:t>Stallings,</w:t>
      </w:r>
      <w:r>
        <w:rPr>
          <w:spacing w:val="-4"/>
        </w:rPr>
        <w:t> </w:t>
      </w:r>
      <w:r>
        <w:rPr/>
        <w:t>C.D.</w:t>
      </w:r>
      <w:r>
        <w:rPr>
          <w:spacing w:val="-6"/>
        </w:rPr>
        <w:t> </w:t>
      </w:r>
      <w:r>
        <w:rPr/>
        <w:t>and</w:t>
      </w:r>
      <w:r>
        <w:rPr>
          <w:spacing w:val="-5"/>
        </w:rPr>
        <w:t> </w:t>
      </w:r>
      <w:r>
        <w:rPr/>
        <w:t>Dingeldein,</w:t>
      </w:r>
      <w:r>
        <w:rPr>
          <w:spacing w:val="-4"/>
        </w:rPr>
        <w:t> </w:t>
      </w:r>
      <w:r>
        <w:rPr/>
        <w:t>A.L.</w:t>
      </w:r>
      <w:r>
        <w:rPr>
          <w:spacing w:val="-6"/>
        </w:rPr>
        <w:t> </w:t>
      </w:r>
      <w:r>
        <w:rPr/>
        <w:t>(2012).</w:t>
      </w:r>
      <w:r>
        <w:rPr>
          <w:spacing w:val="-6"/>
        </w:rPr>
        <w:t> </w:t>
      </w:r>
      <w:r>
        <w:rPr/>
        <w:t>Intraspecific</w:t>
      </w:r>
      <w:r>
        <w:rPr>
          <w:spacing w:val="-5"/>
        </w:rPr>
        <w:t> </w:t>
      </w:r>
      <w:r>
        <w:rPr/>
        <w:t>cooperation</w:t>
      </w:r>
      <w:r>
        <w:rPr>
          <w:spacing w:val="-4"/>
        </w:rPr>
        <w:t> </w:t>
      </w:r>
      <w:r>
        <w:rPr/>
        <w:t>facilitates</w:t>
      </w:r>
      <w:r>
        <w:rPr>
          <w:spacing w:val="-5"/>
        </w:rPr>
        <w:t> </w:t>
      </w:r>
      <w:r>
        <w:rPr/>
        <w:t>synergistic</w:t>
      </w:r>
      <w:r>
        <w:rPr>
          <w:spacing w:val="-5"/>
        </w:rPr>
        <w:t> </w:t>
      </w:r>
      <w:r>
        <w:rPr/>
        <w:t>predation. </w:t>
      </w:r>
      <w:r>
        <w:rPr>
          <w:i/>
        </w:rPr>
        <w:t>Bulletin</w:t>
      </w:r>
      <w:r>
        <w:rPr>
          <w:i/>
        </w:rPr>
        <w:t> of Marine Science </w:t>
      </w:r>
      <w:r>
        <w:rPr>
          <w:b/>
        </w:rPr>
        <w:t>88</w:t>
      </w:r>
      <w:r>
        <w:rPr/>
        <w:t>, 317–318.</w:t>
      </w:r>
    </w:p>
    <w:p>
      <w:pPr>
        <w:pStyle w:val="BodyText"/>
        <w:spacing w:line="276" w:lineRule="auto" w:before="121"/>
        <w:ind w:left="1841" w:right="1167" w:hanging="709"/>
      </w:pPr>
      <w:r>
        <w:rPr/>
        <w:t>Stobo-Wilson,</w:t>
      </w:r>
      <w:r>
        <w:rPr>
          <w:spacing w:val="-4"/>
        </w:rPr>
        <w:t> </w:t>
      </w:r>
      <w:r>
        <w:rPr/>
        <w:t>A.M.,</w:t>
      </w:r>
      <w:r>
        <w:rPr>
          <w:spacing w:val="-2"/>
        </w:rPr>
        <w:t> </w:t>
      </w:r>
      <w:r>
        <w:rPr/>
        <w:t>Stokeld,</w:t>
      </w:r>
      <w:r>
        <w:rPr>
          <w:spacing w:val="-4"/>
        </w:rPr>
        <w:t> </w:t>
      </w:r>
      <w:r>
        <w:rPr/>
        <w:t>D.,</w:t>
      </w:r>
      <w:r>
        <w:rPr>
          <w:spacing w:val="-2"/>
        </w:rPr>
        <w:t> </w:t>
      </w:r>
      <w:r>
        <w:rPr/>
        <w:t>Einoder,</w:t>
      </w:r>
      <w:r>
        <w:rPr>
          <w:spacing w:val="-4"/>
        </w:rPr>
        <w:t> </w:t>
      </w:r>
      <w:r>
        <w:rPr/>
        <w:t>L.D.,</w:t>
      </w:r>
      <w:r>
        <w:rPr>
          <w:spacing w:val="-4"/>
        </w:rPr>
        <w:t> </w:t>
      </w:r>
      <w:r>
        <w:rPr/>
        <w:t>Davies,</w:t>
      </w:r>
      <w:r>
        <w:rPr>
          <w:spacing w:val="-4"/>
        </w:rPr>
        <w:t> </w:t>
      </w:r>
      <w:r>
        <w:rPr/>
        <w:t>H.F.,</w:t>
      </w:r>
      <w:r>
        <w:rPr>
          <w:spacing w:val="-4"/>
        </w:rPr>
        <w:t> </w:t>
      </w:r>
      <w:r>
        <w:rPr/>
        <w:t>Fisher,</w:t>
      </w:r>
      <w:r>
        <w:rPr>
          <w:spacing w:val="-4"/>
        </w:rPr>
        <w:t> </w:t>
      </w:r>
      <w:r>
        <w:rPr/>
        <w:t>A.,</w:t>
      </w:r>
      <w:r>
        <w:rPr>
          <w:spacing w:val="-4"/>
        </w:rPr>
        <w:t> </w:t>
      </w:r>
      <w:r>
        <w:rPr/>
        <w:t>Hill,</w:t>
      </w:r>
      <w:r>
        <w:rPr>
          <w:spacing w:val="-2"/>
        </w:rPr>
        <w:t> </w:t>
      </w:r>
      <w:r>
        <w:rPr/>
        <w:t>B.M.,</w:t>
      </w:r>
      <w:r>
        <w:rPr>
          <w:spacing w:val="-2"/>
        </w:rPr>
        <w:t> </w:t>
      </w:r>
      <w:r>
        <w:rPr/>
        <w:t>Mahney,</w:t>
      </w:r>
      <w:r>
        <w:rPr>
          <w:spacing w:val="-4"/>
        </w:rPr>
        <w:t> </w:t>
      </w:r>
      <w:r>
        <w:rPr/>
        <w:t>T.,</w:t>
      </w:r>
      <w:r>
        <w:rPr>
          <w:spacing w:val="-2"/>
        </w:rPr>
        <w:t> </w:t>
      </w:r>
      <w:r>
        <w:rPr/>
        <w:t>Murphy,</w:t>
      </w:r>
      <w:r>
        <w:rPr>
          <w:spacing w:val="-4"/>
        </w:rPr>
        <w:t> </w:t>
      </w:r>
      <w:r>
        <w:rPr/>
        <w:t>B.P., Stevens, A., Woinarski, J.C.Z., Rangers, B., Rangers, W. and Gillespie, G.R. (2020). Habitat structural complexity explains patterns of feral cat and dingo occurrence in monsoonal Australia.</w:t>
      </w:r>
    </w:p>
    <w:p>
      <w:pPr>
        <w:spacing w:line="229" w:lineRule="exact" w:before="0"/>
        <w:ind w:left="1841" w:right="0" w:firstLine="0"/>
        <w:jc w:val="left"/>
        <w:rPr>
          <w:sz w:val="20"/>
        </w:rPr>
      </w:pPr>
      <w:r>
        <w:rPr>
          <w:i/>
          <w:sz w:val="20"/>
        </w:rPr>
        <w:t>Diversity</w:t>
      </w:r>
      <w:r>
        <w:rPr>
          <w:i/>
          <w:spacing w:val="-9"/>
          <w:sz w:val="20"/>
        </w:rPr>
        <w:t> </w:t>
      </w:r>
      <w:r>
        <w:rPr>
          <w:i/>
          <w:sz w:val="20"/>
        </w:rPr>
        <w:t>and</w:t>
      </w:r>
      <w:r>
        <w:rPr>
          <w:i/>
          <w:spacing w:val="-9"/>
          <w:sz w:val="20"/>
        </w:rPr>
        <w:t> </w:t>
      </w:r>
      <w:r>
        <w:rPr>
          <w:i/>
          <w:sz w:val="20"/>
        </w:rPr>
        <w:t>Distributions</w:t>
      </w:r>
      <w:r>
        <w:rPr>
          <w:i/>
          <w:spacing w:val="-4"/>
          <w:sz w:val="20"/>
        </w:rPr>
        <w:t> </w:t>
      </w:r>
      <w:r>
        <w:rPr>
          <w:b/>
          <w:sz w:val="20"/>
        </w:rPr>
        <w:t>26</w:t>
      </w:r>
      <w:r>
        <w:rPr>
          <w:sz w:val="20"/>
        </w:rPr>
        <w:t>,</w:t>
      </w:r>
      <w:r>
        <w:rPr>
          <w:spacing w:val="-10"/>
          <w:sz w:val="20"/>
        </w:rPr>
        <w:t> </w:t>
      </w:r>
      <w:r>
        <w:rPr>
          <w:sz w:val="20"/>
        </w:rPr>
        <w:t>832–</w:t>
      </w:r>
      <w:r>
        <w:rPr>
          <w:spacing w:val="-4"/>
          <w:sz w:val="20"/>
        </w:rPr>
        <w:t>842.</w:t>
      </w:r>
    </w:p>
    <w:p>
      <w:pPr>
        <w:pStyle w:val="BodyText"/>
        <w:spacing w:line="276" w:lineRule="auto" w:before="154"/>
        <w:ind w:left="1841" w:right="1178" w:hanging="709"/>
      </w:pPr>
      <w:r>
        <w:rPr/>
        <w:t>Storch,</w:t>
      </w:r>
      <w:r>
        <w:rPr>
          <w:spacing w:val="-4"/>
        </w:rPr>
        <w:t> </w:t>
      </w:r>
      <w:r>
        <w:rPr/>
        <w:t>I.,</w:t>
      </w:r>
      <w:r>
        <w:rPr>
          <w:spacing w:val="-4"/>
        </w:rPr>
        <w:t> </w:t>
      </w:r>
      <w:r>
        <w:rPr/>
        <w:t>Woitke,</w:t>
      </w:r>
      <w:r>
        <w:rPr>
          <w:spacing w:val="-4"/>
        </w:rPr>
        <w:t> </w:t>
      </w:r>
      <w:r>
        <w:rPr/>
        <w:t>E.</w:t>
      </w:r>
      <w:r>
        <w:rPr>
          <w:spacing w:val="-2"/>
        </w:rPr>
        <w:t> </w:t>
      </w:r>
      <w:r>
        <w:rPr/>
        <w:t>and</w:t>
      </w:r>
      <w:r>
        <w:rPr>
          <w:spacing w:val="-4"/>
        </w:rPr>
        <w:t> </w:t>
      </w:r>
      <w:r>
        <w:rPr/>
        <w:t>Krieger,</w:t>
      </w:r>
      <w:r>
        <w:rPr>
          <w:spacing w:val="-1"/>
        </w:rPr>
        <w:t> </w:t>
      </w:r>
      <w:r>
        <w:rPr/>
        <w:t>S.</w:t>
      </w:r>
      <w:r>
        <w:rPr>
          <w:spacing w:val="-3"/>
        </w:rPr>
        <w:t> </w:t>
      </w:r>
      <w:r>
        <w:rPr/>
        <w:t>(2005).</w:t>
      </w:r>
      <w:r>
        <w:rPr>
          <w:spacing w:val="-1"/>
        </w:rPr>
        <w:t> </w:t>
      </w:r>
      <w:r>
        <w:rPr/>
        <w:t>Landscape-scale</w:t>
      </w:r>
      <w:r>
        <w:rPr>
          <w:spacing w:val="-4"/>
        </w:rPr>
        <w:t> </w:t>
      </w:r>
      <w:r>
        <w:rPr/>
        <w:t>edge</w:t>
      </w:r>
      <w:r>
        <w:rPr>
          <w:spacing w:val="-2"/>
        </w:rPr>
        <w:t> </w:t>
      </w:r>
      <w:r>
        <w:rPr/>
        <w:t>effect</w:t>
      </w:r>
      <w:r>
        <w:rPr>
          <w:spacing w:val="-2"/>
        </w:rPr>
        <w:t> </w:t>
      </w:r>
      <w:r>
        <w:rPr/>
        <w:t>in</w:t>
      </w:r>
      <w:r>
        <w:rPr>
          <w:spacing w:val="-1"/>
        </w:rPr>
        <w:t> </w:t>
      </w:r>
      <w:r>
        <w:rPr/>
        <w:t>predation</w:t>
      </w:r>
      <w:r>
        <w:rPr>
          <w:spacing w:val="-3"/>
        </w:rPr>
        <w:t> </w:t>
      </w:r>
      <w:r>
        <w:rPr/>
        <w:t>risk</w:t>
      </w:r>
      <w:r>
        <w:rPr>
          <w:spacing w:val="-3"/>
        </w:rPr>
        <w:t> </w:t>
      </w:r>
      <w:r>
        <w:rPr/>
        <w:t>in</w:t>
      </w:r>
      <w:r>
        <w:rPr>
          <w:spacing w:val="-3"/>
        </w:rPr>
        <w:t> </w:t>
      </w:r>
      <w:r>
        <w:rPr/>
        <w:t>forest-farmland mosaics of Central Europe. </w:t>
      </w:r>
      <w:r>
        <w:rPr>
          <w:i/>
        </w:rPr>
        <w:t>Landscape Ecology </w:t>
      </w:r>
      <w:r>
        <w:rPr>
          <w:b/>
        </w:rPr>
        <w:t>20</w:t>
      </w:r>
      <w:r>
        <w:rPr/>
        <w:t>, 927–940 </w:t>
      </w:r>
      <w:hyperlink r:id="rId86">
        <w:r>
          <w:rPr>
            <w:color w:val="0000FF"/>
            <w:u w:val="single" w:color="0000FF"/>
          </w:rPr>
          <w:t>https://doi.org/10.1007/s10980-005-</w:t>
        </w:r>
      </w:hyperlink>
      <w:hyperlink r:id="rId86">
        <w:r>
          <w:rPr>
            <w:color w:val="0000FF"/>
            <w:spacing w:val="-2"/>
            <w:u w:val="single" w:color="0000FF"/>
          </w:rPr>
          <w:t>7005-2</w:t>
        </w:r>
      </w:hyperlink>
    </w:p>
    <w:p>
      <w:pPr>
        <w:pStyle w:val="BodyText"/>
        <w:spacing w:line="276" w:lineRule="auto" w:before="121"/>
        <w:ind w:left="1841" w:right="1215" w:hanging="709"/>
      </w:pPr>
      <w:r>
        <w:rPr/>
        <w:t>Su,</w:t>
      </w:r>
      <w:r>
        <w:rPr>
          <w:spacing w:val="-1"/>
        </w:rPr>
        <w:t> </w:t>
      </w:r>
      <w:r>
        <w:rPr/>
        <w:t>Y.S.</w:t>
      </w:r>
      <w:r>
        <w:rPr>
          <w:spacing w:val="-3"/>
        </w:rPr>
        <w:t> </w:t>
      </w:r>
      <w:r>
        <w:rPr/>
        <w:t>and</w:t>
      </w:r>
      <w:r>
        <w:rPr>
          <w:spacing w:val="-2"/>
        </w:rPr>
        <w:t> </w:t>
      </w:r>
      <w:r>
        <w:rPr/>
        <w:t>Yajima,</w:t>
      </w:r>
      <w:r>
        <w:rPr>
          <w:spacing w:val="-1"/>
        </w:rPr>
        <w:t> </w:t>
      </w:r>
      <w:r>
        <w:rPr/>
        <w:t>M.</w:t>
      </w:r>
      <w:r>
        <w:rPr>
          <w:spacing w:val="-3"/>
        </w:rPr>
        <w:t> </w:t>
      </w:r>
      <w:r>
        <w:rPr/>
        <w:t>(2015). </w:t>
      </w:r>
      <w:r>
        <w:rPr>
          <w:i/>
        </w:rPr>
        <w:t>R2jags:</w:t>
      </w:r>
      <w:r>
        <w:rPr>
          <w:i/>
          <w:spacing w:val="-2"/>
        </w:rPr>
        <w:t> </w:t>
      </w:r>
      <w:r>
        <w:rPr>
          <w:i/>
        </w:rPr>
        <w:t>Using</w:t>
      </w:r>
      <w:r>
        <w:rPr>
          <w:i/>
          <w:spacing w:val="-4"/>
        </w:rPr>
        <w:t> </w:t>
      </w:r>
      <w:r>
        <w:rPr>
          <w:i/>
        </w:rPr>
        <w:t>R</w:t>
      </w:r>
      <w:r>
        <w:rPr>
          <w:i/>
          <w:spacing w:val="-1"/>
        </w:rPr>
        <w:t> </w:t>
      </w:r>
      <w:r>
        <w:rPr>
          <w:i/>
        </w:rPr>
        <w:t>to</w:t>
      </w:r>
      <w:r>
        <w:rPr>
          <w:i/>
          <w:spacing w:val="-4"/>
        </w:rPr>
        <w:t> </w:t>
      </w:r>
      <w:r>
        <w:rPr>
          <w:i/>
        </w:rPr>
        <w:t>Run</w:t>
      </w:r>
      <w:r>
        <w:rPr>
          <w:i/>
          <w:spacing w:val="-4"/>
        </w:rPr>
        <w:t> </w:t>
      </w:r>
      <w:r>
        <w:rPr>
          <w:i/>
        </w:rPr>
        <w:t>‘JAGS’</w:t>
      </w:r>
      <w:r>
        <w:rPr/>
        <w:t>.</w:t>
      </w:r>
      <w:r>
        <w:rPr>
          <w:spacing w:val="-3"/>
        </w:rPr>
        <w:t> </w:t>
      </w:r>
      <w:r>
        <w:rPr/>
        <w:t>R</w:t>
      </w:r>
      <w:r>
        <w:rPr>
          <w:spacing w:val="-1"/>
        </w:rPr>
        <w:t> </w:t>
      </w:r>
      <w:r>
        <w:rPr/>
        <w:t>package</w:t>
      </w:r>
      <w:r>
        <w:rPr>
          <w:spacing w:val="-3"/>
        </w:rPr>
        <w:t> </w:t>
      </w:r>
      <w:r>
        <w:rPr/>
        <w:t>version</w:t>
      </w:r>
      <w:r>
        <w:rPr>
          <w:spacing w:val="-4"/>
        </w:rPr>
        <w:t> </w:t>
      </w:r>
      <w:r>
        <w:rPr/>
        <w:t>0.7-1.</w:t>
      </w:r>
      <w:r>
        <w:rPr>
          <w:spacing w:val="-3"/>
        </w:rPr>
        <w:t> </w:t>
      </w:r>
      <w:hyperlink r:id="rId87">
        <w:r>
          <w:rPr/>
          <w:t>https://CRAN.R-</w:t>
        </w:r>
      </w:hyperlink>
      <w:r>
        <w:rPr/>
        <w:t>project.org/package=R2jags (accessed June 2024).</w:t>
      </w:r>
    </w:p>
    <w:p>
      <w:pPr>
        <w:pStyle w:val="BodyText"/>
        <w:spacing w:after="0" w:line="276" w:lineRule="auto"/>
        <w:sectPr>
          <w:footerReference w:type="default" r:id="rId84"/>
          <w:pgSz w:w="11910" w:h="16850"/>
          <w:pgMar w:header="0" w:footer="688" w:top="1060" w:bottom="880" w:left="0" w:right="0"/>
        </w:sectPr>
      </w:pPr>
    </w:p>
    <w:p>
      <w:pPr>
        <w:pStyle w:val="Heading2"/>
        <w:spacing w:before="76"/>
        <w:ind w:left="140"/>
      </w:pPr>
      <w:bookmarkStart w:name="_TOC_250000" w:id="37"/>
      <w:bookmarkEnd w:id="37"/>
      <w:r>
        <w:rPr>
          <w:color w:val="001F5F"/>
          <w:spacing w:val="-2"/>
        </w:rPr>
        <w:t>Appendix</w:t>
      </w:r>
    </w:p>
    <w:p>
      <w:pPr>
        <w:pStyle w:val="BodyText"/>
        <w:spacing w:before="255"/>
        <w:rPr>
          <w:b/>
          <w:sz w:val="32"/>
        </w:rPr>
      </w:pPr>
    </w:p>
    <w:p>
      <w:pPr>
        <w:spacing w:before="0"/>
        <w:ind w:left="140" w:right="0" w:firstLine="0"/>
        <w:jc w:val="left"/>
        <w:rPr>
          <w:b/>
          <w:sz w:val="20"/>
        </w:rPr>
      </w:pPr>
      <w:r>
        <w:rPr>
          <w:b/>
          <w:color w:val="1F1546"/>
          <w:sz w:val="20"/>
        </w:rPr>
        <w:t>Table</w:t>
      </w:r>
      <w:r>
        <w:rPr>
          <w:b/>
          <w:color w:val="1F1546"/>
          <w:spacing w:val="-8"/>
          <w:sz w:val="20"/>
        </w:rPr>
        <w:t> </w:t>
      </w:r>
      <w:r>
        <w:rPr>
          <w:b/>
          <w:color w:val="1F1546"/>
          <w:sz w:val="20"/>
        </w:rPr>
        <w:t>A1.</w:t>
      </w:r>
      <w:r>
        <w:rPr>
          <w:b/>
          <w:color w:val="1F1546"/>
          <w:spacing w:val="-6"/>
          <w:sz w:val="20"/>
        </w:rPr>
        <w:t> </w:t>
      </w:r>
      <w:r>
        <w:rPr>
          <w:b/>
          <w:color w:val="1F1546"/>
          <w:sz w:val="20"/>
        </w:rPr>
        <w:t>Ecological</w:t>
      </w:r>
      <w:r>
        <w:rPr>
          <w:b/>
          <w:color w:val="1F1546"/>
          <w:spacing w:val="-6"/>
          <w:sz w:val="20"/>
        </w:rPr>
        <w:t> </w:t>
      </w:r>
      <w:r>
        <w:rPr>
          <w:b/>
          <w:color w:val="1F1546"/>
          <w:sz w:val="20"/>
        </w:rPr>
        <w:t>vegetation</w:t>
      </w:r>
      <w:r>
        <w:rPr>
          <w:b/>
          <w:color w:val="1F1546"/>
          <w:spacing w:val="-6"/>
          <w:sz w:val="20"/>
        </w:rPr>
        <w:t> </w:t>
      </w:r>
      <w:r>
        <w:rPr>
          <w:b/>
          <w:color w:val="1F1546"/>
          <w:sz w:val="20"/>
        </w:rPr>
        <w:t>classes</w:t>
      </w:r>
      <w:r>
        <w:rPr>
          <w:b/>
          <w:color w:val="1F1546"/>
          <w:spacing w:val="-8"/>
          <w:sz w:val="20"/>
        </w:rPr>
        <w:t> </w:t>
      </w:r>
      <w:r>
        <w:rPr>
          <w:b/>
          <w:color w:val="1F1546"/>
          <w:sz w:val="20"/>
        </w:rPr>
        <w:t>within</w:t>
      </w:r>
      <w:r>
        <w:rPr>
          <w:b/>
          <w:color w:val="1F1546"/>
          <w:spacing w:val="-7"/>
          <w:sz w:val="20"/>
        </w:rPr>
        <w:t> </w:t>
      </w:r>
      <w:r>
        <w:rPr>
          <w:b/>
          <w:color w:val="1F1546"/>
          <w:sz w:val="20"/>
        </w:rPr>
        <w:t>each</w:t>
      </w:r>
      <w:r>
        <w:rPr>
          <w:b/>
          <w:color w:val="1F1546"/>
          <w:spacing w:val="-4"/>
          <w:sz w:val="20"/>
        </w:rPr>
        <w:t> </w:t>
      </w:r>
      <w:r>
        <w:rPr>
          <w:b/>
          <w:color w:val="1F1546"/>
          <w:sz w:val="20"/>
        </w:rPr>
        <w:t>FCMLs'</w:t>
      </w:r>
      <w:r>
        <w:rPr>
          <w:b/>
          <w:color w:val="1F1546"/>
          <w:spacing w:val="-5"/>
          <w:sz w:val="20"/>
        </w:rPr>
        <w:t> </w:t>
      </w:r>
      <w:r>
        <w:rPr>
          <w:b/>
          <w:color w:val="1F1546"/>
          <w:sz w:val="20"/>
        </w:rPr>
        <w:t>and</w:t>
      </w:r>
      <w:r>
        <w:rPr>
          <w:b/>
          <w:color w:val="1F1546"/>
          <w:spacing w:val="-6"/>
          <w:sz w:val="20"/>
        </w:rPr>
        <w:t> </w:t>
      </w:r>
      <w:r>
        <w:rPr>
          <w:b/>
          <w:color w:val="1F1546"/>
          <w:spacing w:val="-2"/>
          <w:sz w:val="20"/>
        </w:rPr>
        <w:t>'NFCMLs.</w:t>
      </w:r>
    </w:p>
    <w:p>
      <w:pPr>
        <w:pStyle w:val="BodyText"/>
        <w:spacing w:before="1"/>
        <w:rPr>
          <w:b/>
          <w:sz w:val="10"/>
        </w:rPr>
      </w:pPr>
    </w:p>
    <w:tbl>
      <w:tblPr>
        <w:tblW w:w="0" w:type="auto"/>
        <w:jc w:val="left"/>
        <w:tblInd w:w="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44"/>
        <w:gridCol w:w="2269"/>
        <w:gridCol w:w="961"/>
        <w:gridCol w:w="819"/>
        <w:gridCol w:w="6018"/>
        <w:gridCol w:w="960"/>
        <w:gridCol w:w="960"/>
      </w:tblGrid>
      <w:tr>
        <w:trPr>
          <w:trHeight w:val="859" w:hRule="atLeast"/>
        </w:trPr>
        <w:tc>
          <w:tcPr>
            <w:tcW w:w="2144" w:type="dxa"/>
            <w:shd w:val="clear" w:color="auto" w:fill="004B96"/>
          </w:tcPr>
          <w:p>
            <w:pPr>
              <w:pStyle w:val="TableParagraph"/>
              <w:rPr>
                <w:b/>
                <w:sz w:val="20"/>
              </w:rPr>
            </w:pPr>
          </w:p>
          <w:p>
            <w:pPr>
              <w:pStyle w:val="TableParagraph"/>
              <w:spacing w:before="98"/>
              <w:rPr>
                <w:b/>
                <w:sz w:val="20"/>
              </w:rPr>
            </w:pPr>
          </w:p>
          <w:p>
            <w:pPr>
              <w:pStyle w:val="TableParagraph"/>
              <w:spacing w:before="1"/>
              <w:ind w:left="122"/>
              <w:rPr>
                <w:b/>
                <w:sz w:val="20"/>
              </w:rPr>
            </w:pPr>
            <w:r>
              <w:rPr>
                <w:b/>
                <w:color w:val="FFFFFF"/>
                <w:spacing w:val="-2"/>
                <w:sz w:val="20"/>
              </w:rPr>
              <w:t>Location</w:t>
            </w:r>
          </w:p>
        </w:tc>
        <w:tc>
          <w:tcPr>
            <w:tcW w:w="2269" w:type="dxa"/>
            <w:shd w:val="clear" w:color="auto" w:fill="004B96"/>
          </w:tcPr>
          <w:p>
            <w:pPr>
              <w:pStyle w:val="TableParagraph"/>
              <w:spacing w:line="249" w:lineRule="auto" w:before="79"/>
              <w:ind w:left="205" w:right="208" w:hanging="1"/>
              <w:jc w:val="center"/>
              <w:rPr>
                <w:b/>
                <w:sz w:val="20"/>
              </w:rPr>
            </w:pPr>
            <w:r>
              <w:rPr>
                <w:b/>
                <w:color w:val="FFFFFF"/>
                <w:spacing w:val="-2"/>
                <w:sz w:val="20"/>
              </w:rPr>
              <w:t>Ecological </w:t>
            </w:r>
            <w:r>
              <w:rPr>
                <w:b/>
                <w:color w:val="FFFFFF"/>
                <w:sz w:val="20"/>
              </w:rPr>
              <w:t>Vegetation</w:t>
            </w:r>
            <w:r>
              <w:rPr>
                <w:b/>
                <w:color w:val="FFFFFF"/>
                <w:spacing w:val="-14"/>
                <w:sz w:val="20"/>
              </w:rPr>
              <w:t> </w:t>
            </w:r>
            <w:r>
              <w:rPr>
                <w:b/>
                <w:color w:val="FFFFFF"/>
                <w:sz w:val="20"/>
              </w:rPr>
              <w:t>Division </w:t>
            </w:r>
            <w:r>
              <w:rPr>
                <w:b/>
                <w:color w:val="FFFFFF"/>
                <w:spacing w:val="-2"/>
                <w:sz w:val="20"/>
              </w:rPr>
              <w:t>(EVD)</w:t>
            </w:r>
          </w:p>
        </w:tc>
        <w:tc>
          <w:tcPr>
            <w:tcW w:w="961" w:type="dxa"/>
            <w:shd w:val="clear" w:color="auto" w:fill="004B96"/>
          </w:tcPr>
          <w:p>
            <w:pPr>
              <w:pStyle w:val="TableParagraph"/>
              <w:spacing w:before="88"/>
              <w:rPr>
                <w:b/>
                <w:sz w:val="20"/>
              </w:rPr>
            </w:pPr>
          </w:p>
          <w:p>
            <w:pPr>
              <w:pStyle w:val="TableParagraph"/>
              <w:spacing w:line="249" w:lineRule="auto" w:before="1"/>
              <w:ind w:left="294" w:right="254" w:hanging="36"/>
              <w:rPr>
                <w:b/>
                <w:sz w:val="20"/>
              </w:rPr>
            </w:pPr>
            <w:r>
              <w:rPr>
                <w:b/>
                <w:color w:val="FFFFFF"/>
                <w:spacing w:val="-4"/>
                <w:sz w:val="20"/>
              </w:rPr>
              <w:t>Area (ha)</w:t>
            </w:r>
          </w:p>
        </w:tc>
        <w:tc>
          <w:tcPr>
            <w:tcW w:w="819" w:type="dxa"/>
            <w:shd w:val="clear" w:color="auto" w:fill="004B96"/>
          </w:tcPr>
          <w:p>
            <w:pPr>
              <w:pStyle w:val="TableParagraph"/>
              <w:rPr>
                <w:b/>
                <w:sz w:val="20"/>
              </w:rPr>
            </w:pPr>
          </w:p>
          <w:p>
            <w:pPr>
              <w:pStyle w:val="TableParagraph"/>
              <w:spacing w:before="98"/>
              <w:rPr>
                <w:b/>
                <w:sz w:val="20"/>
              </w:rPr>
            </w:pPr>
          </w:p>
          <w:p>
            <w:pPr>
              <w:pStyle w:val="TableParagraph"/>
              <w:spacing w:before="1"/>
              <w:jc w:val="center"/>
              <w:rPr>
                <w:b/>
                <w:sz w:val="20"/>
              </w:rPr>
            </w:pPr>
            <w:r>
              <w:rPr>
                <w:b/>
                <w:color w:val="FFFFFF"/>
                <w:spacing w:val="-10"/>
                <w:sz w:val="20"/>
              </w:rPr>
              <w:t>%</w:t>
            </w:r>
          </w:p>
        </w:tc>
        <w:tc>
          <w:tcPr>
            <w:tcW w:w="6018" w:type="dxa"/>
            <w:shd w:val="clear" w:color="auto" w:fill="004B96"/>
          </w:tcPr>
          <w:p>
            <w:pPr>
              <w:pStyle w:val="TableParagraph"/>
              <w:rPr>
                <w:b/>
                <w:sz w:val="20"/>
              </w:rPr>
            </w:pPr>
          </w:p>
          <w:p>
            <w:pPr>
              <w:pStyle w:val="TableParagraph"/>
              <w:spacing w:before="98"/>
              <w:rPr>
                <w:b/>
                <w:sz w:val="20"/>
              </w:rPr>
            </w:pPr>
          </w:p>
          <w:p>
            <w:pPr>
              <w:pStyle w:val="TableParagraph"/>
              <w:spacing w:before="1"/>
              <w:ind w:left="1370"/>
              <w:rPr>
                <w:b/>
                <w:sz w:val="20"/>
              </w:rPr>
            </w:pPr>
            <w:r>
              <w:rPr>
                <w:b/>
                <w:color w:val="FFFFFF"/>
                <w:sz w:val="20"/>
              </w:rPr>
              <w:t>Ecological</w:t>
            </w:r>
            <w:r>
              <w:rPr>
                <w:b/>
                <w:color w:val="FFFFFF"/>
                <w:spacing w:val="-8"/>
                <w:sz w:val="20"/>
              </w:rPr>
              <w:t> </w:t>
            </w:r>
            <w:r>
              <w:rPr>
                <w:b/>
                <w:color w:val="FFFFFF"/>
                <w:sz w:val="20"/>
              </w:rPr>
              <w:t>Vegetation</w:t>
            </w:r>
            <w:r>
              <w:rPr>
                <w:b/>
                <w:color w:val="FFFFFF"/>
                <w:spacing w:val="-8"/>
                <w:sz w:val="20"/>
              </w:rPr>
              <w:t> </w:t>
            </w:r>
            <w:r>
              <w:rPr>
                <w:b/>
                <w:color w:val="FFFFFF"/>
                <w:sz w:val="20"/>
              </w:rPr>
              <w:t>Class</w:t>
            </w:r>
            <w:r>
              <w:rPr>
                <w:b/>
                <w:color w:val="FFFFFF"/>
                <w:spacing w:val="-8"/>
                <w:sz w:val="20"/>
              </w:rPr>
              <w:t> </w:t>
            </w:r>
            <w:r>
              <w:rPr>
                <w:b/>
                <w:color w:val="FFFFFF"/>
                <w:spacing w:val="-4"/>
                <w:sz w:val="20"/>
              </w:rPr>
              <w:t>(EVC)</w:t>
            </w:r>
          </w:p>
        </w:tc>
        <w:tc>
          <w:tcPr>
            <w:tcW w:w="960" w:type="dxa"/>
            <w:shd w:val="clear" w:color="auto" w:fill="004B96"/>
          </w:tcPr>
          <w:p>
            <w:pPr>
              <w:pStyle w:val="TableParagraph"/>
              <w:spacing w:before="88"/>
              <w:rPr>
                <w:b/>
                <w:sz w:val="20"/>
              </w:rPr>
            </w:pPr>
          </w:p>
          <w:p>
            <w:pPr>
              <w:pStyle w:val="TableParagraph"/>
              <w:spacing w:line="249" w:lineRule="auto" w:before="1"/>
              <w:ind w:left="292" w:right="255" w:hanging="36"/>
              <w:rPr>
                <w:b/>
                <w:sz w:val="20"/>
              </w:rPr>
            </w:pPr>
            <w:r>
              <w:rPr>
                <w:b/>
                <w:color w:val="FFFFFF"/>
                <w:spacing w:val="-4"/>
                <w:sz w:val="20"/>
              </w:rPr>
              <w:t>Area (ha)</w:t>
            </w:r>
          </w:p>
        </w:tc>
        <w:tc>
          <w:tcPr>
            <w:tcW w:w="960" w:type="dxa"/>
            <w:shd w:val="clear" w:color="auto" w:fill="004B96"/>
          </w:tcPr>
          <w:p>
            <w:pPr>
              <w:pStyle w:val="TableParagraph"/>
              <w:rPr>
                <w:b/>
                <w:sz w:val="20"/>
              </w:rPr>
            </w:pPr>
          </w:p>
          <w:p>
            <w:pPr>
              <w:pStyle w:val="TableParagraph"/>
              <w:spacing w:before="98"/>
              <w:rPr>
                <w:b/>
                <w:sz w:val="20"/>
              </w:rPr>
            </w:pPr>
          </w:p>
          <w:p>
            <w:pPr>
              <w:pStyle w:val="TableParagraph"/>
              <w:spacing w:before="1"/>
              <w:ind w:right="3"/>
              <w:jc w:val="center"/>
              <w:rPr>
                <w:b/>
                <w:sz w:val="20"/>
              </w:rPr>
            </w:pPr>
            <w:r>
              <w:rPr>
                <w:b/>
                <w:color w:val="FFFFFF"/>
                <w:spacing w:val="-10"/>
                <w:sz w:val="20"/>
              </w:rPr>
              <w:t>%</w:t>
            </w:r>
          </w:p>
        </w:tc>
      </w:tr>
      <w:tr>
        <w:trPr>
          <w:trHeight w:val="584" w:hRule="atLeast"/>
        </w:trPr>
        <w:tc>
          <w:tcPr>
            <w:tcW w:w="2144" w:type="dxa"/>
          </w:tcPr>
          <w:p>
            <w:pPr>
              <w:pStyle w:val="TableParagraph"/>
              <w:spacing w:before="60"/>
              <w:rPr>
                <w:b/>
                <w:sz w:val="20"/>
              </w:rPr>
            </w:pPr>
          </w:p>
          <w:p>
            <w:pPr>
              <w:pStyle w:val="TableParagraph"/>
              <w:ind w:left="122"/>
              <w:rPr>
                <w:sz w:val="20"/>
              </w:rPr>
            </w:pPr>
            <w:r>
              <w:rPr>
                <w:sz w:val="20"/>
              </w:rPr>
              <w:t>Mt</w:t>
            </w:r>
            <w:r>
              <w:rPr>
                <w:spacing w:val="-5"/>
                <w:sz w:val="20"/>
              </w:rPr>
              <w:t> </w:t>
            </w:r>
            <w:r>
              <w:rPr>
                <w:sz w:val="20"/>
              </w:rPr>
              <w:t>Clay</w:t>
            </w:r>
            <w:r>
              <w:rPr>
                <w:spacing w:val="-4"/>
                <w:sz w:val="20"/>
              </w:rPr>
              <w:t> </w:t>
            </w:r>
            <w:r>
              <w:rPr>
                <w:sz w:val="20"/>
              </w:rPr>
              <w:t>State</w:t>
            </w:r>
            <w:r>
              <w:rPr>
                <w:spacing w:val="-6"/>
                <w:sz w:val="20"/>
              </w:rPr>
              <w:t> </w:t>
            </w:r>
            <w:r>
              <w:rPr>
                <w:spacing w:val="-2"/>
                <w:sz w:val="20"/>
              </w:rPr>
              <w:t>Forest</w:t>
            </w:r>
          </w:p>
        </w:tc>
        <w:tc>
          <w:tcPr>
            <w:tcW w:w="2269" w:type="dxa"/>
            <w:shd w:val="clear" w:color="auto" w:fill="CCDBEA"/>
          </w:tcPr>
          <w:p>
            <w:pPr>
              <w:pStyle w:val="TableParagraph"/>
              <w:spacing w:before="60"/>
              <w:rPr>
                <w:b/>
                <w:sz w:val="20"/>
              </w:rPr>
            </w:pPr>
          </w:p>
          <w:p>
            <w:pPr>
              <w:pStyle w:val="TableParagraph"/>
              <w:ind w:left="107"/>
              <w:rPr>
                <w:sz w:val="20"/>
              </w:rPr>
            </w:pPr>
            <w:r>
              <w:rPr>
                <w:sz w:val="20"/>
              </w:rPr>
              <w:t>Other</w:t>
            </w:r>
            <w:r>
              <w:rPr>
                <w:spacing w:val="-10"/>
                <w:sz w:val="20"/>
              </w:rPr>
              <w:t> </w:t>
            </w:r>
            <w:r>
              <w:rPr>
                <w:spacing w:val="-4"/>
                <w:sz w:val="20"/>
              </w:rPr>
              <w:t>EVDs</w:t>
            </w:r>
          </w:p>
        </w:tc>
        <w:tc>
          <w:tcPr>
            <w:tcW w:w="961" w:type="dxa"/>
          </w:tcPr>
          <w:p>
            <w:pPr>
              <w:pStyle w:val="TableParagraph"/>
              <w:spacing w:before="60"/>
              <w:rPr>
                <w:b/>
                <w:sz w:val="20"/>
              </w:rPr>
            </w:pPr>
          </w:p>
          <w:p>
            <w:pPr>
              <w:pStyle w:val="TableParagraph"/>
              <w:ind w:left="107"/>
              <w:rPr>
                <w:sz w:val="20"/>
              </w:rPr>
            </w:pPr>
            <w:r>
              <w:rPr>
                <w:spacing w:val="-4"/>
                <w:sz w:val="20"/>
              </w:rPr>
              <w:t>1597</w:t>
            </w:r>
          </w:p>
        </w:tc>
        <w:tc>
          <w:tcPr>
            <w:tcW w:w="819" w:type="dxa"/>
            <w:tcBorders>
              <w:right w:val="single" w:sz="4" w:space="0" w:color="004B96"/>
            </w:tcBorders>
            <w:shd w:val="clear" w:color="auto" w:fill="CCDBEA"/>
          </w:tcPr>
          <w:p>
            <w:pPr>
              <w:pStyle w:val="TableParagraph"/>
              <w:spacing w:before="60"/>
              <w:rPr>
                <w:b/>
                <w:sz w:val="20"/>
              </w:rPr>
            </w:pPr>
          </w:p>
          <w:p>
            <w:pPr>
              <w:pStyle w:val="TableParagraph"/>
              <w:ind w:left="106"/>
              <w:rPr>
                <w:sz w:val="20"/>
              </w:rPr>
            </w:pPr>
            <w:r>
              <w:rPr>
                <w:spacing w:val="-4"/>
                <w:sz w:val="20"/>
              </w:rPr>
              <w:t>36.3</w:t>
            </w:r>
          </w:p>
        </w:tc>
        <w:tc>
          <w:tcPr>
            <w:tcW w:w="6018" w:type="dxa"/>
            <w:tcBorders>
              <w:left w:val="single" w:sz="4" w:space="0" w:color="004B96"/>
            </w:tcBorders>
          </w:tcPr>
          <w:p>
            <w:pPr>
              <w:pStyle w:val="TableParagraph"/>
              <w:spacing w:before="59"/>
              <w:ind w:left="100"/>
              <w:rPr>
                <w:sz w:val="20"/>
              </w:rPr>
            </w:pPr>
            <w:r>
              <w:rPr>
                <w:sz w:val="20"/>
              </w:rPr>
              <w:t>Heathy</w:t>
            </w:r>
            <w:r>
              <w:rPr>
                <w:spacing w:val="-11"/>
                <w:sz w:val="20"/>
              </w:rPr>
              <w:t> </w:t>
            </w:r>
            <w:r>
              <w:rPr>
                <w:sz w:val="20"/>
              </w:rPr>
              <w:t>Woodland/Damp</w:t>
            </w:r>
            <w:r>
              <w:rPr>
                <w:spacing w:val="-13"/>
                <w:sz w:val="20"/>
              </w:rPr>
              <w:t> </w:t>
            </w:r>
            <w:r>
              <w:rPr>
                <w:sz w:val="20"/>
              </w:rPr>
              <w:t>Heathy</w:t>
            </w:r>
            <w:r>
              <w:rPr>
                <w:spacing w:val="-11"/>
                <w:sz w:val="20"/>
              </w:rPr>
              <w:t> </w:t>
            </w:r>
            <w:r>
              <w:rPr>
                <w:sz w:val="20"/>
              </w:rPr>
              <w:t>Woodland/Damp</w:t>
            </w:r>
            <w:r>
              <w:rPr>
                <w:spacing w:val="-13"/>
                <w:sz w:val="20"/>
              </w:rPr>
              <w:t> </w:t>
            </w:r>
            <w:r>
              <w:rPr>
                <w:sz w:val="20"/>
              </w:rPr>
              <w:t>Heathland </w:t>
            </w:r>
            <w:r>
              <w:rPr>
                <w:spacing w:val="-2"/>
                <w:sz w:val="20"/>
              </w:rPr>
              <w:t>Mosaic</w:t>
            </w:r>
          </w:p>
        </w:tc>
        <w:tc>
          <w:tcPr>
            <w:tcW w:w="960" w:type="dxa"/>
            <w:shd w:val="clear" w:color="auto" w:fill="CCDBEA"/>
          </w:tcPr>
          <w:p>
            <w:pPr>
              <w:pStyle w:val="TableParagraph"/>
              <w:spacing w:before="60"/>
              <w:rPr>
                <w:b/>
                <w:sz w:val="20"/>
              </w:rPr>
            </w:pPr>
          </w:p>
          <w:p>
            <w:pPr>
              <w:pStyle w:val="TableParagraph"/>
              <w:ind w:left="105"/>
              <w:rPr>
                <w:sz w:val="20"/>
              </w:rPr>
            </w:pPr>
            <w:r>
              <w:rPr>
                <w:spacing w:val="-4"/>
                <w:sz w:val="20"/>
              </w:rPr>
              <w:t>1597</w:t>
            </w:r>
          </w:p>
        </w:tc>
        <w:tc>
          <w:tcPr>
            <w:tcW w:w="960" w:type="dxa"/>
          </w:tcPr>
          <w:p>
            <w:pPr>
              <w:pStyle w:val="TableParagraph"/>
              <w:spacing w:before="60"/>
              <w:rPr>
                <w:b/>
                <w:sz w:val="20"/>
              </w:rPr>
            </w:pPr>
          </w:p>
          <w:p>
            <w:pPr>
              <w:pStyle w:val="TableParagraph"/>
              <w:ind w:left="105"/>
              <w:rPr>
                <w:sz w:val="20"/>
              </w:rPr>
            </w:pPr>
            <w:r>
              <w:rPr>
                <w:spacing w:val="-4"/>
                <w:sz w:val="20"/>
              </w:rPr>
              <w:t>35.6</w:t>
            </w:r>
          </w:p>
        </w:tc>
      </w:tr>
      <w:tr>
        <w:trPr>
          <w:trHeight w:val="350" w:hRule="atLeast"/>
        </w:trPr>
        <w:tc>
          <w:tcPr>
            <w:tcW w:w="2144" w:type="dxa"/>
          </w:tcPr>
          <w:p>
            <w:pPr>
              <w:pStyle w:val="TableParagraph"/>
              <w:spacing w:before="57"/>
              <w:ind w:left="122"/>
              <w:rPr>
                <w:sz w:val="20"/>
              </w:rPr>
            </w:pPr>
            <w:r>
              <w:rPr>
                <w:sz w:val="20"/>
              </w:rPr>
              <w:t>(fox</w:t>
            </w:r>
            <w:r>
              <w:rPr>
                <w:spacing w:val="-4"/>
                <w:sz w:val="20"/>
              </w:rPr>
              <w:t> </w:t>
            </w:r>
            <w:r>
              <w:rPr>
                <w:spacing w:val="-2"/>
                <w:sz w:val="20"/>
              </w:rPr>
              <w:t>control)</w:t>
            </w:r>
          </w:p>
        </w:tc>
        <w:tc>
          <w:tcPr>
            <w:tcW w:w="2269" w:type="dxa"/>
            <w:shd w:val="clear" w:color="auto" w:fill="CCDBEA"/>
          </w:tcPr>
          <w:p>
            <w:pPr>
              <w:pStyle w:val="TableParagraph"/>
              <w:spacing w:before="57"/>
              <w:ind w:left="107"/>
              <w:rPr>
                <w:sz w:val="20"/>
              </w:rPr>
            </w:pPr>
            <w:r>
              <w:rPr>
                <w:sz w:val="20"/>
              </w:rPr>
              <w:t>Tall</w:t>
            </w:r>
            <w:r>
              <w:rPr>
                <w:spacing w:val="-7"/>
                <w:sz w:val="20"/>
              </w:rPr>
              <w:t> </w:t>
            </w:r>
            <w:r>
              <w:rPr>
                <w:sz w:val="20"/>
              </w:rPr>
              <w:t>Mixed</w:t>
            </w:r>
            <w:r>
              <w:rPr>
                <w:spacing w:val="-7"/>
                <w:sz w:val="20"/>
              </w:rPr>
              <w:t> </w:t>
            </w:r>
            <w:r>
              <w:rPr>
                <w:spacing w:val="-2"/>
                <w:sz w:val="20"/>
              </w:rPr>
              <w:t>Forest</w:t>
            </w:r>
          </w:p>
        </w:tc>
        <w:tc>
          <w:tcPr>
            <w:tcW w:w="961" w:type="dxa"/>
          </w:tcPr>
          <w:p>
            <w:pPr>
              <w:pStyle w:val="TableParagraph"/>
              <w:spacing w:before="57"/>
              <w:ind w:left="107"/>
              <w:rPr>
                <w:sz w:val="20"/>
              </w:rPr>
            </w:pPr>
            <w:r>
              <w:rPr>
                <w:spacing w:val="-4"/>
                <w:sz w:val="20"/>
              </w:rPr>
              <w:t>2797</w:t>
            </w:r>
          </w:p>
        </w:tc>
        <w:tc>
          <w:tcPr>
            <w:tcW w:w="819" w:type="dxa"/>
            <w:tcBorders>
              <w:right w:val="single" w:sz="4" w:space="0" w:color="004B96"/>
            </w:tcBorders>
            <w:shd w:val="clear" w:color="auto" w:fill="CCDBEA"/>
          </w:tcPr>
          <w:p>
            <w:pPr>
              <w:pStyle w:val="TableParagraph"/>
              <w:spacing w:before="57"/>
              <w:ind w:left="106"/>
              <w:rPr>
                <w:sz w:val="20"/>
              </w:rPr>
            </w:pPr>
            <w:r>
              <w:rPr>
                <w:spacing w:val="-4"/>
                <w:sz w:val="20"/>
              </w:rPr>
              <w:t>63.7</w:t>
            </w:r>
          </w:p>
        </w:tc>
        <w:tc>
          <w:tcPr>
            <w:tcW w:w="6018" w:type="dxa"/>
            <w:tcBorders>
              <w:left w:val="single" w:sz="4" w:space="0" w:color="004B96"/>
            </w:tcBorders>
          </w:tcPr>
          <w:p>
            <w:pPr>
              <w:pStyle w:val="TableParagraph"/>
              <w:spacing w:before="57"/>
              <w:ind w:left="100"/>
              <w:rPr>
                <w:sz w:val="20"/>
              </w:rPr>
            </w:pPr>
            <w:r>
              <w:rPr>
                <w:sz w:val="20"/>
              </w:rPr>
              <w:t>Herb-rich</w:t>
            </w:r>
            <w:r>
              <w:rPr>
                <w:spacing w:val="-12"/>
                <w:sz w:val="20"/>
              </w:rPr>
              <w:t> </w:t>
            </w:r>
            <w:r>
              <w:rPr>
                <w:sz w:val="20"/>
              </w:rPr>
              <w:t>Foothill</w:t>
            </w:r>
            <w:r>
              <w:rPr>
                <w:spacing w:val="-11"/>
                <w:sz w:val="20"/>
              </w:rPr>
              <w:t> </w:t>
            </w:r>
            <w:r>
              <w:rPr>
                <w:spacing w:val="-2"/>
                <w:sz w:val="20"/>
              </w:rPr>
              <w:t>Forest</w:t>
            </w:r>
          </w:p>
        </w:tc>
        <w:tc>
          <w:tcPr>
            <w:tcW w:w="960" w:type="dxa"/>
            <w:shd w:val="clear" w:color="auto" w:fill="CCDBEA"/>
          </w:tcPr>
          <w:p>
            <w:pPr>
              <w:pStyle w:val="TableParagraph"/>
              <w:spacing w:before="57"/>
              <w:ind w:left="105"/>
              <w:rPr>
                <w:sz w:val="20"/>
              </w:rPr>
            </w:pPr>
            <w:r>
              <w:rPr>
                <w:spacing w:val="-5"/>
                <w:sz w:val="20"/>
              </w:rPr>
              <w:t>847</w:t>
            </w:r>
          </w:p>
        </w:tc>
        <w:tc>
          <w:tcPr>
            <w:tcW w:w="960" w:type="dxa"/>
          </w:tcPr>
          <w:p>
            <w:pPr>
              <w:pStyle w:val="TableParagraph"/>
              <w:spacing w:before="57"/>
              <w:ind w:left="105"/>
              <w:rPr>
                <w:sz w:val="20"/>
              </w:rPr>
            </w:pPr>
            <w:r>
              <w:rPr>
                <w:spacing w:val="-4"/>
                <w:sz w:val="20"/>
              </w:rPr>
              <w:t>18.9</w:t>
            </w:r>
          </w:p>
        </w:tc>
      </w:tr>
      <w:tr>
        <w:trPr>
          <w:trHeight w:val="347" w:hRule="atLeast"/>
        </w:trPr>
        <w:tc>
          <w:tcPr>
            <w:tcW w:w="2144" w:type="dxa"/>
            <w:tcBorders>
              <w:bottom w:val="single" w:sz="4" w:space="0" w:color="004B96"/>
            </w:tcBorders>
          </w:tcPr>
          <w:p>
            <w:pPr>
              <w:pStyle w:val="TableParagraph"/>
              <w:rPr>
                <w:rFonts w:ascii="Times New Roman"/>
                <w:sz w:val="18"/>
              </w:rPr>
            </w:pPr>
          </w:p>
        </w:tc>
        <w:tc>
          <w:tcPr>
            <w:tcW w:w="2269" w:type="dxa"/>
            <w:tcBorders>
              <w:bottom w:val="single" w:sz="4" w:space="0" w:color="004B96"/>
            </w:tcBorders>
            <w:shd w:val="clear" w:color="auto" w:fill="CCDBEA"/>
          </w:tcPr>
          <w:p>
            <w:pPr>
              <w:pStyle w:val="TableParagraph"/>
              <w:rPr>
                <w:rFonts w:ascii="Times New Roman"/>
                <w:sz w:val="18"/>
              </w:rPr>
            </w:pPr>
          </w:p>
        </w:tc>
        <w:tc>
          <w:tcPr>
            <w:tcW w:w="961" w:type="dxa"/>
            <w:tcBorders>
              <w:bottom w:val="single" w:sz="4" w:space="0" w:color="004B96"/>
            </w:tcBorders>
          </w:tcPr>
          <w:p>
            <w:pPr>
              <w:pStyle w:val="TableParagraph"/>
              <w:rPr>
                <w:rFonts w:ascii="Times New Roman"/>
                <w:sz w:val="18"/>
              </w:rPr>
            </w:pPr>
          </w:p>
        </w:tc>
        <w:tc>
          <w:tcPr>
            <w:tcW w:w="819" w:type="dxa"/>
            <w:tcBorders>
              <w:bottom w:val="single" w:sz="4" w:space="0" w:color="004B96"/>
              <w:right w:val="single" w:sz="4" w:space="0" w:color="004B96"/>
            </w:tcBorders>
            <w:shd w:val="clear" w:color="auto" w:fill="CCDBEA"/>
          </w:tcPr>
          <w:p>
            <w:pPr>
              <w:pStyle w:val="TableParagraph"/>
              <w:rPr>
                <w:rFonts w:ascii="Times New Roman"/>
                <w:sz w:val="18"/>
              </w:rPr>
            </w:pPr>
          </w:p>
        </w:tc>
        <w:tc>
          <w:tcPr>
            <w:tcW w:w="6018" w:type="dxa"/>
            <w:tcBorders>
              <w:left w:val="single" w:sz="4" w:space="0" w:color="004B96"/>
              <w:bottom w:val="single" w:sz="4" w:space="0" w:color="004B96"/>
            </w:tcBorders>
          </w:tcPr>
          <w:p>
            <w:pPr>
              <w:pStyle w:val="TableParagraph"/>
              <w:spacing w:before="56"/>
              <w:ind w:left="100"/>
              <w:rPr>
                <w:sz w:val="20"/>
              </w:rPr>
            </w:pPr>
            <w:r>
              <w:rPr>
                <w:sz w:val="20"/>
              </w:rPr>
              <w:t>Lowland</w:t>
            </w:r>
            <w:r>
              <w:rPr>
                <w:spacing w:val="-11"/>
                <w:sz w:val="20"/>
              </w:rPr>
              <w:t> </w:t>
            </w:r>
            <w:r>
              <w:rPr>
                <w:spacing w:val="-2"/>
                <w:sz w:val="20"/>
              </w:rPr>
              <w:t>Forest</w:t>
            </w:r>
          </w:p>
        </w:tc>
        <w:tc>
          <w:tcPr>
            <w:tcW w:w="960" w:type="dxa"/>
            <w:tcBorders>
              <w:bottom w:val="single" w:sz="4" w:space="0" w:color="004B96"/>
            </w:tcBorders>
            <w:shd w:val="clear" w:color="auto" w:fill="CCDBEA"/>
          </w:tcPr>
          <w:p>
            <w:pPr>
              <w:pStyle w:val="TableParagraph"/>
              <w:spacing w:before="56"/>
              <w:ind w:left="105"/>
              <w:rPr>
                <w:sz w:val="20"/>
              </w:rPr>
            </w:pPr>
            <w:r>
              <w:rPr>
                <w:spacing w:val="-4"/>
                <w:sz w:val="20"/>
              </w:rPr>
              <w:t>1950</w:t>
            </w:r>
          </w:p>
        </w:tc>
        <w:tc>
          <w:tcPr>
            <w:tcW w:w="960" w:type="dxa"/>
            <w:tcBorders>
              <w:bottom w:val="single" w:sz="4" w:space="0" w:color="004B96"/>
            </w:tcBorders>
          </w:tcPr>
          <w:p>
            <w:pPr>
              <w:pStyle w:val="TableParagraph"/>
              <w:spacing w:before="56"/>
              <w:ind w:left="105"/>
              <w:rPr>
                <w:sz w:val="20"/>
              </w:rPr>
            </w:pPr>
            <w:r>
              <w:rPr>
                <w:spacing w:val="-4"/>
                <w:sz w:val="20"/>
              </w:rPr>
              <w:t>43.4</w:t>
            </w:r>
          </w:p>
        </w:tc>
      </w:tr>
      <w:tr>
        <w:trPr>
          <w:trHeight w:val="353" w:hRule="atLeast"/>
        </w:trPr>
        <w:tc>
          <w:tcPr>
            <w:tcW w:w="2144" w:type="dxa"/>
            <w:tcBorders>
              <w:top w:val="single" w:sz="4" w:space="0" w:color="004B96"/>
            </w:tcBorders>
          </w:tcPr>
          <w:p>
            <w:pPr>
              <w:pStyle w:val="TableParagraph"/>
              <w:spacing w:before="59"/>
              <w:ind w:left="122"/>
              <w:rPr>
                <w:sz w:val="20"/>
              </w:rPr>
            </w:pPr>
            <w:r>
              <w:rPr>
                <w:spacing w:val="-2"/>
                <w:sz w:val="20"/>
              </w:rPr>
              <w:t>LGNP-South</w:t>
            </w:r>
          </w:p>
        </w:tc>
        <w:tc>
          <w:tcPr>
            <w:tcW w:w="2269" w:type="dxa"/>
            <w:tcBorders>
              <w:top w:val="single" w:sz="4" w:space="0" w:color="004B96"/>
            </w:tcBorders>
            <w:shd w:val="clear" w:color="auto" w:fill="CCDBEA"/>
          </w:tcPr>
          <w:p>
            <w:pPr>
              <w:pStyle w:val="TableParagraph"/>
              <w:spacing w:before="59"/>
              <w:ind w:left="107"/>
              <w:rPr>
                <w:sz w:val="20"/>
              </w:rPr>
            </w:pPr>
            <w:r>
              <w:rPr>
                <w:sz w:val="20"/>
              </w:rPr>
              <w:t>Tall</w:t>
            </w:r>
            <w:r>
              <w:rPr>
                <w:spacing w:val="-7"/>
                <w:sz w:val="20"/>
              </w:rPr>
              <w:t> </w:t>
            </w:r>
            <w:r>
              <w:rPr>
                <w:sz w:val="20"/>
              </w:rPr>
              <w:t>Mixed</w:t>
            </w:r>
            <w:r>
              <w:rPr>
                <w:spacing w:val="-7"/>
                <w:sz w:val="20"/>
              </w:rPr>
              <w:t> </w:t>
            </w:r>
            <w:r>
              <w:rPr>
                <w:spacing w:val="-2"/>
                <w:sz w:val="20"/>
              </w:rPr>
              <w:t>Forest</w:t>
            </w:r>
          </w:p>
        </w:tc>
        <w:tc>
          <w:tcPr>
            <w:tcW w:w="961" w:type="dxa"/>
            <w:tcBorders>
              <w:top w:val="single" w:sz="4" w:space="0" w:color="004B96"/>
            </w:tcBorders>
          </w:tcPr>
          <w:p>
            <w:pPr>
              <w:pStyle w:val="TableParagraph"/>
              <w:spacing w:before="59"/>
              <w:ind w:left="107"/>
              <w:rPr>
                <w:sz w:val="20"/>
              </w:rPr>
            </w:pPr>
            <w:r>
              <w:rPr>
                <w:spacing w:val="-4"/>
                <w:sz w:val="20"/>
              </w:rPr>
              <w:t>1319</w:t>
            </w:r>
          </w:p>
        </w:tc>
        <w:tc>
          <w:tcPr>
            <w:tcW w:w="819" w:type="dxa"/>
            <w:tcBorders>
              <w:top w:val="single" w:sz="4" w:space="0" w:color="004B96"/>
              <w:right w:val="single" w:sz="4" w:space="0" w:color="004B96"/>
            </w:tcBorders>
            <w:shd w:val="clear" w:color="auto" w:fill="CCDBEA"/>
          </w:tcPr>
          <w:p>
            <w:pPr>
              <w:pStyle w:val="TableParagraph"/>
              <w:spacing w:before="59"/>
              <w:ind w:left="106"/>
              <w:rPr>
                <w:sz w:val="20"/>
              </w:rPr>
            </w:pPr>
            <w:r>
              <w:rPr>
                <w:spacing w:val="-4"/>
                <w:sz w:val="20"/>
              </w:rPr>
              <w:t>16.5</w:t>
            </w:r>
          </w:p>
        </w:tc>
        <w:tc>
          <w:tcPr>
            <w:tcW w:w="6018" w:type="dxa"/>
            <w:tcBorders>
              <w:top w:val="single" w:sz="4" w:space="0" w:color="004B96"/>
              <w:left w:val="single" w:sz="4" w:space="0" w:color="004B96"/>
            </w:tcBorders>
          </w:tcPr>
          <w:p>
            <w:pPr>
              <w:pStyle w:val="TableParagraph"/>
              <w:spacing w:before="59"/>
              <w:ind w:left="100"/>
              <w:rPr>
                <w:sz w:val="20"/>
              </w:rPr>
            </w:pPr>
            <w:r>
              <w:rPr>
                <w:sz w:val="20"/>
              </w:rPr>
              <w:t>Damp</w:t>
            </w:r>
            <w:r>
              <w:rPr>
                <w:spacing w:val="-8"/>
                <w:sz w:val="20"/>
              </w:rPr>
              <w:t> </w:t>
            </w:r>
            <w:r>
              <w:rPr>
                <w:sz w:val="20"/>
              </w:rPr>
              <w:t>Sands</w:t>
            </w:r>
            <w:r>
              <w:rPr>
                <w:spacing w:val="-7"/>
                <w:sz w:val="20"/>
              </w:rPr>
              <w:t> </w:t>
            </w:r>
            <w:r>
              <w:rPr>
                <w:sz w:val="20"/>
              </w:rPr>
              <w:t>Herb-rich</w:t>
            </w:r>
            <w:r>
              <w:rPr>
                <w:spacing w:val="-9"/>
                <w:sz w:val="20"/>
              </w:rPr>
              <w:t> </w:t>
            </w:r>
            <w:r>
              <w:rPr>
                <w:spacing w:val="-2"/>
                <w:sz w:val="20"/>
              </w:rPr>
              <w:t>Woodland</w:t>
            </w:r>
          </w:p>
        </w:tc>
        <w:tc>
          <w:tcPr>
            <w:tcW w:w="960" w:type="dxa"/>
            <w:tcBorders>
              <w:top w:val="single" w:sz="4" w:space="0" w:color="004B96"/>
            </w:tcBorders>
            <w:shd w:val="clear" w:color="auto" w:fill="CCDBEA"/>
          </w:tcPr>
          <w:p>
            <w:pPr>
              <w:pStyle w:val="TableParagraph"/>
              <w:spacing w:before="59"/>
              <w:ind w:left="105"/>
              <w:rPr>
                <w:sz w:val="20"/>
              </w:rPr>
            </w:pPr>
            <w:r>
              <w:rPr>
                <w:spacing w:val="-4"/>
                <w:sz w:val="20"/>
              </w:rPr>
              <w:t>1319</w:t>
            </w:r>
          </w:p>
        </w:tc>
        <w:tc>
          <w:tcPr>
            <w:tcW w:w="960" w:type="dxa"/>
            <w:tcBorders>
              <w:top w:val="single" w:sz="4" w:space="0" w:color="004B96"/>
            </w:tcBorders>
          </w:tcPr>
          <w:p>
            <w:pPr>
              <w:pStyle w:val="TableParagraph"/>
              <w:spacing w:before="59"/>
              <w:ind w:left="105"/>
              <w:rPr>
                <w:sz w:val="20"/>
              </w:rPr>
            </w:pPr>
            <w:r>
              <w:rPr>
                <w:spacing w:val="-4"/>
                <w:sz w:val="20"/>
              </w:rPr>
              <w:t>14.9</w:t>
            </w:r>
          </w:p>
        </w:tc>
      </w:tr>
      <w:tr>
        <w:trPr>
          <w:trHeight w:val="349" w:hRule="atLeast"/>
        </w:trPr>
        <w:tc>
          <w:tcPr>
            <w:tcW w:w="2144" w:type="dxa"/>
          </w:tcPr>
          <w:p>
            <w:pPr>
              <w:pStyle w:val="TableParagraph"/>
              <w:spacing w:before="56"/>
              <w:ind w:left="122"/>
              <w:rPr>
                <w:sz w:val="20"/>
              </w:rPr>
            </w:pPr>
            <w:r>
              <w:rPr>
                <w:sz w:val="20"/>
              </w:rPr>
              <w:t>(fox</w:t>
            </w:r>
            <w:r>
              <w:rPr>
                <w:spacing w:val="-4"/>
                <w:sz w:val="20"/>
              </w:rPr>
              <w:t> </w:t>
            </w:r>
            <w:r>
              <w:rPr>
                <w:spacing w:val="-2"/>
                <w:sz w:val="20"/>
              </w:rPr>
              <w:t>control)</w:t>
            </w:r>
          </w:p>
        </w:tc>
        <w:tc>
          <w:tcPr>
            <w:tcW w:w="2269" w:type="dxa"/>
            <w:shd w:val="clear" w:color="auto" w:fill="CCDBEA"/>
          </w:tcPr>
          <w:p>
            <w:pPr>
              <w:pStyle w:val="TableParagraph"/>
              <w:spacing w:before="56"/>
              <w:ind w:left="107"/>
              <w:rPr>
                <w:sz w:val="20"/>
              </w:rPr>
            </w:pPr>
            <w:r>
              <w:rPr>
                <w:sz w:val="20"/>
              </w:rPr>
              <w:t>Other</w:t>
            </w:r>
            <w:r>
              <w:rPr>
                <w:spacing w:val="-10"/>
                <w:sz w:val="20"/>
              </w:rPr>
              <w:t> </w:t>
            </w:r>
            <w:r>
              <w:rPr>
                <w:spacing w:val="-4"/>
                <w:sz w:val="20"/>
              </w:rPr>
              <w:t>EVDs</w:t>
            </w:r>
          </w:p>
        </w:tc>
        <w:tc>
          <w:tcPr>
            <w:tcW w:w="961" w:type="dxa"/>
          </w:tcPr>
          <w:p>
            <w:pPr>
              <w:pStyle w:val="TableParagraph"/>
              <w:spacing w:before="56"/>
              <w:ind w:left="107"/>
              <w:rPr>
                <w:sz w:val="20"/>
              </w:rPr>
            </w:pPr>
            <w:r>
              <w:rPr>
                <w:spacing w:val="-4"/>
                <w:sz w:val="20"/>
              </w:rPr>
              <w:t>6654</w:t>
            </w:r>
          </w:p>
        </w:tc>
        <w:tc>
          <w:tcPr>
            <w:tcW w:w="819" w:type="dxa"/>
            <w:tcBorders>
              <w:right w:val="single" w:sz="4" w:space="0" w:color="004B96"/>
            </w:tcBorders>
            <w:shd w:val="clear" w:color="auto" w:fill="CCDBEA"/>
          </w:tcPr>
          <w:p>
            <w:pPr>
              <w:pStyle w:val="TableParagraph"/>
              <w:spacing w:before="56"/>
              <w:ind w:left="106"/>
              <w:rPr>
                <w:sz w:val="20"/>
              </w:rPr>
            </w:pPr>
            <w:r>
              <w:rPr>
                <w:spacing w:val="-4"/>
                <w:sz w:val="20"/>
              </w:rPr>
              <w:t>83.5</w:t>
            </w:r>
          </w:p>
        </w:tc>
        <w:tc>
          <w:tcPr>
            <w:tcW w:w="6018" w:type="dxa"/>
            <w:tcBorders>
              <w:left w:val="single" w:sz="4" w:space="0" w:color="004B96"/>
            </w:tcBorders>
          </w:tcPr>
          <w:p>
            <w:pPr>
              <w:pStyle w:val="TableParagraph"/>
              <w:spacing w:before="56"/>
              <w:ind w:left="100"/>
              <w:rPr>
                <w:sz w:val="20"/>
              </w:rPr>
            </w:pPr>
            <w:r>
              <w:rPr>
                <w:sz w:val="20"/>
              </w:rPr>
              <w:t>Damp</w:t>
            </w:r>
            <w:r>
              <w:rPr>
                <w:spacing w:val="-11"/>
                <w:sz w:val="20"/>
              </w:rPr>
              <w:t> </w:t>
            </w:r>
            <w:r>
              <w:rPr>
                <w:sz w:val="20"/>
              </w:rPr>
              <w:t>Sands</w:t>
            </w:r>
            <w:r>
              <w:rPr>
                <w:spacing w:val="-10"/>
                <w:sz w:val="20"/>
              </w:rPr>
              <w:t> </w:t>
            </w:r>
            <w:r>
              <w:rPr>
                <w:sz w:val="20"/>
              </w:rPr>
              <w:t>Herb-rich</w:t>
            </w:r>
            <w:r>
              <w:rPr>
                <w:spacing w:val="-10"/>
                <w:sz w:val="20"/>
              </w:rPr>
              <w:t> </w:t>
            </w:r>
            <w:r>
              <w:rPr>
                <w:sz w:val="20"/>
              </w:rPr>
              <w:t>Woodland/Heathy</w:t>
            </w:r>
            <w:r>
              <w:rPr>
                <w:spacing w:val="-11"/>
                <w:sz w:val="20"/>
              </w:rPr>
              <w:t> </w:t>
            </w:r>
            <w:r>
              <w:rPr>
                <w:sz w:val="20"/>
              </w:rPr>
              <w:t>Woodland</w:t>
            </w:r>
            <w:r>
              <w:rPr>
                <w:spacing w:val="-10"/>
                <w:sz w:val="20"/>
              </w:rPr>
              <w:t> </w:t>
            </w:r>
            <w:r>
              <w:rPr>
                <w:spacing w:val="-2"/>
                <w:sz w:val="20"/>
              </w:rPr>
              <w:t>Mosaic</w:t>
            </w:r>
          </w:p>
        </w:tc>
        <w:tc>
          <w:tcPr>
            <w:tcW w:w="960" w:type="dxa"/>
            <w:shd w:val="clear" w:color="auto" w:fill="CCDBEA"/>
          </w:tcPr>
          <w:p>
            <w:pPr>
              <w:pStyle w:val="TableParagraph"/>
              <w:spacing w:before="56"/>
              <w:ind w:left="105"/>
              <w:rPr>
                <w:sz w:val="20"/>
              </w:rPr>
            </w:pPr>
            <w:r>
              <w:rPr>
                <w:spacing w:val="-4"/>
                <w:sz w:val="20"/>
              </w:rPr>
              <w:t>2855</w:t>
            </w:r>
          </w:p>
        </w:tc>
        <w:tc>
          <w:tcPr>
            <w:tcW w:w="960" w:type="dxa"/>
          </w:tcPr>
          <w:p>
            <w:pPr>
              <w:pStyle w:val="TableParagraph"/>
              <w:spacing w:before="56"/>
              <w:ind w:left="105"/>
              <w:rPr>
                <w:sz w:val="20"/>
              </w:rPr>
            </w:pPr>
            <w:r>
              <w:rPr>
                <w:spacing w:val="-4"/>
                <w:sz w:val="20"/>
              </w:rPr>
              <w:t>32.2</w:t>
            </w:r>
          </w:p>
        </w:tc>
      </w:tr>
      <w:tr>
        <w:trPr>
          <w:trHeight w:val="579" w:hRule="atLeast"/>
        </w:trPr>
        <w:tc>
          <w:tcPr>
            <w:tcW w:w="2144" w:type="dxa"/>
          </w:tcPr>
          <w:p>
            <w:pPr>
              <w:pStyle w:val="TableParagraph"/>
              <w:rPr>
                <w:rFonts w:ascii="Times New Roman"/>
                <w:sz w:val="18"/>
              </w:rPr>
            </w:pPr>
          </w:p>
        </w:tc>
        <w:tc>
          <w:tcPr>
            <w:tcW w:w="2269" w:type="dxa"/>
            <w:shd w:val="clear" w:color="auto" w:fill="CCDBEA"/>
          </w:tcPr>
          <w:p>
            <w:pPr>
              <w:pStyle w:val="TableParagraph"/>
              <w:rPr>
                <w:rFonts w:ascii="Times New Roman"/>
                <w:sz w:val="18"/>
              </w:rPr>
            </w:pPr>
          </w:p>
        </w:tc>
        <w:tc>
          <w:tcPr>
            <w:tcW w:w="961" w:type="dxa"/>
          </w:tcPr>
          <w:p>
            <w:pPr>
              <w:pStyle w:val="TableParagraph"/>
              <w:rPr>
                <w:rFonts w:ascii="Times New Roman"/>
                <w:sz w:val="18"/>
              </w:rPr>
            </w:pPr>
          </w:p>
        </w:tc>
        <w:tc>
          <w:tcPr>
            <w:tcW w:w="819" w:type="dxa"/>
            <w:tcBorders>
              <w:right w:val="single" w:sz="4" w:space="0" w:color="004B96"/>
            </w:tcBorders>
            <w:shd w:val="clear" w:color="auto" w:fill="CCDBEA"/>
          </w:tcPr>
          <w:p>
            <w:pPr>
              <w:pStyle w:val="TableParagraph"/>
              <w:rPr>
                <w:rFonts w:ascii="Times New Roman"/>
                <w:sz w:val="18"/>
              </w:rPr>
            </w:pPr>
          </w:p>
        </w:tc>
        <w:tc>
          <w:tcPr>
            <w:tcW w:w="6018" w:type="dxa"/>
            <w:tcBorders>
              <w:left w:val="single" w:sz="4" w:space="0" w:color="004B96"/>
            </w:tcBorders>
          </w:tcPr>
          <w:p>
            <w:pPr>
              <w:pStyle w:val="TableParagraph"/>
              <w:spacing w:before="55"/>
              <w:ind w:left="100"/>
              <w:rPr>
                <w:sz w:val="20"/>
              </w:rPr>
            </w:pPr>
            <w:r>
              <w:rPr>
                <w:sz w:val="20"/>
              </w:rPr>
              <w:t>Damp</w:t>
            </w:r>
            <w:r>
              <w:rPr>
                <w:spacing w:val="-10"/>
                <w:sz w:val="20"/>
              </w:rPr>
              <w:t> </w:t>
            </w:r>
            <w:r>
              <w:rPr>
                <w:sz w:val="20"/>
              </w:rPr>
              <w:t>Sands</w:t>
            </w:r>
            <w:r>
              <w:rPr>
                <w:spacing w:val="-10"/>
                <w:sz w:val="20"/>
              </w:rPr>
              <w:t> </w:t>
            </w:r>
            <w:r>
              <w:rPr>
                <w:sz w:val="20"/>
              </w:rPr>
              <w:t>Herb-rich</w:t>
            </w:r>
            <w:r>
              <w:rPr>
                <w:spacing w:val="-11"/>
                <w:sz w:val="20"/>
              </w:rPr>
              <w:t> </w:t>
            </w:r>
            <w:r>
              <w:rPr>
                <w:sz w:val="20"/>
              </w:rPr>
              <w:t>Woodland/Heathy</w:t>
            </w:r>
            <w:r>
              <w:rPr>
                <w:spacing w:val="-10"/>
                <w:sz w:val="20"/>
              </w:rPr>
              <w:t> </w:t>
            </w:r>
            <w:r>
              <w:rPr>
                <w:sz w:val="20"/>
              </w:rPr>
              <w:t>Woodland/Sand Heathland Mosaic</w:t>
            </w:r>
          </w:p>
        </w:tc>
        <w:tc>
          <w:tcPr>
            <w:tcW w:w="960" w:type="dxa"/>
            <w:shd w:val="clear" w:color="auto" w:fill="CCDBEA"/>
          </w:tcPr>
          <w:p>
            <w:pPr>
              <w:pStyle w:val="TableParagraph"/>
              <w:spacing w:before="55"/>
              <w:rPr>
                <w:b/>
                <w:sz w:val="20"/>
              </w:rPr>
            </w:pPr>
          </w:p>
          <w:p>
            <w:pPr>
              <w:pStyle w:val="TableParagraph"/>
              <w:spacing w:before="1"/>
              <w:ind w:left="105"/>
              <w:rPr>
                <w:sz w:val="20"/>
              </w:rPr>
            </w:pPr>
            <w:r>
              <w:rPr>
                <w:spacing w:val="-5"/>
                <w:sz w:val="20"/>
              </w:rPr>
              <w:t>972</w:t>
            </w:r>
          </w:p>
        </w:tc>
        <w:tc>
          <w:tcPr>
            <w:tcW w:w="960" w:type="dxa"/>
          </w:tcPr>
          <w:p>
            <w:pPr>
              <w:pStyle w:val="TableParagraph"/>
              <w:spacing w:before="55"/>
              <w:rPr>
                <w:b/>
                <w:sz w:val="20"/>
              </w:rPr>
            </w:pPr>
          </w:p>
          <w:p>
            <w:pPr>
              <w:pStyle w:val="TableParagraph"/>
              <w:spacing w:before="1"/>
              <w:ind w:left="105"/>
              <w:rPr>
                <w:sz w:val="20"/>
              </w:rPr>
            </w:pPr>
            <w:r>
              <w:rPr>
                <w:spacing w:val="-5"/>
                <w:sz w:val="20"/>
              </w:rPr>
              <w:t>11</w:t>
            </w:r>
          </w:p>
        </w:tc>
      </w:tr>
      <w:tr>
        <w:trPr>
          <w:trHeight w:val="347" w:hRule="atLeast"/>
        </w:trPr>
        <w:tc>
          <w:tcPr>
            <w:tcW w:w="2144" w:type="dxa"/>
            <w:tcBorders>
              <w:bottom w:val="single" w:sz="4" w:space="0" w:color="004B96"/>
            </w:tcBorders>
          </w:tcPr>
          <w:p>
            <w:pPr>
              <w:pStyle w:val="TableParagraph"/>
              <w:rPr>
                <w:rFonts w:ascii="Times New Roman"/>
                <w:sz w:val="18"/>
              </w:rPr>
            </w:pPr>
          </w:p>
        </w:tc>
        <w:tc>
          <w:tcPr>
            <w:tcW w:w="2269" w:type="dxa"/>
            <w:tcBorders>
              <w:bottom w:val="single" w:sz="4" w:space="0" w:color="004B96"/>
            </w:tcBorders>
            <w:shd w:val="clear" w:color="auto" w:fill="CCDBEA"/>
          </w:tcPr>
          <w:p>
            <w:pPr>
              <w:pStyle w:val="TableParagraph"/>
              <w:rPr>
                <w:rFonts w:ascii="Times New Roman"/>
                <w:sz w:val="18"/>
              </w:rPr>
            </w:pPr>
          </w:p>
        </w:tc>
        <w:tc>
          <w:tcPr>
            <w:tcW w:w="961" w:type="dxa"/>
            <w:tcBorders>
              <w:bottom w:val="single" w:sz="4" w:space="0" w:color="004B96"/>
            </w:tcBorders>
          </w:tcPr>
          <w:p>
            <w:pPr>
              <w:pStyle w:val="TableParagraph"/>
              <w:rPr>
                <w:rFonts w:ascii="Times New Roman"/>
                <w:sz w:val="18"/>
              </w:rPr>
            </w:pPr>
          </w:p>
        </w:tc>
        <w:tc>
          <w:tcPr>
            <w:tcW w:w="819" w:type="dxa"/>
            <w:tcBorders>
              <w:bottom w:val="single" w:sz="4" w:space="0" w:color="004B96"/>
              <w:right w:val="single" w:sz="4" w:space="0" w:color="004B96"/>
            </w:tcBorders>
            <w:shd w:val="clear" w:color="auto" w:fill="CCDBEA"/>
          </w:tcPr>
          <w:p>
            <w:pPr>
              <w:pStyle w:val="TableParagraph"/>
              <w:rPr>
                <w:rFonts w:ascii="Times New Roman"/>
                <w:sz w:val="18"/>
              </w:rPr>
            </w:pPr>
          </w:p>
        </w:tc>
        <w:tc>
          <w:tcPr>
            <w:tcW w:w="6018" w:type="dxa"/>
            <w:tcBorders>
              <w:left w:val="single" w:sz="4" w:space="0" w:color="004B96"/>
              <w:bottom w:val="single" w:sz="4" w:space="0" w:color="004B96"/>
            </w:tcBorders>
          </w:tcPr>
          <w:p>
            <w:pPr>
              <w:pStyle w:val="TableParagraph"/>
              <w:spacing w:before="56"/>
              <w:ind w:left="100"/>
              <w:rPr>
                <w:sz w:val="20"/>
              </w:rPr>
            </w:pPr>
            <w:r>
              <w:rPr>
                <w:spacing w:val="-2"/>
                <w:sz w:val="20"/>
              </w:rPr>
              <w:t>Heathy</w:t>
            </w:r>
            <w:r>
              <w:rPr>
                <w:spacing w:val="8"/>
                <w:sz w:val="20"/>
              </w:rPr>
              <w:t> </w:t>
            </w:r>
            <w:r>
              <w:rPr>
                <w:spacing w:val="-2"/>
                <w:sz w:val="20"/>
              </w:rPr>
              <w:t>Woodland/Limestone</w:t>
            </w:r>
            <w:r>
              <w:rPr>
                <w:spacing w:val="7"/>
                <w:sz w:val="20"/>
              </w:rPr>
              <w:t> </w:t>
            </w:r>
            <w:r>
              <w:rPr>
                <w:spacing w:val="-2"/>
                <w:sz w:val="20"/>
              </w:rPr>
              <w:t>Woodland</w:t>
            </w:r>
            <w:r>
              <w:rPr>
                <w:spacing w:val="6"/>
                <w:sz w:val="20"/>
              </w:rPr>
              <w:t> </w:t>
            </w:r>
            <w:r>
              <w:rPr>
                <w:spacing w:val="-2"/>
                <w:sz w:val="20"/>
              </w:rPr>
              <w:t>Mosaic</w:t>
            </w:r>
          </w:p>
        </w:tc>
        <w:tc>
          <w:tcPr>
            <w:tcW w:w="960" w:type="dxa"/>
            <w:tcBorders>
              <w:bottom w:val="single" w:sz="4" w:space="0" w:color="004B96"/>
            </w:tcBorders>
            <w:shd w:val="clear" w:color="auto" w:fill="CCDBEA"/>
          </w:tcPr>
          <w:p>
            <w:pPr>
              <w:pStyle w:val="TableParagraph"/>
              <w:spacing w:before="56"/>
              <w:ind w:left="105"/>
              <w:rPr>
                <w:sz w:val="20"/>
              </w:rPr>
            </w:pPr>
            <w:r>
              <w:rPr>
                <w:spacing w:val="-4"/>
                <w:sz w:val="20"/>
              </w:rPr>
              <w:t>2827</w:t>
            </w:r>
          </w:p>
        </w:tc>
        <w:tc>
          <w:tcPr>
            <w:tcW w:w="960" w:type="dxa"/>
            <w:tcBorders>
              <w:bottom w:val="single" w:sz="4" w:space="0" w:color="004B96"/>
            </w:tcBorders>
          </w:tcPr>
          <w:p>
            <w:pPr>
              <w:pStyle w:val="TableParagraph"/>
              <w:spacing w:before="56"/>
              <w:ind w:left="105"/>
              <w:rPr>
                <w:sz w:val="20"/>
              </w:rPr>
            </w:pPr>
            <w:r>
              <w:rPr>
                <w:spacing w:val="-4"/>
                <w:sz w:val="20"/>
              </w:rPr>
              <w:t>31.9</w:t>
            </w:r>
          </w:p>
        </w:tc>
      </w:tr>
      <w:tr>
        <w:trPr>
          <w:trHeight w:val="583" w:hRule="atLeast"/>
        </w:trPr>
        <w:tc>
          <w:tcPr>
            <w:tcW w:w="2144" w:type="dxa"/>
            <w:tcBorders>
              <w:top w:val="single" w:sz="4" w:space="0" w:color="004B96"/>
            </w:tcBorders>
          </w:tcPr>
          <w:p>
            <w:pPr>
              <w:pStyle w:val="TableParagraph"/>
              <w:spacing w:before="59"/>
              <w:ind w:left="122" w:right="73"/>
              <w:rPr>
                <w:sz w:val="20"/>
              </w:rPr>
            </w:pPr>
            <w:r>
              <w:rPr>
                <w:spacing w:val="-2"/>
                <w:sz w:val="20"/>
              </w:rPr>
              <w:t>Cobboboonee </w:t>
            </w:r>
            <w:r>
              <w:rPr>
                <w:sz w:val="20"/>
              </w:rPr>
              <w:t>National Park</w:t>
            </w:r>
          </w:p>
        </w:tc>
        <w:tc>
          <w:tcPr>
            <w:tcW w:w="2269" w:type="dxa"/>
            <w:tcBorders>
              <w:top w:val="single" w:sz="4" w:space="0" w:color="004B96"/>
            </w:tcBorders>
            <w:shd w:val="clear" w:color="auto" w:fill="CCDBEA"/>
          </w:tcPr>
          <w:p>
            <w:pPr>
              <w:pStyle w:val="TableParagraph"/>
              <w:spacing w:before="60"/>
              <w:rPr>
                <w:b/>
                <w:sz w:val="20"/>
              </w:rPr>
            </w:pPr>
          </w:p>
          <w:p>
            <w:pPr>
              <w:pStyle w:val="TableParagraph"/>
              <w:ind w:left="107"/>
              <w:rPr>
                <w:sz w:val="20"/>
              </w:rPr>
            </w:pPr>
            <w:r>
              <w:rPr>
                <w:sz w:val="20"/>
              </w:rPr>
              <w:t>Tall</w:t>
            </w:r>
            <w:r>
              <w:rPr>
                <w:spacing w:val="-7"/>
                <w:sz w:val="20"/>
              </w:rPr>
              <w:t> </w:t>
            </w:r>
            <w:r>
              <w:rPr>
                <w:sz w:val="20"/>
              </w:rPr>
              <w:t>Mixed</w:t>
            </w:r>
            <w:r>
              <w:rPr>
                <w:spacing w:val="-7"/>
                <w:sz w:val="20"/>
              </w:rPr>
              <w:t> </w:t>
            </w:r>
            <w:r>
              <w:rPr>
                <w:spacing w:val="-2"/>
                <w:sz w:val="20"/>
              </w:rPr>
              <w:t>Forest</w:t>
            </w:r>
          </w:p>
        </w:tc>
        <w:tc>
          <w:tcPr>
            <w:tcW w:w="961" w:type="dxa"/>
            <w:tcBorders>
              <w:top w:val="single" w:sz="4" w:space="0" w:color="004B96"/>
            </w:tcBorders>
          </w:tcPr>
          <w:p>
            <w:pPr>
              <w:pStyle w:val="TableParagraph"/>
              <w:spacing w:before="60"/>
              <w:rPr>
                <w:b/>
                <w:sz w:val="20"/>
              </w:rPr>
            </w:pPr>
          </w:p>
          <w:p>
            <w:pPr>
              <w:pStyle w:val="TableParagraph"/>
              <w:ind w:left="107"/>
              <w:rPr>
                <w:sz w:val="20"/>
              </w:rPr>
            </w:pPr>
            <w:r>
              <w:rPr>
                <w:spacing w:val="-4"/>
                <w:sz w:val="20"/>
              </w:rPr>
              <w:t>7557</w:t>
            </w:r>
          </w:p>
        </w:tc>
        <w:tc>
          <w:tcPr>
            <w:tcW w:w="819" w:type="dxa"/>
            <w:tcBorders>
              <w:top w:val="single" w:sz="4" w:space="0" w:color="004B96"/>
              <w:right w:val="single" w:sz="4" w:space="0" w:color="004B96"/>
            </w:tcBorders>
            <w:shd w:val="clear" w:color="auto" w:fill="CCDBEA"/>
          </w:tcPr>
          <w:p>
            <w:pPr>
              <w:pStyle w:val="TableParagraph"/>
              <w:spacing w:before="60"/>
              <w:rPr>
                <w:b/>
                <w:sz w:val="20"/>
              </w:rPr>
            </w:pPr>
          </w:p>
          <w:p>
            <w:pPr>
              <w:pStyle w:val="TableParagraph"/>
              <w:ind w:left="106"/>
              <w:rPr>
                <w:sz w:val="20"/>
              </w:rPr>
            </w:pPr>
            <w:r>
              <w:rPr>
                <w:spacing w:val="-4"/>
                <w:sz w:val="20"/>
              </w:rPr>
              <w:t>79.9</w:t>
            </w:r>
          </w:p>
        </w:tc>
        <w:tc>
          <w:tcPr>
            <w:tcW w:w="6018" w:type="dxa"/>
            <w:tcBorders>
              <w:top w:val="single" w:sz="4" w:space="0" w:color="004B96"/>
              <w:left w:val="single" w:sz="4" w:space="0" w:color="004B96"/>
            </w:tcBorders>
          </w:tcPr>
          <w:p>
            <w:pPr>
              <w:pStyle w:val="TableParagraph"/>
              <w:spacing w:before="60"/>
              <w:rPr>
                <w:b/>
                <w:sz w:val="20"/>
              </w:rPr>
            </w:pPr>
          </w:p>
          <w:p>
            <w:pPr>
              <w:pStyle w:val="TableParagraph"/>
              <w:ind w:left="100"/>
              <w:rPr>
                <w:sz w:val="20"/>
              </w:rPr>
            </w:pPr>
            <w:r>
              <w:rPr>
                <w:sz w:val="20"/>
              </w:rPr>
              <w:t>Lowland</w:t>
            </w:r>
            <w:r>
              <w:rPr>
                <w:spacing w:val="-11"/>
                <w:sz w:val="20"/>
              </w:rPr>
              <w:t> </w:t>
            </w:r>
            <w:r>
              <w:rPr>
                <w:spacing w:val="-2"/>
                <w:sz w:val="20"/>
              </w:rPr>
              <w:t>Forest</w:t>
            </w:r>
          </w:p>
        </w:tc>
        <w:tc>
          <w:tcPr>
            <w:tcW w:w="960" w:type="dxa"/>
            <w:tcBorders>
              <w:top w:val="single" w:sz="4" w:space="0" w:color="004B96"/>
            </w:tcBorders>
            <w:shd w:val="clear" w:color="auto" w:fill="CCDBEA"/>
          </w:tcPr>
          <w:p>
            <w:pPr>
              <w:pStyle w:val="TableParagraph"/>
              <w:spacing w:before="60"/>
              <w:rPr>
                <w:b/>
                <w:sz w:val="20"/>
              </w:rPr>
            </w:pPr>
          </w:p>
          <w:p>
            <w:pPr>
              <w:pStyle w:val="TableParagraph"/>
              <w:ind w:left="105"/>
              <w:rPr>
                <w:sz w:val="20"/>
              </w:rPr>
            </w:pPr>
            <w:r>
              <w:rPr>
                <w:spacing w:val="-4"/>
                <w:sz w:val="20"/>
              </w:rPr>
              <w:t>7557</w:t>
            </w:r>
          </w:p>
        </w:tc>
        <w:tc>
          <w:tcPr>
            <w:tcW w:w="960" w:type="dxa"/>
            <w:tcBorders>
              <w:top w:val="single" w:sz="4" w:space="0" w:color="004B96"/>
            </w:tcBorders>
          </w:tcPr>
          <w:p>
            <w:pPr>
              <w:pStyle w:val="TableParagraph"/>
              <w:spacing w:before="60"/>
              <w:rPr>
                <w:b/>
                <w:sz w:val="20"/>
              </w:rPr>
            </w:pPr>
          </w:p>
          <w:p>
            <w:pPr>
              <w:pStyle w:val="TableParagraph"/>
              <w:ind w:left="105"/>
              <w:rPr>
                <w:sz w:val="20"/>
              </w:rPr>
            </w:pPr>
            <w:r>
              <w:rPr>
                <w:spacing w:val="-4"/>
                <w:sz w:val="20"/>
              </w:rPr>
              <w:t>79.9</w:t>
            </w:r>
          </w:p>
        </w:tc>
      </w:tr>
      <w:tr>
        <w:trPr>
          <w:trHeight w:val="347" w:hRule="atLeast"/>
        </w:trPr>
        <w:tc>
          <w:tcPr>
            <w:tcW w:w="2144" w:type="dxa"/>
            <w:tcBorders>
              <w:bottom w:val="single" w:sz="4" w:space="0" w:color="004B96"/>
            </w:tcBorders>
          </w:tcPr>
          <w:p>
            <w:pPr>
              <w:pStyle w:val="TableParagraph"/>
              <w:spacing w:before="56"/>
              <w:ind w:left="122"/>
              <w:rPr>
                <w:sz w:val="20"/>
              </w:rPr>
            </w:pPr>
            <w:r>
              <w:rPr>
                <w:sz w:val="20"/>
              </w:rPr>
              <w:t>(fox</w:t>
            </w:r>
            <w:r>
              <w:rPr>
                <w:spacing w:val="-4"/>
                <w:sz w:val="20"/>
              </w:rPr>
              <w:t> </w:t>
            </w:r>
            <w:r>
              <w:rPr>
                <w:spacing w:val="-2"/>
                <w:sz w:val="20"/>
              </w:rPr>
              <w:t>control)</w:t>
            </w:r>
          </w:p>
        </w:tc>
        <w:tc>
          <w:tcPr>
            <w:tcW w:w="2269" w:type="dxa"/>
            <w:tcBorders>
              <w:bottom w:val="single" w:sz="4" w:space="0" w:color="004B96"/>
            </w:tcBorders>
            <w:shd w:val="clear" w:color="auto" w:fill="CCDBEA"/>
          </w:tcPr>
          <w:p>
            <w:pPr>
              <w:pStyle w:val="TableParagraph"/>
              <w:spacing w:before="56"/>
              <w:ind w:left="107"/>
              <w:rPr>
                <w:sz w:val="20"/>
              </w:rPr>
            </w:pPr>
            <w:r>
              <w:rPr>
                <w:sz w:val="20"/>
              </w:rPr>
              <w:t>Other</w:t>
            </w:r>
            <w:r>
              <w:rPr>
                <w:spacing w:val="-10"/>
                <w:sz w:val="20"/>
              </w:rPr>
              <w:t> </w:t>
            </w:r>
            <w:r>
              <w:rPr>
                <w:spacing w:val="-4"/>
                <w:sz w:val="20"/>
              </w:rPr>
              <w:t>EVDs</w:t>
            </w:r>
          </w:p>
        </w:tc>
        <w:tc>
          <w:tcPr>
            <w:tcW w:w="961" w:type="dxa"/>
            <w:tcBorders>
              <w:bottom w:val="single" w:sz="4" w:space="0" w:color="004B96"/>
            </w:tcBorders>
          </w:tcPr>
          <w:p>
            <w:pPr>
              <w:pStyle w:val="TableParagraph"/>
              <w:spacing w:before="56"/>
              <w:ind w:left="107"/>
              <w:rPr>
                <w:sz w:val="20"/>
              </w:rPr>
            </w:pPr>
            <w:r>
              <w:rPr>
                <w:spacing w:val="-4"/>
                <w:sz w:val="20"/>
              </w:rPr>
              <w:t>1035</w:t>
            </w:r>
          </w:p>
        </w:tc>
        <w:tc>
          <w:tcPr>
            <w:tcW w:w="819" w:type="dxa"/>
            <w:tcBorders>
              <w:bottom w:val="single" w:sz="4" w:space="0" w:color="004B96"/>
              <w:right w:val="single" w:sz="4" w:space="0" w:color="004B96"/>
            </w:tcBorders>
            <w:shd w:val="clear" w:color="auto" w:fill="CCDBEA"/>
          </w:tcPr>
          <w:p>
            <w:pPr>
              <w:pStyle w:val="TableParagraph"/>
              <w:spacing w:before="56"/>
              <w:ind w:left="106"/>
              <w:rPr>
                <w:sz w:val="20"/>
              </w:rPr>
            </w:pPr>
            <w:r>
              <w:rPr>
                <w:spacing w:val="-4"/>
                <w:sz w:val="20"/>
              </w:rPr>
              <w:t>11.0</w:t>
            </w:r>
          </w:p>
        </w:tc>
        <w:tc>
          <w:tcPr>
            <w:tcW w:w="6018" w:type="dxa"/>
            <w:tcBorders>
              <w:left w:val="single" w:sz="4" w:space="0" w:color="004B96"/>
              <w:bottom w:val="single" w:sz="4" w:space="0" w:color="004B96"/>
            </w:tcBorders>
          </w:tcPr>
          <w:p>
            <w:pPr>
              <w:pStyle w:val="TableParagraph"/>
              <w:spacing w:before="56"/>
              <w:ind w:left="100"/>
              <w:rPr>
                <w:sz w:val="20"/>
              </w:rPr>
            </w:pPr>
            <w:r>
              <w:rPr>
                <w:sz w:val="20"/>
              </w:rPr>
              <w:t>Wet</w:t>
            </w:r>
            <w:r>
              <w:rPr>
                <w:spacing w:val="-10"/>
                <w:sz w:val="20"/>
              </w:rPr>
              <w:t> </w:t>
            </w:r>
            <w:r>
              <w:rPr>
                <w:sz w:val="20"/>
              </w:rPr>
              <w:t>Heathland/Heathy</w:t>
            </w:r>
            <w:r>
              <w:rPr>
                <w:spacing w:val="-10"/>
                <w:sz w:val="20"/>
              </w:rPr>
              <w:t> </w:t>
            </w:r>
            <w:r>
              <w:rPr>
                <w:sz w:val="20"/>
              </w:rPr>
              <w:t>Woodland</w:t>
            </w:r>
            <w:r>
              <w:rPr>
                <w:spacing w:val="-9"/>
                <w:sz w:val="20"/>
              </w:rPr>
              <w:t> </w:t>
            </w:r>
            <w:r>
              <w:rPr>
                <w:spacing w:val="-2"/>
                <w:sz w:val="20"/>
              </w:rPr>
              <w:t>Mosaic</w:t>
            </w:r>
          </w:p>
        </w:tc>
        <w:tc>
          <w:tcPr>
            <w:tcW w:w="960" w:type="dxa"/>
            <w:tcBorders>
              <w:bottom w:val="single" w:sz="4" w:space="0" w:color="004B96"/>
            </w:tcBorders>
            <w:shd w:val="clear" w:color="auto" w:fill="CCDBEA"/>
          </w:tcPr>
          <w:p>
            <w:pPr>
              <w:pStyle w:val="TableParagraph"/>
              <w:spacing w:before="56"/>
              <w:ind w:left="105"/>
              <w:rPr>
                <w:sz w:val="20"/>
              </w:rPr>
            </w:pPr>
            <w:r>
              <w:rPr>
                <w:spacing w:val="-4"/>
                <w:sz w:val="20"/>
              </w:rPr>
              <w:t>1035</w:t>
            </w:r>
          </w:p>
        </w:tc>
        <w:tc>
          <w:tcPr>
            <w:tcW w:w="960" w:type="dxa"/>
            <w:tcBorders>
              <w:bottom w:val="single" w:sz="4" w:space="0" w:color="004B96"/>
            </w:tcBorders>
          </w:tcPr>
          <w:p>
            <w:pPr>
              <w:pStyle w:val="TableParagraph"/>
              <w:spacing w:before="56"/>
              <w:ind w:left="105"/>
              <w:rPr>
                <w:sz w:val="20"/>
              </w:rPr>
            </w:pPr>
            <w:r>
              <w:rPr>
                <w:spacing w:val="-5"/>
                <w:sz w:val="20"/>
              </w:rPr>
              <w:t>11</w:t>
            </w:r>
          </w:p>
        </w:tc>
      </w:tr>
      <w:tr>
        <w:trPr>
          <w:trHeight w:val="353" w:hRule="atLeast"/>
        </w:trPr>
        <w:tc>
          <w:tcPr>
            <w:tcW w:w="2144" w:type="dxa"/>
            <w:tcBorders>
              <w:top w:val="single" w:sz="4" w:space="0" w:color="004B96"/>
            </w:tcBorders>
          </w:tcPr>
          <w:p>
            <w:pPr>
              <w:pStyle w:val="TableParagraph"/>
              <w:spacing w:before="59"/>
              <w:ind w:left="122"/>
              <w:rPr>
                <w:sz w:val="20"/>
              </w:rPr>
            </w:pPr>
            <w:r>
              <w:rPr>
                <w:sz w:val="20"/>
              </w:rPr>
              <w:t>Hotspur</w:t>
            </w:r>
            <w:r>
              <w:rPr>
                <w:spacing w:val="-6"/>
                <w:sz w:val="20"/>
              </w:rPr>
              <w:t> </w:t>
            </w:r>
            <w:r>
              <w:rPr>
                <w:sz w:val="20"/>
              </w:rPr>
              <w:t>State</w:t>
            </w:r>
            <w:r>
              <w:rPr>
                <w:spacing w:val="-7"/>
                <w:sz w:val="20"/>
              </w:rPr>
              <w:t> </w:t>
            </w:r>
            <w:r>
              <w:rPr>
                <w:spacing w:val="-2"/>
                <w:sz w:val="20"/>
              </w:rPr>
              <w:t>Forest</w:t>
            </w:r>
          </w:p>
        </w:tc>
        <w:tc>
          <w:tcPr>
            <w:tcW w:w="2269" w:type="dxa"/>
            <w:tcBorders>
              <w:top w:val="single" w:sz="4" w:space="0" w:color="004B96"/>
            </w:tcBorders>
            <w:shd w:val="clear" w:color="auto" w:fill="CCDBEA"/>
          </w:tcPr>
          <w:p>
            <w:pPr>
              <w:pStyle w:val="TableParagraph"/>
              <w:spacing w:before="59"/>
              <w:ind w:left="107"/>
              <w:rPr>
                <w:sz w:val="20"/>
              </w:rPr>
            </w:pPr>
            <w:r>
              <w:rPr>
                <w:sz w:val="20"/>
              </w:rPr>
              <w:t>Tall</w:t>
            </w:r>
            <w:r>
              <w:rPr>
                <w:spacing w:val="-7"/>
                <w:sz w:val="20"/>
              </w:rPr>
              <w:t> </w:t>
            </w:r>
            <w:r>
              <w:rPr>
                <w:sz w:val="20"/>
              </w:rPr>
              <w:t>Mixed</w:t>
            </w:r>
            <w:r>
              <w:rPr>
                <w:spacing w:val="-7"/>
                <w:sz w:val="20"/>
              </w:rPr>
              <w:t> </w:t>
            </w:r>
            <w:r>
              <w:rPr>
                <w:spacing w:val="-2"/>
                <w:sz w:val="20"/>
              </w:rPr>
              <w:t>Forest</w:t>
            </w:r>
          </w:p>
        </w:tc>
        <w:tc>
          <w:tcPr>
            <w:tcW w:w="961" w:type="dxa"/>
            <w:tcBorders>
              <w:top w:val="single" w:sz="4" w:space="0" w:color="004B96"/>
            </w:tcBorders>
          </w:tcPr>
          <w:p>
            <w:pPr>
              <w:pStyle w:val="TableParagraph"/>
              <w:spacing w:before="59"/>
              <w:ind w:left="107"/>
              <w:rPr>
                <w:sz w:val="20"/>
              </w:rPr>
            </w:pPr>
            <w:r>
              <w:rPr>
                <w:spacing w:val="-4"/>
                <w:sz w:val="20"/>
              </w:rPr>
              <w:t>5332</w:t>
            </w:r>
          </w:p>
        </w:tc>
        <w:tc>
          <w:tcPr>
            <w:tcW w:w="819" w:type="dxa"/>
            <w:tcBorders>
              <w:top w:val="single" w:sz="4" w:space="0" w:color="004B96"/>
              <w:right w:val="single" w:sz="4" w:space="0" w:color="004B96"/>
            </w:tcBorders>
            <w:shd w:val="clear" w:color="auto" w:fill="CCDBEA"/>
          </w:tcPr>
          <w:p>
            <w:pPr>
              <w:pStyle w:val="TableParagraph"/>
              <w:spacing w:before="59"/>
              <w:ind w:left="106"/>
              <w:rPr>
                <w:sz w:val="20"/>
              </w:rPr>
            </w:pPr>
            <w:r>
              <w:rPr>
                <w:spacing w:val="-4"/>
                <w:sz w:val="20"/>
              </w:rPr>
              <w:t>91.5</w:t>
            </w:r>
          </w:p>
        </w:tc>
        <w:tc>
          <w:tcPr>
            <w:tcW w:w="6018" w:type="dxa"/>
            <w:tcBorders>
              <w:top w:val="single" w:sz="4" w:space="0" w:color="004B96"/>
              <w:left w:val="single" w:sz="4" w:space="0" w:color="004B96"/>
            </w:tcBorders>
          </w:tcPr>
          <w:p>
            <w:pPr>
              <w:pStyle w:val="TableParagraph"/>
              <w:spacing w:before="59"/>
              <w:ind w:left="100"/>
              <w:rPr>
                <w:sz w:val="20"/>
              </w:rPr>
            </w:pPr>
            <w:r>
              <w:rPr>
                <w:sz w:val="20"/>
              </w:rPr>
              <w:t>Heathy</w:t>
            </w:r>
            <w:r>
              <w:rPr>
                <w:spacing w:val="-6"/>
                <w:sz w:val="20"/>
              </w:rPr>
              <w:t> </w:t>
            </w:r>
            <w:r>
              <w:rPr>
                <w:spacing w:val="-2"/>
                <w:sz w:val="20"/>
              </w:rPr>
              <w:t>Woodland</w:t>
            </w:r>
          </w:p>
        </w:tc>
        <w:tc>
          <w:tcPr>
            <w:tcW w:w="960" w:type="dxa"/>
            <w:tcBorders>
              <w:top w:val="single" w:sz="4" w:space="0" w:color="004B96"/>
            </w:tcBorders>
            <w:shd w:val="clear" w:color="auto" w:fill="CCDBEA"/>
          </w:tcPr>
          <w:p>
            <w:pPr>
              <w:pStyle w:val="TableParagraph"/>
              <w:spacing w:before="59"/>
              <w:ind w:left="105"/>
              <w:rPr>
                <w:sz w:val="20"/>
              </w:rPr>
            </w:pPr>
            <w:r>
              <w:rPr>
                <w:spacing w:val="-4"/>
                <w:sz w:val="20"/>
              </w:rPr>
              <w:t>2235</w:t>
            </w:r>
          </w:p>
        </w:tc>
        <w:tc>
          <w:tcPr>
            <w:tcW w:w="960" w:type="dxa"/>
            <w:tcBorders>
              <w:top w:val="single" w:sz="4" w:space="0" w:color="004B96"/>
            </w:tcBorders>
          </w:tcPr>
          <w:p>
            <w:pPr>
              <w:pStyle w:val="TableParagraph"/>
              <w:spacing w:before="59"/>
              <w:ind w:left="105"/>
              <w:rPr>
                <w:sz w:val="20"/>
              </w:rPr>
            </w:pPr>
            <w:r>
              <w:rPr>
                <w:spacing w:val="-4"/>
                <w:sz w:val="20"/>
              </w:rPr>
              <w:t>32.9</w:t>
            </w:r>
          </w:p>
        </w:tc>
      </w:tr>
      <w:tr>
        <w:trPr>
          <w:trHeight w:val="349" w:hRule="atLeast"/>
        </w:trPr>
        <w:tc>
          <w:tcPr>
            <w:tcW w:w="2144" w:type="dxa"/>
          </w:tcPr>
          <w:p>
            <w:pPr>
              <w:pStyle w:val="TableParagraph"/>
              <w:spacing w:before="56"/>
              <w:ind w:left="122"/>
              <w:rPr>
                <w:sz w:val="20"/>
              </w:rPr>
            </w:pPr>
            <w:r>
              <w:rPr>
                <w:sz w:val="20"/>
              </w:rPr>
              <w:t>(no</w:t>
            </w:r>
            <w:r>
              <w:rPr>
                <w:spacing w:val="-7"/>
                <w:sz w:val="20"/>
              </w:rPr>
              <w:t> </w:t>
            </w:r>
            <w:r>
              <w:rPr>
                <w:sz w:val="20"/>
              </w:rPr>
              <w:t>fox</w:t>
            </w:r>
            <w:r>
              <w:rPr>
                <w:spacing w:val="-4"/>
                <w:sz w:val="20"/>
              </w:rPr>
              <w:t> </w:t>
            </w:r>
            <w:r>
              <w:rPr>
                <w:spacing w:val="-2"/>
                <w:sz w:val="20"/>
              </w:rPr>
              <w:t>control)</w:t>
            </w:r>
          </w:p>
        </w:tc>
        <w:tc>
          <w:tcPr>
            <w:tcW w:w="2269" w:type="dxa"/>
            <w:shd w:val="clear" w:color="auto" w:fill="CCDBEA"/>
          </w:tcPr>
          <w:p>
            <w:pPr>
              <w:pStyle w:val="TableParagraph"/>
              <w:spacing w:before="56"/>
              <w:ind w:left="107"/>
              <w:rPr>
                <w:sz w:val="20"/>
              </w:rPr>
            </w:pPr>
            <w:r>
              <w:rPr>
                <w:sz w:val="20"/>
              </w:rPr>
              <w:t>Other</w:t>
            </w:r>
            <w:r>
              <w:rPr>
                <w:spacing w:val="-10"/>
                <w:sz w:val="20"/>
              </w:rPr>
              <w:t> </w:t>
            </w:r>
            <w:r>
              <w:rPr>
                <w:spacing w:val="-4"/>
                <w:sz w:val="20"/>
              </w:rPr>
              <w:t>EVDs</w:t>
            </w:r>
          </w:p>
        </w:tc>
        <w:tc>
          <w:tcPr>
            <w:tcW w:w="961" w:type="dxa"/>
          </w:tcPr>
          <w:p>
            <w:pPr>
              <w:pStyle w:val="TableParagraph"/>
              <w:spacing w:before="56"/>
              <w:ind w:left="107"/>
              <w:rPr>
                <w:sz w:val="20"/>
              </w:rPr>
            </w:pPr>
            <w:r>
              <w:rPr>
                <w:spacing w:val="-5"/>
                <w:sz w:val="20"/>
              </w:rPr>
              <w:t>493</w:t>
            </w:r>
          </w:p>
        </w:tc>
        <w:tc>
          <w:tcPr>
            <w:tcW w:w="819" w:type="dxa"/>
            <w:tcBorders>
              <w:right w:val="single" w:sz="4" w:space="0" w:color="004B96"/>
            </w:tcBorders>
            <w:shd w:val="clear" w:color="auto" w:fill="CCDBEA"/>
          </w:tcPr>
          <w:p>
            <w:pPr>
              <w:pStyle w:val="TableParagraph"/>
              <w:spacing w:before="56"/>
              <w:ind w:left="106"/>
              <w:rPr>
                <w:sz w:val="20"/>
              </w:rPr>
            </w:pPr>
            <w:r>
              <w:rPr>
                <w:spacing w:val="-5"/>
                <w:sz w:val="20"/>
              </w:rPr>
              <w:t>8.5</w:t>
            </w:r>
          </w:p>
        </w:tc>
        <w:tc>
          <w:tcPr>
            <w:tcW w:w="6018" w:type="dxa"/>
            <w:tcBorders>
              <w:left w:val="single" w:sz="4" w:space="0" w:color="004B96"/>
            </w:tcBorders>
          </w:tcPr>
          <w:p>
            <w:pPr>
              <w:pStyle w:val="TableParagraph"/>
              <w:spacing w:before="56"/>
              <w:ind w:left="100"/>
              <w:rPr>
                <w:sz w:val="20"/>
              </w:rPr>
            </w:pPr>
            <w:r>
              <w:rPr>
                <w:sz w:val="20"/>
              </w:rPr>
              <w:t>Lowland</w:t>
            </w:r>
            <w:r>
              <w:rPr>
                <w:spacing w:val="-11"/>
                <w:sz w:val="20"/>
              </w:rPr>
              <w:t> </w:t>
            </w:r>
            <w:r>
              <w:rPr>
                <w:spacing w:val="-2"/>
                <w:sz w:val="20"/>
              </w:rPr>
              <w:t>Forest</w:t>
            </w:r>
          </w:p>
        </w:tc>
        <w:tc>
          <w:tcPr>
            <w:tcW w:w="960" w:type="dxa"/>
            <w:shd w:val="clear" w:color="auto" w:fill="CCDBEA"/>
          </w:tcPr>
          <w:p>
            <w:pPr>
              <w:pStyle w:val="TableParagraph"/>
              <w:spacing w:before="56"/>
              <w:ind w:left="105"/>
              <w:rPr>
                <w:sz w:val="20"/>
              </w:rPr>
            </w:pPr>
            <w:r>
              <w:rPr>
                <w:spacing w:val="-4"/>
                <w:sz w:val="20"/>
              </w:rPr>
              <w:t>3097</w:t>
            </w:r>
          </w:p>
        </w:tc>
        <w:tc>
          <w:tcPr>
            <w:tcW w:w="960" w:type="dxa"/>
          </w:tcPr>
          <w:p>
            <w:pPr>
              <w:pStyle w:val="TableParagraph"/>
              <w:spacing w:before="56"/>
              <w:ind w:left="105"/>
              <w:rPr>
                <w:sz w:val="20"/>
              </w:rPr>
            </w:pPr>
            <w:r>
              <w:rPr>
                <w:spacing w:val="-4"/>
                <w:sz w:val="20"/>
              </w:rPr>
              <w:t>45.6</w:t>
            </w:r>
          </w:p>
        </w:tc>
      </w:tr>
      <w:tr>
        <w:trPr>
          <w:trHeight w:val="346" w:hRule="atLeast"/>
        </w:trPr>
        <w:tc>
          <w:tcPr>
            <w:tcW w:w="2144" w:type="dxa"/>
            <w:tcBorders>
              <w:bottom w:val="single" w:sz="4" w:space="0" w:color="004B96"/>
            </w:tcBorders>
          </w:tcPr>
          <w:p>
            <w:pPr>
              <w:pStyle w:val="TableParagraph"/>
              <w:rPr>
                <w:rFonts w:ascii="Times New Roman"/>
                <w:sz w:val="18"/>
              </w:rPr>
            </w:pPr>
          </w:p>
        </w:tc>
        <w:tc>
          <w:tcPr>
            <w:tcW w:w="2269" w:type="dxa"/>
            <w:tcBorders>
              <w:bottom w:val="single" w:sz="4" w:space="0" w:color="004B96"/>
            </w:tcBorders>
            <w:shd w:val="clear" w:color="auto" w:fill="CCDBEA"/>
          </w:tcPr>
          <w:p>
            <w:pPr>
              <w:pStyle w:val="TableParagraph"/>
              <w:rPr>
                <w:rFonts w:ascii="Times New Roman"/>
                <w:sz w:val="18"/>
              </w:rPr>
            </w:pPr>
          </w:p>
        </w:tc>
        <w:tc>
          <w:tcPr>
            <w:tcW w:w="961" w:type="dxa"/>
            <w:tcBorders>
              <w:bottom w:val="single" w:sz="4" w:space="0" w:color="004B96"/>
            </w:tcBorders>
          </w:tcPr>
          <w:p>
            <w:pPr>
              <w:pStyle w:val="TableParagraph"/>
              <w:rPr>
                <w:rFonts w:ascii="Times New Roman"/>
                <w:sz w:val="18"/>
              </w:rPr>
            </w:pPr>
          </w:p>
        </w:tc>
        <w:tc>
          <w:tcPr>
            <w:tcW w:w="819" w:type="dxa"/>
            <w:tcBorders>
              <w:bottom w:val="single" w:sz="4" w:space="0" w:color="004B96"/>
              <w:right w:val="single" w:sz="4" w:space="0" w:color="004B96"/>
            </w:tcBorders>
            <w:shd w:val="clear" w:color="auto" w:fill="CCDBEA"/>
          </w:tcPr>
          <w:p>
            <w:pPr>
              <w:pStyle w:val="TableParagraph"/>
              <w:rPr>
                <w:rFonts w:ascii="Times New Roman"/>
                <w:sz w:val="18"/>
              </w:rPr>
            </w:pPr>
          </w:p>
        </w:tc>
        <w:tc>
          <w:tcPr>
            <w:tcW w:w="6018" w:type="dxa"/>
            <w:tcBorders>
              <w:left w:val="single" w:sz="4" w:space="0" w:color="004B96"/>
              <w:bottom w:val="single" w:sz="4" w:space="0" w:color="004B96"/>
            </w:tcBorders>
          </w:tcPr>
          <w:p>
            <w:pPr>
              <w:pStyle w:val="TableParagraph"/>
              <w:spacing w:before="55"/>
              <w:ind w:left="100"/>
              <w:rPr>
                <w:sz w:val="20"/>
              </w:rPr>
            </w:pPr>
            <w:r>
              <w:rPr>
                <w:sz w:val="20"/>
              </w:rPr>
              <w:t>Wet</w:t>
            </w:r>
            <w:r>
              <w:rPr>
                <w:spacing w:val="-4"/>
                <w:sz w:val="20"/>
              </w:rPr>
              <w:t> </w:t>
            </w:r>
            <w:r>
              <w:rPr>
                <w:spacing w:val="-2"/>
                <w:sz w:val="20"/>
              </w:rPr>
              <w:t>Heathland</w:t>
            </w:r>
          </w:p>
        </w:tc>
        <w:tc>
          <w:tcPr>
            <w:tcW w:w="960" w:type="dxa"/>
            <w:tcBorders>
              <w:bottom w:val="single" w:sz="4" w:space="0" w:color="004B96"/>
            </w:tcBorders>
            <w:shd w:val="clear" w:color="auto" w:fill="CCDBEA"/>
          </w:tcPr>
          <w:p>
            <w:pPr>
              <w:pStyle w:val="TableParagraph"/>
              <w:spacing w:before="55"/>
              <w:ind w:left="105"/>
              <w:rPr>
                <w:sz w:val="20"/>
              </w:rPr>
            </w:pPr>
            <w:r>
              <w:rPr>
                <w:spacing w:val="-5"/>
                <w:sz w:val="20"/>
              </w:rPr>
              <w:t>493</w:t>
            </w:r>
          </w:p>
        </w:tc>
        <w:tc>
          <w:tcPr>
            <w:tcW w:w="960" w:type="dxa"/>
            <w:tcBorders>
              <w:bottom w:val="single" w:sz="4" w:space="0" w:color="004B96"/>
            </w:tcBorders>
          </w:tcPr>
          <w:p>
            <w:pPr>
              <w:pStyle w:val="TableParagraph"/>
              <w:spacing w:before="55"/>
              <w:ind w:left="105"/>
              <w:rPr>
                <w:sz w:val="20"/>
              </w:rPr>
            </w:pPr>
            <w:r>
              <w:rPr>
                <w:spacing w:val="-5"/>
                <w:sz w:val="20"/>
              </w:rPr>
              <w:t>7.3</w:t>
            </w:r>
          </w:p>
        </w:tc>
      </w:tr>
      <w:tr>
        <w:trPr>
          <w:trHeight w:val="353" w:hRule="atLeast"/>
        </w:trPr>
        <w:tc>
          <w:tcPr>
            <w:tcW w:w="2144" w:type="dxa"/>
            <w:tcBorders>
              <w:top w:val="single" w:sz="4" w:space="0" w:color="004B96"/>
            </w:tcBorders>
          </w:tcPr>
          <w:p>
            <w:pPr>
              <w:pStyle w:val="TableParagraph"/>
              <w:spacing w:before="59"/>
              <w:ind w:left="122"/>
              <w:rPr>
                <w:sz w:val="20"/>
              </w:rPr>
            </w:pPr>
            <w:r>
              <w:rPr>
                <w:spacing w:val="-2"/>
                <w:sz w:val="20"/>
              </w:rPr>
              <w:t>LGNP-North</w:t>
            </w:r>
          </w:p>
        </w:tc>
        <w:tc>
          <w:tcPr>
            <w:tcW w:w="2269" w:type="dxa"/>
            <w:tcBorders>
              <w:top w:val="single" w:sz="4" w:space="0" w:color="004B96"/>
            </w:tcBorders>
            <w:shd w:val="clear" w:color="auto" w:fill="CCDBEA"/>
          </w:tcPr>
          <w:p>
            <w:pPr>
              <w:pStyle w:val="TableParagraph"/>
              <w:spacing w:before="59"/>
              <w:ind w:left="107"/>
              <w:rPr>
                <w:sz w:val="20"/>
              </w:rPr>
            </w:pPr>
            <w:r>
              <w:rPr>
                <w:sz w:val="20"/>
              </w:rPr>
              <w:t>Tall</w:t>
            </w:r>
            <w:r>
              <w:rPr>
                <w:spacing w:val="-7"/>
                <w:sz w:val="20"/>
              </w:rPr>
              <w:t> </w:t>
            </w:r>
            <w:r>
              <w:rPr>
                <w:sz w:val="20"/>
              </w:rPr>
              <w:t>Mixed</w:t>
            </w:r>
            <w:r>
              <w:rPr>
                <w:spacing w:val="-7"/>
                <w:sz w:val="20"/>
              </w:rPr>
              <w:t> </w:t>
            </w:r>
            <w:r>
              <w:rPr>
                <w:spacing w:val="-2"/>
                <w:sz w:val="20"/>
              </w:rPr>
              <w:t>Forest</w:t>
            </w:r>
          </w:p>
        </w:tc>
        <w:tc>
          <w:tcPr>
            <w:tcW w:w="961" w:type="dxa"/>
            <w:tcBorders>
              <w:top w:val="single" w:sz="4" w:space="0" w:color="004B96"/>
            </w:tcBorders>
          </w:tcPr>
          <w:p>
            <w:pPr>
              <w:pStyle w:val="TableParagraph"/>
              <w:spacing w:before="59"/>
              <w:ind w:left="107"/>
              <w:rPr>
                <w:sz w:val="20"/>
              </w:rPr>
            </w:pPr>
            <w:r>
              <w:rPr>
                <w:spacing w:val="-4"/>
                <w:sz w:val="20"/>
              </w:rPr>
              <w:t>2021</w:t>
            </w:r>
          </w:p>
        </w:tc>
        <w:tc>
          <w:tcPr>
            <w:tcW w:w="819" w:type="dxa"/>
            <w:tcBorders>
              <w:top w:val="single" w:sz="4" w:space="0" w:color="004B96"/>
              <w:right w:val="single" w:sz="4" w:space="0" w:color="004B96"/>
            </w:tcBorders>
            <w:shd w:val="clear" w:color="auto" w:fill="CCDBEA"/>
          </w:tcPr>
          <w:p>
            <w:pPr>
              <w:pStyle w:val="TableParagraph"/>
              <w:spacing w:before="59"/>
              <w:ind w:left="106"/>
              <w:rPr>
                <w:sz w:val="20"/>
              </w:rPr>
            </w:pPr>
            <w:r>
              <w:rPr>
                <w:spacing w:val="-4"/>
                <w:sz w:val="20"/>
              </w:rPr>
              <w:t>45.1</w:t>
            </w:r>
          </w:p>
        </w:tc>
        <w:tc>
          <w:tcPr>
            <w:tcW w:w="6018" w:type="dxa"/>
            <w:tcBorders>
              <w:top w:val="single" w:sz="4" w:space="0" w:color="004B96"/>
              <w:left w:val="single" w:sz="4" w:space="0" w:color="004B96"/>
            </w:tcBorders>
          </w:tcPr>
          <w:p>
            <w:pPr>
              <w:pStyle w:val="TableParagraph"/>
              <w:spacing w:before="59"/>
              <w:ind w:left="100"/>
              <w:rPr>
                <w:sz w:val="20"/>
              </w:rPr>
            </w:pPr>
            <w:r>
              <w:rPr>
                <w:sz w:val="20"/>
              </w:rPr>
              <w:t>Damp</w:t>
            </w:r>
            <w:r>
              <w:rPr>
                <w:spacing w:val="-8"/>
                <w:sz w:val="20"/>
              </w:rPr>
              <w:t> </w:t>
            </w:r>
            <w:r>
              <w:rPr>
                <w:sz w:val="20"/>
              </w:rPr>
              <w:t>Sands</w:t>
            </w:r>
            <w:r>
              <w:rPr>
                <w:spacing w:val="-8"/>
                <w:sz w:val="20"/>
              </w:rPr>
              <w:t> </w:t>
            </w:r>
            <w:r>
              <w:rPr>
                <w:sz w:val="20"/>
              </w:rPr>
              <w:t>Herb-rich</w:t>
            </w:r>
            <w:r>
              <w:rPr>
                <w:spacing w:val="-9"/>
                <w:sz w:val="20"/>
              </w:rPr>
              <w:t> </w:t>
            </w:r>
            <w:r>
              <w:rPr>
                <w:spacing w:val="-2"/>
                <w:sz w:val="20"/>
              </w:rPr>
              <w:t>Woodland</w:t>
            </w:r>
          </w:p>
        </w:tc>
        <w:tc>
          <w:tcPr>
            <w:tcW w:w="960" w:type="dxa"/>
            <w:tcBorders>
              <w:top w:val="single" w:sz="4" w:space="0" w:color="004B96"/>
            </w:tcBorders>
            <w:shd w:val="clear" w:color="auto" w:fill="CCDBEA"/>
          </w:tcPr>
          <w:p>
            <w:pPr>
              <w:pStyle w:val="TableParagraph"/>
              <w:spacing w:before="59"/>
              <w:ind w:left="105"/>
              <w:rPr>
                <w:sz w:val="20"/>
              </w:rPr>
            </w:pPr>
            <w:r>
              <w:rPr>
                <w:spacing w:val="-4"/>
                <w:sz w:val="20"/>
              </w:rPr>
              <w:t>2021</w:t>
            </w:r>
          </w:p>
        </w:tc>
        <w:tc>
          <w:tcPr>
            <w:tcW w:w="960" w:type="dxa"/>
            <w:tcBorders>
              <w:top w:val="single" w:sz="4" w:space="0" w:color="004B96"/>
            </w:tcBorders>
          </w:tcPr>
          <w:p>
            <w:pPr>
              <w:pStyle w:val="TableParagraph"/>
              <w:spacing w:before="59"/>
              <w:ind w:left="105"/>
              <w:rPr>
                <w:sz w:val="20"/>
              </w:rPr>
            </w:pPr>
            <w:r>
              <w:rPr>
                <w:spacing w:val="-4"/>
                <w:sz w:val="20"/>
              </w:rPr>
              <w:t>43.5</w:t>
            </w:r>
          </w:p>
        </w:tc>
      </w:tr>
      <w:tr>
        <w:trPr>
          <w:trHeight w:val="350" w:hRule="atLeast"/>
        </w:trPr>
        <w:tc>
          <w:tcPr>
            <w:tcW w:w="2144" w:type="dxa"/>
          </w:tcPr>
          <w:p>
            <w:pPr>
              <w:pStyle w:val="TableParagraph"/>
              <w:spacing w:before="56"/>
              <w:ind w:left="122"/>
              <w:rPr>
                <w:sz w:val="20"/>
              </w:rPr>
            </w:pPr>
            <w:r>
              <w:rPr>
                <w:sz w:val="20"/>
              </w:rPr>
              <w:t>(no</w:t>
            </w:r>
            <w:r>
              <w:rPr>
                <w:spacing w:val="-7"/>
                <w:sz w:val="20"/>
              </w:rPr>
              <w:t> </w:t>
            </w:r>
            <w:r>
              <w:rPr>
                <w:sz w:val="20"/>
              </w:rPr>
              <w:t>fox</w:t>
            </w:r>
            <w:r>
              <w:rPr>
                <w:spacing w:val="-4"/>
                <w:sz w:val="20"/>
              </w:rPr>
              <w:t> </w:t>
            </w:r>
            <w:r>
              <w:rPr>
                <w:spacing w:val="-2"/>
                <w:sz w:val="20"/>
              </w:rPr>
              <w:t>control)</w:t>
            </w:r>
          </w:p>
        </w:tc>
        <w:tc>
          <w:tcPr>
            <w:tcW w:w="2269" w:type="dxa"/>
            <w:shd w:val="clear" w:color="auto" w:fill="CCDBEA"/>
          </w:tcPr>
          <w:p>
            <w:pPr>
              <w:pStyle w:val="TableParagraph"/>
              <w:spacing w:before="56"/>
              <w:ind w:left="107"/>
              <w:rPr>
                <w:sz w:val="20"/>
              </w:rPr>
            </w:pPr>
            <w:r>
              <w:rPr>
                <w:sz w:val="20"/>
              </w:rPr>
              <w:t>Other</w:t>
            </w:r>
            <w:r>
              <w:rPr>
                <w:spacing w:val="-10"/>
                <w:sz w:val="20"/>
              </w:rPr>
              <w:t> </w:t>
            </w:r>
            <w:r>
              <w:rPr>
                <w:spacing w:val="-4"/>
                <w:sz w:val="20"/>
              </w:rPr>
              <w:t>EVDs</w:t>
            </w:r>
          </w:p>
        </w:tc>
        <w:tc>
          <w:tcPr>
            <w:tcW w:w="961" w:type="dxa"/>
          </w:tcPr>
          <w:p>
            <w:pPr>
              <w:pStyle w:val="TableParagraph"/>
              <w:spacing w:before="56"/>
              <w:ind w:left="107"/>
              <w:rPr>
                <w:sz w:val="20"/>
              </w:rPr>
            </w:pPr>
            <w:r>
              <w:rPr>
                <w:spacing w:val="-4"/>
                <w:sz w:val="20"/>
              </w:rPr>
              <w:t>2458</w:t>
            </w:r>
          </w:p>
        </w:tc>
        <w:tc>
          <w:tcPr>
            <w:tcW w:w="819" w:type="dxa"/>
            <w:tcBorders>
              <w:right w:val="single" w:sz="4" w:space="0" w:color="004B96"/>
            </w:tcBorders>
            <w:shd w:val="clear" w:color="auto" w:fill="CCDBEA"/>
          </w:tcPr>
          <w:p>
            <w:pPr>
              <w:pStyle w:val="TableParagraph"/>
              <w:spacing w:before="56"/>
              <w:ind w:left="106"/>
              <w:rPr>
                <w:sz w:val="20"/>
              </w:rPr>
            </w:pPr>
            <w:r>
              <w:rPr>
                <w:spacing w:val="-4"/>
                <w:sz w:val="20"/>
              </w:rPr>
              <w:t>54.9</w:t>
            </w:r>
          </w:p>
        </w:tc>
        <w:tc>
          <w:tcPr>
            <w:tcW w:w="6018" w:type="dxa"/>
            <w:tcBorders>
              <w:left w:val="single" w:sz="4" w:space="0" w:color="004B96"/>
            </w:tcBorders>
          </w:tcPr>
          <w:p>
            <w:pPr>
              <w:pStyle w:val="TableParagraph"/>
              <w:spacing w:before="56"/>
              <w:ind w:left="100"/>
              <w:rPr>
                <w:sz w:val="20"/>
              </w:rPr>
            </w:pPr>
            <w:r>
              <w:rPr>
                <w:sz w:val="20"/>
              </w:rPr>
              <w:t>Damp</w:t>
            </w:r>
            <w:r>
              <w:rPr>
                <w:spacing w:val="-10"/>
                <w:sz w:val="20"/>
              </w:rPr>
              <w:t> </w:t>
            </w:r>
            <w:r>
              <w:rPr>
                <w:sz w:val="20"/>
              </w:rPr>
              <w:t>Sands</w:t>
            </w:r>
            <w:r>
              <w:rPr>
                <w:spacing w:val="-10"/>
                <w:sz w:val="20"/>
              </w:rPr>
              <w:t> </w:t>
            </w:r>
            <w:r>
              <w:rPr>
                <w:sz w:val="20"/>
              </w:rPr>
              <w:t>Herb-rich</w:t>
            </w:r>
            <w:r>
              <w:rPr>
                <w:spacing w:val="-11"/>
                <w:sz w:val="20"/>
              </w:rPr>
              <w:t> </w:t>
            </w:r>
            <w:r>
              <w:rPr>
                <w:sz w:val="20"/>
              </w:rPr>
              <w:t>Woodland/Heathy</w:t>
            </w:r>
            <w:r>
              <w:rPr>
                <w:spacing w:val="-10"/>
                <w:sz w:val="20"/>
              </w:rPr>
              <w:t> </w:t>
            </w:r>
            <w:r>
              <w:rPr>
                <w:sz w:val="20"/>
              </w:rPr>
              <w:t>Woodland</w:t>
            </w:r>
            <w:r>
              <w:rPr>
                <w:spacing w:val="-10"/>
                <w:sz w:val="20"/>
              </w:rPr>
              <w:t> </w:t>
            </w:r>
            <w:r>
              <w:rPr>
                <w:spacing w:val="-2"/>
                <w:sz w:val="20"/>
              </w:rPr>
              <w:t>Mosaic</w:t>
            </w:r>
          </w:p>
        </w:tc>
        <w:tc>
          <w:tcPr>
            <w:tcW w:w="960" w:type="dxa"/>
            <w:shd w:val="clear" w:color="auto" w:fill="CCDBEA"/>
          </w:tcPr>
          <w:p>
            <w:pPr>
              <w:pStyle w:val="TableParagraph"/>
              <w:spacing w:before="56"/>
              <w:ind w:left="105"/>
              <w:rPr>
                <w:sz w:val="20"/>
              </w:rPr>
            </w:pPr>
            <w:r>
              <w:rPr>
                <w:spacing w:val="-5"/>
                <w:sz w:val="20"/>
              </w:rPr>
              <w:t>417</w:t>
            </w:r>
          </w:p>
        </w:tc>
        <w:tc>
          <w:tcPr>
            <w:tcW w:w="960" w:type="dxa"/>
          </w:tcPr>
          <w:p>
            <w:pPr>
              <w:pStyle w:val="TableParagraph"/>
              <w:spacing w:before="56"/>
              <w:ind w:left="105"/>
              <w:rPr>
                <w:sz w:val="20"/>
              </w:rPr>
            </w:pPr>
            <w:r>
              <w:rPr>
                <w:spacing w:val="-10"/>
                <w:sz w:val="20"/>
              </w:rPr>
              <w:t>9</w:t>
            </w:r>
          </w:p>
        </w:tc>
      </w:tr>
      <w:tr>
        <w:trPr>
          <w:trHeight w:val="347" w:hRule="atLeast"/>
        </w:trPr>
        <w:tc>
          <w:tcPr>
            <w:tcW w:w="2144" w:type="dxa"/>
            <w:tcBorders>
              <w:bottom w:val="single" w:sz="4" w:space="0" w:color="004B96"/>
            </w:tcBorders>
          </w:tcPr>
          <w:p>
            <w:pPr>
              <w:pStyle w:val="TableParagraph"/>
              <w:rPr>
                <w:rFonts w:ascii="Times New Roman"/>
                <w:sz w:val="18"/>
              </w:rPr>
            </w:pPr>
          </w:p>
        </w:tc>
        <w:tc>
          <w:tcPr>
            <w:tcW w:w="2269" w:type="dxa"/>
            <w:tcBorders>
              <w:bottom w:val="single" w:sz="4" w:space="0" w:color="004B96"/>
            </w:tcBorders>
            <w:shd w:val="clear" w:color="auto" w:fill="CCDBEA"/>
          </w:tcPr>
          <w:p>
            <w:pPr>
              <w:pStyle w:val="TableParagraph"/>
              <w:rPr>
                <w:rFonts w:ascii="Times New Roman"/>
                <w:sz w:val="18"/>
              </w:rPr>
            </w:pPr>
          </w:p>
        </w:tc>
        <w:tc>
          <w:tcPr>
            <w:tcW w:w="961" w:type="dxa"/>
            <w:tcBorders>
              <w:bottom w:val="single" w:sz="4" w:space="0" w:color="004B96"/>
            </w:tcBorders>
          </w:tcPr>
          <w:p>
            <w:pPr>
              <w:pStyle w:val="TableParagraph"/>
              <w:rPr>
                <w:rFonts w:ascii="Times New Roman"/>
                <w:sz w:val="18"/>
              </w:rPr>
            </w:pPr>
          </w:p>
        </w:tc>
        <w:tc>
          <w:tcPr>
            <w:tcW w:w="819" w:type="dxa"/>
            <w:tcBorders>
              <w:bottom w:val="single" w:sz="4" w:space="0" w:color="004B96"/>
              <w:right w:val="single" w:sz="4" w:space="0" w:color="004B96"/>
            </w:tcBorders>
            <w:shd w:val="clear" w:color="auto" w:fill="CCDBEA"/>
          </w:tcPr>
          <w:p>
            <w:pPr>
              <w:pStyle w:val="TableParagraph"/>
              <w:rPr>
                <w:rFonts w:ascii="Times New Roman"/>
                <w:sz w:val="18"/>
              </w:rPr>
            </w:pPr>
          </w:p>
        </w:tc>
        <w:tc>
          <w:tcPr>
            <w:tcW w:w="6018" w:type="dxa"/>
            <w:tcBorders>
              <w:left w:val="single" w:sz="4" w:space="0" w:color="004B96"/>
              <w:bottom w:val="single" w:sz="4" w:space="0" w:color="004B96"/>
            </w:tcBorders>
          </w:tcPr>
          <w:p>
            <w:pPr>
              <w:pStyle w:val="TableParagraph"/>
              <w:spacing w:before="56"/>
              <w:ind w:left="100"/>
              <w:rPr>
                <w:sz w:val="20"/>
              </w:rPr>
            </w:pPr>
            <w:r>
              <w:rPr>
                <w:sz w:val="20"/>
              </w:rPr>
              <w:t>Wet</w:t>
            </w:r>
            <w:r>
              <w:rPr>
                <w:spacing w:val="-10"/>
                <w:sz w:val="20"/>
              </w:rPr>
              <w:t> </w:t>
            </w:r>
            <w:r>
              <w:rPr>
                <w:sz w:val="20"/>
              </w:rPr>
              <w:t>Heathland/Heathy</w:t>
            </w:r>
            <w:r>
              <w:rPr>
                <w:spacing w:val="-10"/>
                <w:sz w:val="20"/>
              </w:rPr>
              <w:t> </w:t>
            </w:r>
            <w:r>
              <w:rPr>
                <w:sz w:val="20"/>
              </w:rPr>
              <w:t>Woodland</w:t>
            </w:r>
            <w:r>
              <w:rPr>
                <w:spacing w:val="-9"/>
                <w:sz w:val="20"/>
              </w:rPr>
              <w:t> </w:t>
            </w:r>
            <w:r>
              <w:rPr>
                <w:spacing w:val="-2"/>
                <w:sz w:val="20"/>
              </w:rPr>
              <w:t>Mosaic</w:t>
            </w:r>
          </w:p>
        </w:tc>
        <w:tc>
          <w:tcPr>
            <w:tcW w:w="960" w:type="dxa"/>
            <w:tcBorders>
              <w:bottom w:val="single" w:sz="4" w:space="0" w:color="004B96"/>
            </w:tcBorders>
            <w:shd w:val="clear" w:color="auto" w:fill="CCDBEA"/>
          </w:tcPr>
          <w:p>
            <w:pPr>
              <w:pStyle w:val="TableParagraph"/>
              <w:spacing w:before="56"/>
              <w:ind w:left="105"/>
              <w:rPr>
                <w:sz w:val="20"/>
              </w:rPr>
            </w:pPr>
            <w:r>
              <w:rPr>
                <w:spacing w:val="-4"/>
                <w:sz w:val="20"/>
              </w:rPr>
              <w:t>2041</w:t>
            </w:r>
          </w:p>
        </w:tc>
        <w:tc>
          <w:tcPr>
            <w:tcW w:w="960" w:type="dxa"/>
            <w:tcBorders>
              <w:bottom w:val="single" w:sz="4" w:space="0" w:color="004B96"/>
            </w:tcBorders>
          </w:tcPr>
          <w:p>
            <w:pPr>
              <w:pStyle w:val="TableParagraph"/>
              <w:spacing w:before="56"/>
              <w:ind w:left="105"/>
              <w:rPr>
                <w:sz w:val="20"/>
              </w:rPr>
            </w:pPr>
            <w:r>
              <w:rPr>
                <w:spacing w:val="-4"/>
                <w:sz w:val="20"/>
              </w:rPr>
              <w:t>43.9</w:t>
            </w:r>
          </w:p>
        </w:tc>
      </w:tr>
      <w:tr>
        <w:trPr>
          <w:trHeight w:val="348" w:hRule="atLeast"/>
        </w:trPr>
        <w:tc>
          <w:tcPr>
            <w:tcW w:w="2144" w:type="dxa"/>
            <w:tcBorders>
              <w:top w:val="single" w:sz="4" w:space="0" w:color="004B96"/>
            </w:tcBorders>
          </w:tcPr>
          <w:p>
            <w:pPr>
              <w:pStyle w:val="TableParagraph"/>
              <w:spacing w:before="59"/>
              <w:ind w:left="122"/>
              <w:rPr>
                <w:sz w:val="20"/>
              </w:rPr>
            </w:pPr>
            <w:r>
              <w:rPr>
                <w:sz w:val="20"/>
              </w:rPr>
              <w:t>Annya</w:t>
            </w:r>
            <w:r>
              <w:rPr>
                <w:spacing w:val="-6"/>
                <w:sz w:val="20"/>
              </w:rPr>
              <w:t> </w:t>
            </w:r>
            <w:r>
              <w:rPr>
                <w:sz w:val="20"/>
              </w:rPr>
              <w:t>State</w:t>
            </w:r>
            <w:r>
              <w:rPr>
                <w:spacing w:val="-9"/>
                <w:sz w:val="20"/>
              </w:rPr>
              <w:t> </w:t>
            </w:r>
            <w:r>
              <w:rPr>
                <w:spacing w:val="-2"/>
                <w:sz w:val="20"/>
              </w:rPr>
              <w:t>Forest</w:t>
            </w:r>
          </w:p>
        </w:tc>
        <w:tc>
          <w:tcPr>
            <w:tcW w:w="2269" w:type="dxa"/>
            <w:vMerge w:val="restart"/>
            <w:tcBorders>
              <w:top w:val="single" w:sz="4" w:space="0" w:color="004B96"/>
              <w:bottom w:val="single" w:sz="4" w:space="0" w:color="004B96"/>
            </w:tcBorders>
            <w:shd w:val="clear" w:color="auto" w:fill="CCDBEA"/>
          </w:tcPr>
          <w:p>
            <w:pPr>
              <w:pStyle w:val="TableParagraph"/>
              <w:spacing w:before="59"/>
              <w:ind w:left="107"/>
              <w:rPr>
                <w:sz w:val="20"/>
              </w:rPr>
            </w:pPr>
            <w:r>
              <w:rPr>
                <w:sz w:val="20"/>
              </w:rPr>
              <w:t>Tall</w:t>
            </w:r>
            <w:r>
              <w:rPr>
                <w:spacing w:val="-7"/>
                <w:sz w:val="20"/>
              </w:rPr>
              <w:t> </w:t>
            </w:r>
            <w:r>
              <w:rPr>
                <w:sz w:val="20"/>
              </w:rPr>
              <w:t>Mixed</w:t>
            </w:r>
            <w:r>
              <w:rPr>
                <w:spacing w:val="-7"/>
                <w:sz w:val="20"/>
              </w:rPr>
              <w:t> </w:t>
            </w:r>
            <w:r>
              <w:rPr>
                <w:spacing w:val="-2"/>
                <w:sz w:val="20"/>
              </w:rPr>
              <w:t>Forest</w:t>
            </w:r>
          </w:p>
        </w:tc>
        <w:tc>
          <w:tcPr>
            <w:tcW w:w="961" w:type="dxa"/>
            <w:vMerge w:val="restart"/>
            <w:tcBorders>
              <w:top w:val="single" w:sz="4" w:space="0" w:color="004B96"/>
              <w:bottom w:val="single" w:sz="4" w:space="0" w:color="004B96"/>
            </w:tcBorders>
          </w:tcPr>
          <w:p>
            <w:pPr>
              <w:pStyle w:val="TableParagraph"/>
              <w:spacing w:before="59"/>
              <w:ind w:left="107"/>
              <w:rPr>
                <w:sz w:val="20"/>
              </w:rPr>
            </w:pPr>
            <w:r>
              <w:rPr>
                <w:spacing w:val="-4"/>
                <w:sz w:val="20"/>
              </w:rPr>
              <w:t>6810</w:t>
            </w:r>
          </w:p>
        </w:tc>
        <w:tc>
          <w:tcPr>
            <w:tcW w:w="819" w:type="dxa"/>
            <w:vMerge w:val="restart"/>
            <w:tcBorders>
              <w:top w:val="single" w:sz="4" w:space="0" w:color="004B96"/>
              <w:bottom w:val="single" w:sz="4" w:space="0" w:color="004B96"/>
              <w:right w:val="single" w:sz="4" w:space="0" w:color="004B96"/>
            </w:tcBorders>
            <w:shd w:val="clear" w:color="auto" w:fill="CCDBEA"/>
          </w:tcPr>
          <w:p>
            <w:pPr>
              <w:pStyle w:val="TableParagraph"/>
              <w:spacing w:before="59"/>
              <w:ind w:left="106"/>
              <w:rPr>
                <w:sz w:val="20"/>
              </w:rPr>
            </w:pPr>
            <w:r>
              <w:rPr>
                <w:spacing w:val="-2"/>
                <w:sz w:val="20"/>
              </w:rPr>
              <w:t>100.0</w:t>
            </w:r>
          </w:p>
        </w:tc>
        <w:tc>
          <w:tcPr>
            <w:tcW w:w="6018" w:type="dxa"/>
            <w:tcBorders>
              <w:top w:val="single" w:sz="4" w:space="0" w:color="004B96"/>
              <w:left w:val="single" w:sz="4" w:space="0" w:color="004B96"/>
            </w:tcBorders>
          </w:tcPr>
          <w:p>
            <w:pPr>
              <w:pStyle w:val="TableParagraph"/>
              <w:spacing w:before="59"/>
              <w:ind w:left="100"/>
              <w:rPr>
                <w:sz w:val="20"/>
              </w:rPr>
            </w:pPr>
            <w:r>
              <w:rPr>
                <w:sz w:val="20"/>
              </w:rPr>
              <w:t>Damp</w:t>
            </w:r>
            <w:r>
              <w:rPr>
                <w:spacing w:val="-8"/>
                <w:sz w:val="20"/>
              </w:rPr>
              <w:t> </w:t>
            </w:r>
            <w:r>
              <w:rPr>
                <w:sz w:val="20"/>
              </w:rPr>
              <w:t>Sands</w:t>
            </w:r>
            <w:r>
              <w:rPr>
                <w:spacing w:val="-8"/>
                <w:sz w:val="20"/>
              </w:rPr>
              <w:t> </w:t>
            </w:r>
            <w:r>
              <w:rPr>
                <w:sz w:val="20"/>
              </w:rPr>
              <w:t>Herb-rich</w:t>
            </w:r>
            <w:r>
              <w:rPr>
                <w:spacing w:val="-9"/>
                <w:sz w:val="20"/>
              </w:rPr>
              <w:t> </w:t>
            </w:r>
            <w:r>
              <w:rPr>
                <w:spacing w:val="-2"/>
                <w:sz w:val="20"/>
              </w:rPr>
              <w:t>Woodland</w:t>
            </w:r>
          </w:p>
        </w:tc>
        <w:tc>
          <w:tcPr>
            <w:tcW w:w="960" w:type="dxa"/>
            <w:tcBorders>
              <w:top w:val="single" w:sz="4" w:space="0" w:color="004B96"/>
            </w:tcBorders>
            <w:shd w:val="clear" w:color="auto" w:fill="CCDBEA"/>
          </w:tcPr>
          <w:p>
            <w:pPr>
              <w:pStyle w:val="TableParagraph"/>
              <w:spacing w:before="59"/>
              <w:ind w:left="105"/>
              <w:rPr>
                <w:sz w:val="20"/>
              </w:rPr>
            </w:pPr>
            <w:r>
              <w:rPr>
                <w:spacing w:val="-4"/>
                <w:sz w:val="20"/>
              </w:rPr>
              <w:t>1106</w:t>
            </w:r>
          </w:p>
        </w:tc>
        <w:tc>
          <w:tcPr>
            <w:tcW w:w="960" w:type="dxa"/>
            <w:tcBorders>
              <w:top w:val="single" w:sz="4" w:space="0" w:color="004B96"/>
            </w:tcBorders>
          </w:tcPr>
          <w:p>
            <w:pPr>
              <w:pStyle w:val="TableParagraph"/>
              <w:spacing w:before="59"/>
              <w:ind w:left="105"/>
              <w:rPr>
                <w:sz w:val="20"/>
              </w:rPr>
            </w:pPr>
            <w:r>
              <w:rPr>
                <w:spacing w:val="-4"/>
                <w:sz w:val="20"/>
              </w:rPr>
              <w:t>13.5</w:t>
            </w:r>
          </w:p>
        </w:tc>
      </w:tr>
      <w:tr>
        <w:trPr>
          <w:trHeight w:val="342" w:hRule="atLeast"/>
        </w:trPr>
        <w:tc>
          <w:tcPr>
            <w:tcW w:w="2144" w:type="dxa"/>
            <w:tcBorders>
              <w:bottom w:val="single" w:sz="4" w:space="0" w:color="004B96"/>
            </w:tcBorders>
          </w:tcPr>
          <w:p>
            <w:pPr>
              <w:pStyle w:val="TableParagraph"/>
              <w:spacing w:before="51"/>
              <w:ind w:left="122"/>
              <w:rPr>
                <w:sz w:val="20"/>
              </w:rPr>
            </w:pPr>
            <w:r>
              <w:rPr>
                <w:sz w:val="20"/>
              </w:rPr>
              <w:t>(no</w:t>
            </w:r>
            <w:r>
              <w:rPr>
                <w:spacing w:val="-7"/>
                <w:sz w:val="20"/>
              </w:rPr>
              <w:t> </w:t>
            </w:r>
            <w:r>
              <w:rPr>
                <w:sz w:val="20"/>
              </w:rPr>
              <w:t>fox</w:t>
            </w:r>
            <w:r>
              <w:rPr>
                <w:spacing w:val="-4"/>
                <w:sz w:val="20"/>
              </w:rPr>
              <w:t> </w:t>
            </w:r>
            <w:r>
              <w:rPr>
                <w:spacing w:val="-2"/>
                <w:sz w:val="20"/>
              </w:rPr>
              <w:t>control)</w:t>
            </w:r>
          </w:p>
        </w:tc>
        <w:tc>
          <w:tcPr>
            <w:tcW w:w="2269" w:type="dxa"/>
            <w:vMerge/>
            <w:tcBorders>
              <w:top w:val="nil"/>
              <w:bottom w:val="single" w:sz="4" w:space="0" w:color="004B96"/>
            </w:tcBorders>
            <w:shd w:val="clear" w:color="auto" w:fill="CCDBEA"/>
          </w:tcPr>
          <w:p>
            <w:pPr>
              <w:rPr>
                <w:sz w:val="2"/>
                <w:szCs w:val="2"/>
              </w:rPr>
            </w:pPr>
          </w:p>
        </w:tc>
        <w:tc>
          <w:tcPr>
            <w:tcW w:w="961" w:type="dxa"/>
            <w:vMerge/>
            <w:tcBorders>
              <w:top w:val="nil"/>
              <w:bottom w:val="single" w:sz="4" w:space="0" w:color="004B96"/>
            </w:tcBorders>
          </w:tcPr>
          <w:p>
            <w:pPr>
              <w:rPr>
                <w:sz w:val="2"/>
                <w:szCs w:val="2"/>
              </w:rPr>
            </w:pPr>
          </w:p>
        </w:tc>
        <w:tc>
          <w:tcPr>
            <w:tcW w:w="819" w:type="dxa"/>
            <w:vMerge/>
            <w:tcBorders>
              <w:top w:val="nil"/>
              <w:bottom w:val="single" w:sz="4" w:space="0" w:color="004B96"/>
              <w:right w:val="single" w:sz="4" w:space="0" w:color="004B96"/>
            </w:tcBorders>
            <w:shd w:val="clear" w:color="auto" w:fill="CCDBEA"/>
          </w:tcPr>
          <w:p>
            <w:pPr>
              <w:rPr>
                <w:sz w:val="2"/>
                <w:szCs w:val="2"/>
              </w:rPr>
            </w:pPr>
          </w:p>
        </w:tc>
        <w:tc>
          <w:tcPr>
            <w:tcW w:w="6018" w:type="dxa"/>
            <w:tcBorders>
              <w:left w:val="single" w:sz="4" w:space="0" w:color="004B96"/>
              <w:bottom w:val="single" w:sz="4" w:space="0" w:color="004B96"/>
            </w:tcBorders>
          </w:tcPr>
          <w:p>
            <w:pPr>
              <w:pStyle w:val="TableParagraph"/>
              <w:spacing w:before="51"/>
              <w:ind w:left="100"/>
              <w:rPr>
                <w:sz w:val="20"/>
              </w:rPr>
            </w:pPr>
            <w:r>
              <w:rPr>
                <w:sz w:val="20"/>
              </w:rPr>
              <w:t>Lowland</w:t>
            </w:r>
            <w:r>
              <w:rPr>
                <w:spacing w:val="-11"/>
                <w:sz w:val="20"/>
              </w:rPr>
              <w:t> </w:t>
            </w:r>
            <w:r>
              <w:rPr>
                <w:spacing w:val="-2"/>
                <w:sz w:val="20"/>
              </w:rPr>
              <w:t>Forest</w:t>
            </w:r>
          </w:p>
        </w:tc>
        <w:tc>
          <w:tcPr>
            <w:tcW w:w="960" w:type="dxa"/>
            <w:tcBorders>
              <w:bottom w:val="single" w:sz="4" w:space="0" w:color="004B96"/>
            </w:tcBorders>
            <w:shd w:val="clear" w:color="auto" w:fill="CCDBEA"/>
          </w:tcPr>
          <w:p>
            <w:pPr>
              <w:pStyle w:val="TableParagraph"/>
              <w:spacing w:before="51"/>
              <w:ind w:left="105"/>
              <w:rPr>
                <w:sz w:val="20"/>
              </w:rPr>
            </w:pPr>
            <w:r>
              <w:rPr>
                <w:spacing w:val="-4"/>
                <w:sz w:val="20"/>
              </w:rPr>
              <w:t>5704</w:t>
            </w:r>
          </w:p>
        </w:tc>
        <w:tc>
          <w:tcPr>
            <w:tcW w:w="960" w:type="dxa"/>
            <w:tcBorders>
              <w:bottom w:val="single" w:sz="4" w:space="0" w:color="004B96"/>
            </w:tcBorders>
          </w:tcPr>
          <w:p>
            <w:pPr>
              <w:pStyle w:val="TableParagraph"/>
              <w:spacing w:before="51"/>
              <w:ind w:left="105"/>
              <w:rPr>
                <w:sz w:val="20"/>
              </w:rPr>
            </w:pPr>
            <w:r>
              <w:rPr>
                <w:spacing w:val="-4"/>
                <w:sz w:val="20"/>
              </w:rPr>
              <w:t>69.8</w:t>
            </w:r>
          </w:p>
        </w:tc>
      </w:tr>
    </w:tbl>
    <w:p>
      <w:pPr>
        <w:pStyle w:val="TableParagraph"/>
        <w:spacing w:after="0"/>
        <w:rPr>
          <w:sz w:val="20"/>
        </w:rPr>
        <w:sectPr>
          <w:footerReference w:type="default" r:id="rId88"/>
          <w:pgSz w:w="16850" w:h="11910" w:orient="landscape"/>
          <w:pgMar w:header="0" w:footer="686" w:top="1120" w:bottom="880" w:left="992" w:right="1417"/>
        </w:sectPr>
      </w:pPr>
    </w:p>
    <w:p>
      <w:pPr>
        <w:spacing w:before="71"/>
        <w:ind w:left="140" w:right="0" w:firstLine="0"/>
        <w:jc w:val="left"/>
        <w:rPr>
          <w:b/>
          <w:sz w:val="20"/>
        </w:rPr>
      </w:pPr>
      <w:r>
        <w:rPr>
          <w:b/>
          <w:color w:val="1F1546"/>
          <w:sz w:val="20"/>
        </w:rPr>
        <w:t>Table</w:t>
      </w:r>
      <w:r>
        <w:rPr>
          <w:b/>
          <w:color w:val="1F1546"/>
          <w:spacing w:val="-7"/>
          <w:sz w:val="20"/>
        </w:rPr>
        <w:t> </w:t>
      </w:r>
      <w:r>
        <w:rPr>
          <w:b/>
          <w:color w:val="1F1546"/>
          <w:sz w:val="20"/>
        </w:rPr>
        <w:t>A2.</w:t>
      </w:r>
      <w:r>
        <w:rPr>
          <w:b/>
          <w:color w:val="1F1546"/>
          <w:spacing w:val="-7"/>
          <w:sz w:val="20"/>
        </w:rPr>
        <w:t> </w:t>
      </w:r>
      <w:r>
        <w:rPr>
          <w:b/>
          <w:color w:val="1F1546"/>
          <w:sz w:val="20"/>
        </w:rPr>
        <w:t>Parameters</w:t>
      </w:r>
      <w:r>
        <w:rPr>
          <w:b/>
          <w:color w:val="1F1546"/>
          <w:spacing w:val="-7"/>
          <w:sz w:val="20"/>
        </w:rPr>
        <w:t> </w:t>
      </w:r>
      <w:r>
        <w:rPr>
          <w:b/>
          <w:color w:val="1F1546"/>
          <w:sz w:val="20"/>
        </w:rPr>
        <w:t>and</w:t>
      </w:r>
      <w:r>
        <w:rPr>
          <w:b/>
          <w:color w:val="1F1546"/>
          <w:spacing w:val="-4"/>
          <w:sz w:val="20"/>
        </w:rPr>
        <w:t> </w:t>
      </w:r>
      <w:r>
        <w:rPr>
          <w:b/>
          <w:color w:val="1F1546"/>
          <w:sz w:val="20"/>
        </w:rPr>
        <w:t>their</w:t>
      </w:r>
      <w:r>
        <w:rPr>
          <w:b/>
          <w:color w:val="1F1546"/>
          <w:spacing w:val="-8"/>
          <w:sz w:val="20"/>
        </w:rPr>
        <w:t> </w:t>
      </w:r>
      <w:r>
        <w:rPr>
          <w:b/>
          <w:color w:val="1F1546"/>
          <w:sz w:val="20"/>
        </w:rPr>
        <w:t>definitions</w:t>
      </w:r>
      <w:r>
        <w:rPr>
          <w:b/>
          <w:color w:val="1F1546"/>
          <w:spacing w:val="-7"/>
          <w:sz w:val="20"/>
        </w:rPr>
        <w:t> </w:t>
      </w:r>
      <w:r>
        <w:rPr>
          <w:b/>
          <w:color w:val="1F1546"/>
          <w:sz w:val="20"/>
        </w:rPr>
        <w:t>used</w:t>
      </w:r>
      <w:r>
        <w:rPr>
          <w:b/>
          <w:color w:val="1F1546"/>
          <w:spacing w:val="-6"/>
          <w:sz w:val="20"/>
        </w:rPr>
        <w:t> </w:t>
      </w:r>
      <w:r>
        <w:rPr>
          <w:b/>
          <w:color w:val="1F1546"/>
          <w:sz w:val="20"/>
        </w:rPr>
        <w:t>in</w:t>
      </w:r>
      <w:r>
        <w:rPr>
          <w:b/>
          <w:color w:val="1F1546"/>
          <w:spacing w:val="-7"/>
          <w:sz w:val="20"/>
        </w:rPr>
        <w:t> </w:t>
      </w:r>
      <w:r>
        <w:rPr>
          <w:b/>
          <w:color w:val="1F1546"/>
          <w:sz w:val="20"/>
        </w:rPr>
        <w:t>the</w:t>
      </w:r>
      <w:r>
        <w:rPr>
          <w:b/>
          <w:color w:val="1F1546"/>
          <w:spacing w:val="-7"/>
          <w:sz w:val="20"/>
        </w:rPr>
        <w:t> </w:t>
      </w:r>
      <w:r>
        <w:rPr>
          <w:b/>
          <w:color w:val="1F1546"/>
          <w:sz w:val="20"/>
        </w:rPr>
        <w:t>multi-season</w:t>
      </w:r>
      <w:r>
        <w:rPr>
          <w:b/>
          <w:color w:val="1F1546"/>
          <w:spacing w:val="-6"/>
          <w:sz w:val="20"/>
        </w:rPr>
        <w:t> </w:t>
      </w:r>
      <w:r>
        <w:rPr>
          <w:b/>
          <w:color w:val="1F1546"/>
          <w:sz w:val="20"/>
        </w:rPr>
        <w:t>occupancy</w:t>
      </w:r>
      <w:r>
        <w:rPr>
          <w:b/>
          <w:color w:val="1F1546"/>
          <w:spacing w:val="-8"/>
          <w:sz w:val="20"/>
        </w:rPr>
        <w:t> </w:t>
      </w:r>
      <w:r>
        <w:rPr>
          <w:b/>
          <w:color w:val="1F1546"/>
          <w:spacing w:val="-2"/>
          <w:sz w:val="20"/>
        </w:rPr>
        <w:t>model.</w:t>
      </w:r>
    </w:p>
    <w:p>
      <w:pPr>
        <w:pStyle w:val="BodyText"/>
        <w:spacing w:before="8"/>
        <w:rPr>
          <w:b/>
          <w:sz w:val="10"/>
        </w:rPr>
      </w:pPr>
    </w:p>
    <w:tbl>
      <w:tblPr>
        <w:tblW w:w="0" w:type="auto"/>
        <w:jc w:val="left"/>
        <w:tblInd w:w="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20"/>
        <w:gridCol w:w="8174"/>
      </w:tblGrid>
      <w:tr>
        <w:trPr>
          <w:trHeight w:val="379" w:hRule="atLeast"/>
        </w:trPr>
        <w:tc>
          <w:tcPr>
            <w:tcW w:w="1220" w:type="dxa"/>
            <w:tcBorders>
              <w:top w:val="single" w:sz="4" w:space="0" w:color="000000"/>
              <w:bottom w:val="single" w:sz="4" w:space="0" w:color="000000"/>
            </w:tcBorders>
            <w:shd w:val="clear" w:color="auto" w:fill="004B96"/>
          </w:tcPr>
          <w:p>
            <w:pPr>
              <w:pStyle w:val="TableParagraph"/>
              <w:spacing w:before="79"/>
              <w:ind w:right="10"/>
              <w:jc w:val="center"/>
              <w:rPr>
                <w:b/>
                <w:sz w:val="20"/>
              </w:rPr>
            </w:pPr>
            <w:r>
              <w:rPr>
                <w:b/>
                <w:color w:val="FFFFFF"/>
                <w:spacing w:val="-2"/>
                <w:sz w:val="20"/>
              </w:rPr>
              <w:t>Parameter</w:t>
            </w:r>
          </w:p>
        </w:tc>
        <w:tc>
          <w:tcPr>
            <w:tcW w:w="8174" w:type="dxa"/>
            <w:tcBorders>
              <w:top w:val="single" w:sz="4" w:space="0" w:color="000000"/>
              <w:bottom w:val="single" w:sz="4" w:space="0" w:color="000000"/>
            </w:tcBorders>
            <w:shd w:val="clear" w:color="auto" w:fill="004B96"/>
          </w:tcPr>
          <w:p>
            <w:pPr>
              <w:pStyle w:val="TableParagraph"/>
              <w:spacing w:before="79"/>
              <w:ind w:left="112"/>
              <w:rPr>
                <w:b/>
                <w:sz w:val="20"/>
              </w:rPr>
            </w:pPr>
            <w:r>
              <w:rPr>
                <w:b/>
                <w:color w:val="FFFFFF"/>
                <w:spacing w:val="-2"/>
                <w:sz w:val="20"/>
              </w:rPr>
              <w:t>Description</w:t>
            </w:r>
          </w:p>
        </w:tc>
      </w:tr>
      <w:tr>
        <w:trPr>
          <w:trHeight w:val="381" w:hRule="atLeast"/>
        </w:trPr>
        <w:tc>
          <w:tcPr>
            <w:tcW w:w="1220" w:type="dxa"/>
            <w:tcBorders>
              <w:top w:val="single" w:sz="4" w:space="0" w:color="000000"/>
              <w:bottom w:val="single" w:sz="4" w:space="0" w:color="00B1A9"/>
            </w:tcBorders>
          </w:tcPr>
          <w:p>
            <w:pPr>
              <w:pStyle w:val="TableParagraph"/>
              <w:spacing w:before="73"/>
              <w:ind w:left="10" w:right="10"/>
              <w:jc w:val="center"/>
              <w:rPr>
                <w:rFonts w:ascii="Cambria Math" w:eastAsia="Cambria Math"/>
                <w:sz w:val="20"/>
              </w:rPr>
            </w:pPr>
            <w:r>
              <w:rPr>
                <w:rFonts w:ascii="Cambria Math" w:eastAsia="Cambria Math"/>
                <w:spacing w:val="-10"/>
                <w:sz w:val="20"/>
              </w:rPr>
              <w:t>𝑡</w:t>
            </w:r>
          </w:p>
        </w:tc>
        <w:tc>
          <w:tcPr>
            <w:tcW w:w="8174" w:type="dxa"/>
            <w:tcBorders>
              <w:top w:val="single" w:sz="4" w:space="0" w:color="000000"/>
              <w:bottom w:val="single" w:sz="4" w:space="0" w:color="000000"/>
            </w:tcBorders>
            <w:shd w:val="clear" w:color="auto" w:fill="CCDBEA"/>
          </w:tcPr>
          <w:p>
            <w:pPr>
              <w:pStyle w:val="TableParagraph"/>
              <w:spacing w:before="69"/>
              <w:ind w:left="112"/>
              <w:rPr>
                <w:sz w:val="20"/>
              </w:rPr>
            </w:pPr>
            <w:r>
              <w:rPr>
                <w:sz w:val="20"/>
              </w:rPr>
              <w:t>The</w:t>
            </w:r>
            <w:r>
              <w:rPr>
                <w:spacing w:val="-7"/>
                <w:sz w:val="20"/>
              </w:rPr>
              <w:t> </w:t>
            </w:r>
            <w:r>
              <w:rPr>
                <w:sz w:val="20"/>
              </w:rPr>
              <w:t>survey</w:t>
            </w:r>
            <w:r>
              <w:rPr>
                <w:spacing w:val="-6"/>
                <w:sz w:val="20"/>
              </w:rPr>
              <w:t> </w:t>
            </w:r>
            <w:r>
              <w:rPr>
                <w:sz w:val="20"/>
              </w:rPr>
              <w:t>period</w:t>
            </w:r>
            <w:r>
              <w:rPr>
                <w:spacing w:val="-6"/>
                <w:sz w:val="20"/>
              </w:rPr>
              <w:t> </w:t>
            </w:r>
            <w:r>
              <w:rPr>
                <w:sz w:val="20"/>
              </w:rPr>
              <w:t>since</w:t>
            </w:r>
            <w:r>
              <w:rPr>
                <w:spacing w:val="-6"/>
                <w:sz w:val="20"/>
              </w:rPr>
              <w:t> </w:t>
            </w:r>
            <w:r>
              <w:rPr>
                <w:sz w:val="20"/>
              </w:rPr>
              <w:t>the</w:t>
            </w:r>
            <w:r>
              <w:rPr>
                <w:spacing w:val="-6"/>
                <w:sz w:val="20"/>
              </w:rPr>
              <w:t> </w:t>
            </w:r>
            <w:r>
              <w:rPr>
                <w:sz w:val="20"/>
              </w:rPr>
              <w:t>initial</w:t>
            </w:r>
            <w:r>
              <w:rPr>
                <w:spacing w:val="-6"/>
                <w:sz w:val="20"/>
              </w:rPr>
              <w:t> </w:t>
            </w:r>
            <w:r>
              <w:rPr>
                <w:sz w:val="20"/>
              </w:rPr>
              <w:t>survey</w:t>
            </w:r>
            <w:r>
              <w:rPr>
                <w:spacing w:val="-5"/>
                <w:sz w:val="20"/>
              </w:rPr>
              <w:t> </w:t>
            </w:r>
            <w:r>
              <w:rPr>
                <w:sz w:val="20"/>
              </w:rPr>
              <w:t>in</w:t>
            </w:r>
            <w:r>
              <w:rPr>
                <w:spacing w:val="-4"/>
                <w:sz w:val="20"/>
              </w:rPr>
              <w:t> 2005</w:t>
            </w:r>
          </w:p>
        </w:tc>
      </w:tr>
      <w:tr>
        <w:trPr>
          <w:trHeight w:val="599" w:hRule="atLeast"/>
        </w:trPr>
        <w:tc>
          <w:tcPr>
            <w:tcW w:w="1220" w:type="dxa"/>
            <w:tcBorders>
              <w:top w:val="single" w:sz="4" w:space="0" w:color="00B1A9"/>
              <w:bottom w:val="single" w:sz="4" w:space="0" w:color="00B1A9"/>
            </w:tcBorders>
          </w:tcPr>
          <w:p>
            <w:pPr>
              <w:pStyle w:val="TableParagraph"/>
              <w:spacing w:before="72"/>
              <w:ind w:left="4" w:right="10"/>
              <w:jc w:val="center"/>
              <w:rPr>
                <w:rFonts w:ascii="Cambria Math" w:eastAsia="Cambria Math"/>
                <w:sz w:val="14"/>
              </w:rPr>
            </w:pPr>
            <w:r>
              <w:rPr>
                <w:rFonts w:ascii="Cambria Math" w:eastAsia="Cambria Math"/>
                <w:spacing w:val="-2"/>
                <w:w w:val="110"/>
                <w:position w:val="4"/>
                <w:sz w:val="20"/>
              </w:rPr>
              <w:t>𝑌</w:t>
            </w:r>
            <w:r>
              <w:rPr>
                <w:rFonts w:ascii="Cambria Math" w:eastAsia="Cambria Math"/>
                <w:spacing w:val="-2"/>
                <w:w w:val="110"/>
                <w:sz w:val="14"/>
              </w:rPr>
              <w:t>𝑖,𝑡,𝑗</w:t>
            </w:r>
          </w:p>
        </w:tc>
        <w:tc>
          <w:tcPr>
            <w:tcW w:w="8174" w:type="dxa"/>
            <w:tcBorders>
              <w:top w:val="single" w:sz="4" w:space="0" w:color="000000"/>
              <w:bottom w:val="single" w:sz="4" w:space="0" w:color="000000"/>
            </w:tcBorders>
            <w:shd w:val="clear" w:color="auto" w:fill="CCDBEA"/>
          </w:tcPr>
          <w:p>
            <w:pPr>
              <w:pStyle w:val="TableParagraph"/>
              <w:spacing w:line="249" w:lineRule="auto" w:before="64"/>
              <w:ind w:left="112"/>
              <w:rPr>
                <w:sz w:val="20"/>
              </w:rPr>
            </w:pPr>
            <w:r>
              <w:rPr>
                <w:sz w:val="20"/>
              </w:rPr>
              <w:t>Observation</w:t>
            </w:r>
            <w:r>
              <w:rPr>
                <w:spacing w:val="-4"/>
                <w:sz w:val="20"/>
              </w:rPr>
              <w:t> </w:t>
            </w:r>
            <w:r>
              <w:rPr>
                <w:sz w:val="20"/>
              </w:rPr>
              <w:t>status</w:t>
            </w:r>
            <w:r>
              <w:rPr>
                <w:spacing w:val="-2"/>
                <w:sz w:val="20"/>
              </w:rPr>
              <w:t> </w:t>
            </w:r>
            <w:r>
              <w:rPr>
                <w:sz w:val="20"/>
              </w:rPr>
              <w:t>of</w:t>
            </w:r>
            <w:r>
              <w:rPr>
                <w:spacing w:val="-1"/>
                <w:sz w:val="20"/>
              </w:rPr>
              <w:t> </w:t>
            </w:r>
            <w:r>
              <w:rPr>
                <w:sz w:val="20"/>
              </w:rPr>
              <w:t>a</w:t>
            </w:r>
            <w:r>
              <w:rPr>
                <w:spacing w:val="-4"/>
                <w:sz w:val="20"/>
              </w:rPr>
              <w:t> </w:t>
            </w:r>
            <w:r>
              <w:rPr>
                <w:sz w:val="20"/>
              </w:rPr>
              <w:t>species</w:t>
            </w:r>
            <w:r>
              <w:rPr>
                <w:spacing w:val="-2"/>
                <w:sz w:val="20"/>
              </w:rPr>
              <w:t> </w:t>
            </w:r>
            <w:r>
              <w:rPr>
                <w:sz w:val="20"/>
              </w:rPr>
              <w:t>at</w:t>
            </w:r>
            <w:r>
              <w:rPr>
                <w:spacing w:val="-3"/>
                <w:sz w:val="20"/>
              </w:rPr>
              <w:t> </w:t>
            </w:r>
            <w:r>
              <w:rPr>
                <w:sz w:val="20"/>
              </w:rPr>
              <w:t>site </w:t>
            </w:r>
            <w:r>
              <w:rPr>
                <w:rFonts w:ascii="Cambria Math" w:eastAsia="Cambria Math"/>
                <w:sz w:val="20"/>
              </w:rPr>
              <w:t>𝑖</w:t>
            </w:r>
            <w:r>
              <w:rPr>
                <w:rFonts w:ascii="Cambria Math" w:eastAsia="Cambria Math"/>
                <w:spacing w:val="14"/>
                <w:sz w:val="20"/>
              </w:rPr>
              <w:t> </w:t>
            </w:r>
            <w:r>
              <w:rPr>
                <w:sz w:val="20"/>
              </w:rPr>
              <w:t>in</w:t>
            </w:r>
            <w:r>
              <w:rPr>
                <w:spacing w:val="-3"/>
                <w:sz w:val="20"/>
              </w:rPr>
              <w:t> </w:t>
            </w:r>
            <w:r>
              <w:rPr>
                <w:sz w:val="20"/>
              </w:rPr>
              <w:t>period</w:t>
            </w:r>
            <w:r>
              <w:rPr>
                <w:spacing w:val="-1"/>
                <w:sz w:val="20"/>
              </w:rPr>
              <w:t> </w:t>
            </w:r>
            <w:r>
              <w:rPr>
                <w:rFonts w:ascii="Cambria Math" w:eastAsia="Cambria Math"/>
                <w:sz w:val="20"/>
              </w:rPr>
              <w:t>𝑡 </w:t>
            </w:r>
            <w:r>
              <w:rPr>
                <w:sz w:val="20"/>
              </w:rPr>
              <w:t>on</w:t>
            </w:r>
            <w:r>
              <w:rPr>
                <w:spacing w:val="-4"/>
                <w:sz w:val="20"/>
              </w:rPr>
              <w:t> </w:t>
            </w:r>
            <w:r>
              <w:rPr>
                <w:sz w:val="20"/>
              </w:rPr>
              <w:t>the</w:t>
            </w:r>
            <w:r>
              <w:rPr>
                <w:spacing w:val="-1"/>
                <w:sz w:val="20"/>
              </w:rPr>
              <w:t> </w:t>
            </w:r>
            <w:r>
              <w:rPr>
                <w:rFonts w:ascii="Cambria Math" w:eastAsia="Cambria Math"/>
                <w:sz w:val="20"/>
              </w:rPr>
              <w:t>𝑗 </w:t>
            </w:r>
            <w:r>
              <w:rPr>
                <w:sz w:val="20"/>
              </w:rPr>
              <w:t>observation:</w:t>
            </w:r>
            <w:r>
              <w:rPr>
                <w:spacing w:val="-3"/>
                <w:sz w:val="20"/>
              </w:rPr>
              <w:t> </w:t>
            </w:r>
            <w:r>
              <w:rPr>
                <w:sz w:val="20"/>
              </w:rPr>
              <w:t>1</w:t>
            </w:r>
            <w:r>
              <w:rPr>
                <w:spacing w:val="-3"/>
                <w:sz w:val="20"/>
              </w:rPr>
              <w:t> </w:t>
            </w:r>
            <w:r>
              <w:rPr>
                <w:sz w:val="20"/>
              </w:rPr>
              <w:t>(detected),</w:t>
            </w:r>
            <w:r>
              <w:rPr>
                <w:spacing w:val="-3"/>
                <w:sz w:val="20"/>
              </w:rPr>
              <w:t> </w:t>
            </w:r>
            <w:r>
              <w:rPr>
                <w:sz w:val="20"/>
              </w:rPr>
              <w:t>0 </w:t>
            </w:r>
            <w:r>
              <w:rPr>
                <w:spacing w:val="-2"/>
                <w:sz w:val="20"/>
              </w:rPr>
              <w:t>(otherwise)</w:t>
            </w:r>
          </w:p>
        </w:tc>
      </w:tr>
      <w:tr>
        <w:trPr>
          <w:trHeight w:val="388" w:hRule="atLeast"/>
        </w:trPr>
        <w:tc>
          <w:tcPr>
            <w:tcW w:w="1220" w:type="dxa"/>
            <w:tcBorders>
              <w:top w:val="single" w:sz="4" w:space="0" w:color="00B1A9"/>
              <w:bottom w:val="single" w:sz="4" w:space="0" w:color="00B1A9"/>
            </w:tcBorders>
          </w:tcPr>
          <w:p>
            <w:pPr>
              <w:pStyle w:val="TableParagraph"/>
              <w:spacing w:before="69"/>
              <w:ind w:left="4" w:right="10"/>
              <w:jc w:val="center"/>
              <w:rPr>
                <w:rFonts w:ascii="Cambria Math" w:eastAsia="Cambria Math"/>
                <w:sz w:val="14"/>
              </w:rPr>
            </w:pPr>
            <w:r>
              <w:rPr>
                <w:rFonts w:ascii="Cambria Math" w:eastAsia="Cambria Math"/>
                <w:spacing w:val="-4"/>
                <w:w w:val="105"/>
                <w:position w:val="4"/>
                <w:sz w:val="20"/>
              </w:rPr>
              <w:t>𝑍</w:t>
            </w:r>
            <w:r>
              <w:rPr>
                <w:rFonts w:ascii="Cambria Math" w:eastAsia="Cambria Math"/>
                <w:spacing w:val="-4"/>
                <w:w w:val="105"/>
                <w:sz w:val="14"/>
              </w:rPr>
              <w:t>𝑖,𝑡</w:t>
            </w:r>
          </w:p>
        </w:tc>
        <w:tc>
          <w:tcPr>
            <w:tcW w:w="8174" w:type="dxa"/>
            <w:tcBorders>
              <w:top w:val="single" w:sz="4" w:space="0" w:color="000000"/>
              <w:bottom w:val="single" w:sz="4" w:space="0" w:color="000000"/>
            </w:tcBorders>
            <w:shd w:val="clear" w:color="auto" w:fill="CCDBEA"/>
          </w:tcPr>
          <w:p>
            <w:pPr>
              <w:pStyle w:val="TableParagraph"/>
              <w:spacing w:before="64"/>
              <w:ind w:left="112"/>
              <w:rPr>
                <w:sz w:val="20"/>
              </w:rPr>
            </w:pPr>
            <w:r>
              <w:rPr>
                <w:sz w:val="20"/>
              </w:rPr>
              <w:t>True</w:t>
            </w:r>
            <w:r>
              <w:rPr>
                <w:spacing w:val="-7"/>
                <w:sz w:val="20"/>
              </w:rPr>
              <w:t> </w:t>
            </w:r>
            <w:r>
              <w:rPr>
                <w:sz w:val="20"/>
              </w:rPr>
              <w:t>occupancy</w:t>
            </w:r>
            <w:r>
              <w:rPr>
                <w:spacing w:val="-4"/>
                <w:sz w:val="20"/>
              </w:rPr>
              <w:t> </w:t>
            </w:r>
            <w:r>
              <w:rPr>
                <w:sz w:val="20"/>
              </w:rPr>
              <w:t>status</w:t>
            </w:r>
            <w:r>
              <w:rPr>
                <w:spacing w:val="-4"/>
                <w:sz w:val="20"/>
              </w:rPr>
              <w:t> </w:t>
            </w:r>
            <w:r>
              <w:rPr>
                <w:sz w:val="20"/>
              </w:rPr>
              <w:t>of</w:t>
            </w:r>
            <w:r>
              <w:rPr>
                <w:spacing w:val="-3"/>
                <w:sz w:val="20"/>
              </w:rPr>
              <w:t> </w:t>
            </w:r>
            <w:r>
              <w:rPr>
                <w:sz w:val="20"/>
              </w:rPr>
              <w:t>a</w:t>
            </w:r>
            <w:r>
              <w:rPr>
                <w:spacing w:val="-3"/>
                <w:sz w:val="20"/>
              </w:rPr>
              <w:t> </w:t>
            </w:r>
            <w:r>
              <w:rPr>
                <w:sz w:val="20"/>
              </w:rPr>
              <w:t>species</w:t>
            </w:r>
            <w:r>
              <w:rPr>
                <w:spacing w:val="-5"/>
                <w:sz w:val="20"/>
              </w:rPr>
              <w:t> </w:t>
            </w:r>
            <w:r>
              <w:rPr>
                <w:sz w:val="20"/>
              </w:rPr>
              <w:t>at</w:t>
            </w:r>
            <w:r>
              <w:rPr>
                <w:spacing w:val="-3"/>
                <w:sz w:val="20"/>
              </w:rPr>
              <w:t> </w:t>
            </w:r>
            <w:r>
              <w:rPr>
                <w:sz w:val="20"/>
              </w:rPr>
              <w:t>site</w:t>
            </w:r>
            <w:r>
              <w:rPr>
                <w:spacing w:val="2"/>
                <w:sz w:val="20"/>
              </w:rPr>
              <w:t> </w:t>
            </w:r>
            <w:r>
              <w:rPr>
                <w:rFonts w:ascii="Cambria Math" w:eastAsia="Cambria Math"/>
                <w:sz w:val="20"/>
              </w:rPr>
              <w:t>𝑖</w:t>
            </w:r>
            <w:r>
              <w:rPr>
                <w:rFonts w:ascii="Cambria Math" w:eastAsia="Cambria Math"/>
                <w:spacing w:val="12"/>
                <w:sz w:val="20"/>
              </w:rPr>
              <w:t> </w:t>
            </w:r>
            <w:r>
              <w:rPr>
                <w:sz w:val="20"/>
              </w:rPr>
              <w:t>in</w:t>
            </w:r>
            <w:r>
              <w:rPr>
                <w:spacing w:val="-3"/>
                <w:sz w:val="20"/>
              </w:rPr>
              <w:t> </w:t>
            </w:r>
            <w:r>
              <w:rPr>
                <w:sz w:val="20"/>
              </w:rPr>
              <w:t>period</w:t>
            </w:r>
            <w:r>
              <w:rPr>
                <w:spacing w:val="-3"/>
                <w:sz w:val="20"/>
              </w:rPr>
              <w:t> </w:t>
            </w:r>
            <w:r>
              <w:rPr>
                <w:rFonts w:ascii="Cambria Math" w:eastAsia="Cambria Math"/>
                <w:sz w:val="20"/>
              </w:rPr>
              <w:t>𝑡</w:t>
            </w:r>
            <w:r>
              <w:rPr>
                <w:sz w:val="20"/>
              </w:rPr>
              <w:t>:</w:t>
            </w:r>
            <w:r>
              <w:rPr>
                <w:spacing w:val="-3"/>
                <w:sz w:val="20"/>
              </w:rPr>
              <w:t> </w:t>
            </w:r>
            <w:r>
              <w:rPr>
                <w:sz w:val="20"/>
              </w:rPr>
              <w:t>1</w:t>
            </w:r>
            <w:r>
              <w:rPr>
                <w:spacing w:val="-5"/>
                <w:sz w:val="20"/>
              </w:rPr>
              <w:t> </w:t>
            </w:r>
            <w:r>
              <w:rPr>
                <w:sz w:val="20"/>
              </w:rPr>
              <w:t>(occupied),</w:t>
            </w:r>
            <w:r>
              <w:rPr>
                <w:spacing w:val="-5"/>
                <w:sz w:val="20"/>
              </w:rPr>
              <w:t> </w:t>
            </w:r>
            <w:r>
              <w:rPr>
                <w:sz w:val="20"/>
              </w:rPr>
              <w:t>0</w:t>
            </w:r>
            <w:r>
              <w:rPr>
                <w:spacing w:val="-5"/>
                <w:sz w:val="20"/>
              </w:rPr>
              <w:t> </w:t>
            </w:r>
            <w:r>
              <w:rPr>
                <w:spacing w:val="-2"/>
                <w:sz w:val="20"/>
              </w:rPr>
              <w:t>(otherwise)</w:t>
            </w:r>
          </w:p>
        </w:tc>
      </w:tr>
      <w:tr>
        <w:trPr>
          <w:trHeight w:val="390" w:hRule="atLeast"/>
        </w:trPr>
        <w:tc>
          <w:tcPr>
            <w:tcW w:w="1220" w:type="dxa"/>
            <w:tcBorders>
              <w:top w:val="single" w:sz="4" w:space="0" w:color="00B1A9"/>
              <w:bottom w:val="single" w:sz="4" w:space="0" w:color="00B1A9"/>
            </w:tcBorders>
          </w:tcPr>
          <w:p>
            <w:pPr>
              <w:pStyle w:val="TableParagraph"/>
              <w:spacing w:before="72"/>
              <w:ind w:left="4" w:right="10"/>
              <w:jc w:val="center"/>
              <w:rPr>
                <w:rFonts w:ascii="Cambria Math" w:eastAsia="Cambria Math"/>
                <w:sz w:val="14"/>
              </w:rPr>
            </w:pPr>
            <w:r>
              <w:rPr>
                <w:rFonts w:ascii="Cambria Math" w:eastAsia="Cambria Math"/>
                <w:spacing w:val="-4"/>
                <w:w w:val="105"/>
                <w:position w:val="4"/>
                <w:sz w:val="20"/>
              </w:rPr>
              <w:t>𝜓</w:t>
            </w:r>
            <w:r>
              <w:rPr>
                <w:rFonts w:ascii="Cambria Math" w:eastAsia="Cambria Math"/>
                <w:spacing w:val="-4"/>
                <w:w w:val="105"/>
                <w:sz w:val="14"/>
              </w:rPr>
              <w:t>𝑖,𝑡</w:t>
            </w:r>
          </w:p>
        </w:tc>
        <w:tc>
          <w:tcPr>
            <w:tcW w:w="8174" w:type="dxa"/>
            <w:tcBorders>
              <w:top w:val="single" w:sz="4" w:space="0" w:color="000000"/>
              <w:bottom w:val="single" w:sz="4" w:space="0" w:color="000000"/>
            </w:tcBorders>
            <w:shd w:val="clear" w:color="auto" w:fill="CCDBEA"/>
          </w:tcPr>
          <w:p>
            <w:pPr>
              <w:pStyle w:val="TableParagraph"/>
              <w:spacing w:before="66"/>
              <w:ind w:left="112"/>
              <w:rPr>
                <w:rFonts w:ascii="Cambria Math" w:eastAsia="Cambria Math"/>
                <w:sz w:val="20"/>
              </w:rPr>
            </w:pPr>
            <w:r>
              <w:rPr>
                <w:sz w:val="20"/>
              </w:rPr>
              <w:t>The</w:t>
            </w:r>
            <w:r>
              <w:rPr>
                <w:spacing w:val="-7"/>
                <w:sz w:val="20"/>
              </w:rPr>
              <w:t> </w:t>
            </w:r>
            <w:r>
              <w:rPr>
                <w:sz w:val="20"/>
              </w:rPr>
              <w:t>occupancy</w:t>
            </w:r>
            <w:r>
              <w:rPr>
                <w:spacing w:val="-4"/>
                <w:sz w:val="20"/>
              </w:rPr>
              <w:t> </w:t>
            </w:r>
            <w:r>
              <w:rPr>
                <w:sz w:val="20"/>
              </w:rPr>
              <w:t>rate</w:t>
            </w:r>
            <w:r>
              <w:rPr>
                <w:spacing w:val="-6"/>
                <w:sz w:val="20"/>
              </w:rPr>
              <w:t> </w:t>
            </w:r>
            <w:r>
              <w:rPr>
                <w:sz w:val="20"/>
              </w:rPr>
              <w:t>for</w:t>
            </w:r>
            <w:r>
              <w:rPr>
                <w:spacing w:val="-5"/>
                <w:sz w:val="20"/>
              </w:rPr>
              <w:t> </w:t>
            </w:r>
            <w:r>
              <w:rPr>
                <w:sz w:val="20"/>
              </w:rPr>
              <w:t>a</w:t>
            </w:r>
            <w:r>
              <w:rPr>
                <w:spacing w:val="-5"/>
                <w:sz w:val="20"/>
              </w:rPr>
              <w:t> </w:t>
            </w:r>
            <w:r>
              <w:rPr>
                <w:sz w:val="20"/>
              </w:rPr>
              <w:t>species</w:t>
            </w:r>
            <w:r>
              <w:rPr>
                <w:spacing w:val="-4"/>
                <w:sz w:val="20"/>
              </w:rPr>
              <w:t> </w:t>
            </w:r>
            <w:r>
              <w:rPr>
                <w:sz w:val="20"/>
              </w:rPr>
              <w:t>at</w:t>
            </w:r>
            <w:r>
              <w:rPr>
                <w:spacing w:val="-6"/>
                <w:sz w:val="20"/>
              </w:rPr>
              <w:t> </w:t>
            </w:r>
            <w:r>
              <w:rPr>
                <w:sz w:val="20"/>
              </w:rPr>
              <w:t>site</w:t>
            </w:r>
            <w:r>
              <w:rPr>
                <w:spacing w:val="3"/>
                <w:sz w:val="20"/>
              </w:rPr>
              <w:t> </w:t>
            </w:r>
            <w:r>
              <w:rPr>
                <w:rFonts w:ascii="Cambria Math" w:eastAsia="Cambria Math"/>
                <w:sz w:val="20"/>
              </w:rPr>
              <w:t>𝑖</w:t>
            </w:r>
            <w:r>
              <w:rPr>
                <w:rFonts w:ascii="Cambria Math" w:eastAsia="Cambria Math"/>
                <w:spacing w:val="12"/>
                <w:sz w:val="20"/>
              </w:rPr>
              <w:t> </w:t>
            </w:r>
            <w:r>
              <w:rPr>
                <w:sz w:val="20"/>
              </w:rPr>
              <w:t>in</w:t>
            </w:r>
            <w:r>
              <w:rPr>
                <w:spacing w:val="-5"/>
                <w:sz w:val="20"/>
              </w:rPr>
              <w:t> </w:t>
            </w:r>
            <w:r>
              <w:rPr>
                <w:sz w:val="20"/>
              </w:rPr>
              <w:t>period</w:t>
            </w:r>
            <w:r>
              <w:rPr>
                <w:spacing w:val="-1"/>
                <w:sz w:val="20"/>
              </w:rPr>
              <w:t> </w:t>
            </w:r>
            <w:r>
              <w:rPr>
                <w:rFonts w:ascii="Cambria Math" w:eastAsia="Cambria Math"/>
                <w:spacing w:val="-10"/>
                <w:sz w:val="20"/>
              </w:rPr>
              <w:t>𝑡</w:t>
            </w:r>
          </w:p>
        </w:tc>
      </w:tr>
      <w:tr>
        <w:trPr>
          <w:trHeight w:val="599" w:hRule="atLeast"/>
        </w:trPr>
        <w:tc>
          <w:tcPr>
            <w:tcW w:w="1220" w:type="dxa"/>
            <w:tcBorders>
              <w:top w:val="single" w:sz="4" w:space="0" w:color="00B1A9"/>
              <w:bottom w:val="single" w:sz="4" w:space="0" w:color="00B1A9"/>
            </w:tcBorders>
          </w:tcPr>
          <w:p>
            <w:pPr>
              <w:pStyle w:val="TableParagraph"/>
              <w:spacing w:before="69"/>
              <w:ind w:left="4" w:right="10"/>
              <w:jc w:val="center"/>
              <w:rPr>
                <w:rFonts w:ascii="Cambria Math" w:eastAsia="Cambria Math"/>
                <w:position w:val="-6"/>
                <w:sz w:val="12"/>
              </w:rPr>
            </w:pPr>
            <w:r>
              <w:rPr>
                <w:rFonts w:ascii="Cambria Math" w:eastAsia="Cambria Math"/>
                <w:spacing w:val="-5"/>
                <w:w w:val="110"/>
                <w:sz w:val="20"/>
              </w:rPr>
              <w:t>𝑝</w:t>
            </w:r>
            <w:r>
              <w:rPr>
                <w:rFonts w:ascii="Cambria Math" w:eastAsia="Cambria Math"/>
                <w:spacing w:val="-5"/>
                <w:w w:val="110"/>
                <w:position w:val="-3"/>
                <w:sz w:val="14"/>
              </w:rPr>
              <w:t>𝐷</w:t>
            </w:r>
            <w:r>
              <w:rPr>
                <w:rFonts w:ascii="Cambria Math" w:eastAsia="Cambria Math"/>
                <w:spacing w:val="-5"/>
                <w:w w:val="110"/>
                <w:position w:val="-6"/>
                <w:sz w:val="12"/>
              </w:rPr>
              <w:t>𝑗</w:t>
            </w:r>
          </w:p>
        </w:tc>
        <w:tc>
          <w:tcPr>
            <w:tcW w:w="8174" w:type="dxa"/>
            <w:tcBorders>
              <w:top w:val="single" w:sz="4" w:space="0" w:color="000000"/>
              <w:bottom w:val="single" w:sz="4" w:space="0" w:color="000000"/>
            </w:tcBorders>
            <w:shd w:val="clear" w:color="auto" w:fill="CCDBEA"/>
          </w:tcPr>
          <w:p>
            <w:pPr>
              <w:pStyle w:val="TableParagraph"/>
              <w:spacing w:line="249" w:lineRule="auto" w:before="64"/>
              <w:ind w:left="112"/>
              <w:rPr>
                <w:sz w:val="20"/>
              </w:rPr>
            </w:pPr>
            <w:r>
              <w:rPr>
                <w:sz w:val="20"/>
              </w:rPr>
              <w:t>The</w:t>
            </w:r>
            <w:r>
              <w:rPr>
                <w:spacing w:val="-5"/>
                <w:sz w:val="20"/>
              </w:rPr>
              <w:t> </w:t>
            </w:r>
            <w:r>
              <w:rPr>
                <w:sz w:val="20"/>
              </w:rPr>
              <w:t>daily</w:t>
            </w:r>
            <w:r>
              <w:rPr>
                <w:spacing w:val="-1"/>
                <w:sz w:val="20"/>
              </w:rPr>
              <w:t> </w:t>
            </w:r>
            <w:r>
              <w:rPr>
                <w:sz w:val="20"/>
              </w:rPr>
              <w:t>detection</w:t>
            </w:r>
            <w:r>
              <w:rPr>
                <w:spacing w:val="-4"/>
                <w:sz w:val="20"/>
              </w:rPr>
              <w:t> </w:t>
            </w:r>
            <w:r>
              <w:rPr>
                <w:sz w:val="20"/>
              </w:rPr>
              <w:t>rate</w:t>
            </w:r>
            <w:r>
              <w:rPr>
                <w:spacing w:val="-2"/>
                <w:sz w:val="20"/>
              </w:rPr>
              <w:t> </w:t>
            </w:r>
            <w:r>
              <w:rPr>
                <w:sz w:val="20"/>
              </w:rPr>
              <w:t>of</w:t>
            </w:r>
            <w:r>
              <w:rPr>
                <w:spacing w:val="-2"/>
                <w:sz w:val="20"/>
              </w:rPr>
              <w:t> </w:t>
            </w:r>
            <w:r>
              <w:rPr>
                <w:sz w:val="20"/>
              </w:rPr>
              <w:t>a</w:t>
            </w:r>
            <w:r>
              <w:rPr>
                <w:spacing w:val="-4"/>
                <w:sz w:val="20"/>
              </w:rPr>
              <w:t> </w:t>
            </w:r>
            <w:r>
              <w:rPr>
                <w:sz w:val="20"/>
              </w:rPr>
              <w:t>species</w:t>
            </w:r>
            <w:r>
              <w:rPr>
                <w:spacing w:val="-1"/>
                <w:sz w:val="20"/>
              </w:rPr>
              <w:t> </w:t>
            </w:r>
            <w:r>
              <w:rPr>
                <w:sz w:val="20"/>
              </w:rPr>
              <w:t>depending</w:t>
            </w:r>
            <w:r>
              <w:rPr>
                <w:spacing w:val="-4"/>
                <w:sz w:val="20"/>
              </w:rPr>
              <w:t> </w:t>
            </w:r>
            <w:r>
              <w:rPr>
                <w:sz w:val="20"/>
              </w:rPr>
              <w:t>on</w:t>
            </w:r>
            <w:r>
              <w:rPr>
                <w:spacing w:val="-2"/>
                <w:sz w:val="20"/>
              </w:rPr>
              <w:t> </w:t>
            </w:r>
            <w:r>
              <w:rPr>
                <w:sz w:val="20"/>
              </w:rPr>
              <w:t>the</w:t>
            </w:r>
            <w:r>
              <w:rPr>
                <w:spacing w:val="-2"/>
                <w:sz w:val="20"/>
              </w:rPr>
              <w:t> </w:t>
            </w:r>
            <w:r>
              <w:rPr>
                <w:sz w:val="20"/>
              </w:rPr>
              <w:t>device </w:t>
            </w:r>
            <w:r>
              <w:rPr>
                <w:rFonts w:ascii="Cambria Math" w:eastAsia="Cambria Math"/>
                <w:sz w:val="20"/>
              </w:rPr>
              <w:t>𝐷</w:t>
            </w:r>
            <w:r>
              <w:rPr>
                <w:rFonts w:ascii="Cambria Math" w:eastAsia="Cambria Math"/>
                <w:spacing w:val="14"/>
                <w:sz w:val="20"/>
              </w:rPr>
              <w:t> </w:t>
            </w:r>
            <w:r>
              <w:rPr>
                <w:sz w:val="20"/>
              </w:rPr>
              <w:t>used</w:t>
            </w:r>
            <w:r>
              <w:rPr>
                <w:spacing w:val="-3"/>
                <w:sz w:val="20"/>
              </w:rPr>
              <w:t> </w:t>
            </w:r>
            <w:r>
              <w:rPr>
                <w:sz w:val="20"/>
              </w:rPr>
              <w:t>on</w:t>
            </w:r>
            <w:r>
              <w:rPr>
                <w:spacing w:val="-5"/>
                <w:sz w:val="20"/>
              </w:rPr>
              <w:t> </w:t>
            </w:r>
            <w:r>
              <w:rPr>
                <w:sz w:val="20"/>
              </w:rPr>
              <w:t>day </w:t>
            </w:r>
            <w:r>
              <w:rPr>
                <w:rFonts w:ascii="Cambria Math" w:eastAsia="Cambria Math"/>
                <w:sz w:val="20"/>
              </w:rPr>
              <w:t>𝑗 </w:t>
            </w:r>
            <w:r>
              <w:rPr>
                <w:sz w:val="20"/>
              </w:rPr>
              <w:t>at</w:t>
            </w:r>
            <w:r>
              <w:rPr>
                <w:spacing w:val="-4"/>
                <w:sz w:val="20"/>
              </w:rPr>
              <w:t> </w:t>
            </w:r>
            <w:r>
              <w:rPr>
                <w:sz w:val="20"/>
              </w:rPr>
              <w:t>a</w:t>
            </w:r>
            <w:r>
              <w:rPr>
                <w:spacing w:val="-4"/>
                <w:sz w:val="20"/>
              </w:rPr>
              <w:t> </w:t>
            </w:r>
            <w:r>
              <w:rPr>
                <w:sz w:val="20"/>
              </w:rPr>
              <w:t>site, given the site is occupied</w:t>
            </w:r>
          </w:p>
        </w:tc>
      </w:tr>
      <w:tr>
        <w:trPr>
          <w:trHeight w:val="390" w:hRule="atLeast"/>
        </w:trPr>
        <w:tc>
          <w:tcPr>
            <w:tcW w:w="1220" w:type="dxa"/>
            <w:tcBorders>
              <w:top w:val="single" w:sz="4" w:space="0" w:color="00B1A9"/>
              <w:bottom w:val="single" w:sz="4" w:space="0" w:color="00B1A9"/>
            </w:tcBorders>
          </w:tcPr>
          <w:p>
            <w:pPr>
              <w:pStyle w:val="TableParagraph"/>
              <w:spacing w:before="69"/>
              <w:ind w:left="6" w:right="10"/>
              <w:jc w:val="center"/>
              <w:rPr>
                <w:rFonts w:ascii="Cambria Math" w:hAnsi="Cambria Math" w:eastAsia="Cambria Math"/>
                <w:sz w:val="14"/>
              </w:rPr>
            </w:pPr>
            <w:r>
              <w:rPr>
                <w:rFonts w:ascii="Cambria Math" w:hAnsi="Cambria Math" w:eastAsia="Cambria Math"/>
                <w:spacing w:val="-2"/>
                <w:w w:val="105"/>
                <w:position w:val="4"/>
                <w:sz w:val="20"/>
              </w:rPr>
              <w:t>𝑥</w:t>
            </w:r>
            <w:r>
              <w:rPr>
                <w:rFonts w:ascii="Cambria Math" w:hAnsi="Cambria Math" w:eastAsia="Cambria Math"/>
                <w:spacing w:val="-2"/>
                <w:w w:val="105"/>
                <w:sz w:val="14"/>
              </w:rPr>
              <w:t>𝑖,𝑡,ℎ</w:t>
            </w:r>
          </w:p>
        </w:tc>
        <w:tc>
          <w:tcPr>
            <w:tcW w:w="8174" w:type="dxa"/>
            <w:tcBorders>
              <w:top w:val="single" w:sz="4" w:space="0" w:color="000000"/>
              <w:bottom w:val="single" w:sz="4" w:space="0" w:color="000000"/>
            </w:tcBorders>
            <w:shd w:val="clear" w:color="auto" w:fill="CCDBEA"/>
          </w:tcPr>
          <w:p>
            <w:pPr>
              <w:pStyle w:val="TableParagraph"/>
              <w:spacing w:before="64"/>
              <w:ind w:left="112"/>
              <w:rPr>
                <w:rFonts w:ascii="Cambria Math" w:hAnsi="Cambria Math" w:eastAsia="Cambria Math"/>
                <w:sz w:val="20"/>
              </w:rPr>
            </w:pPr>
            <w:r>
              <w:rPr>
                <w:sz w:val="20"/>
              </w:rPr>
              <w:t>Variable</w:t>
            </w:r>
            <w:r>
              <w:rPr>
                <w:spacing w:val="-5"/>
                <w:sz w:val="20"/>
              </w:rPr>
              <w:t> </w:t>
            </w:r>
            <w:r>
              <w:rPr>
                <w:sz w:val="20"/>
              </w:rPr>
              <w:t>of</w:t>
            </w:r>
            <w:r>
              <w:rPr>
                <w:spacing w:val="-3"/>
                <w:sz w:val="20"/>
              </w:rPr>
              <w:t> </w:t>
            </w:r>
            <w:r>
              <w:rPr>
                <w:sz w:val="20"/>
              </w:rPr>
              <w:t>interest</w:t>
            </w:r>
            <w:r>
              <w:rPr>
                <w:spacing w:val="-1"/>
                <w:sz w:val="20"/>
              </w:rPr>
              <w:t> </w:t>
            </w:r>
            <w:r>
              <w:rPr>
                <w:rFonts w:ascii="Cambria Math" w:hAnsi="Cambria Math" w:eastAsia="Cambria Math"/>
                <w:sz w:val="20"/>
              </w:rPr>
              <w:t>ℎ</w:t>
            </w:r>
            <w:r>
              <w:rPr>
                <w:rFonts w:ascii="Cambria Math" w:hAnsi="Cambria Math" w:eastAsia="Cambria Math"/>
                <w:spacing w:val="11"/>
                <w:sz w:val="20"/>
              </w:rPr>
              <w:t> </w:t>
            </w:r>
            <w:r>
              <w:rPr>
                <w:sz w:val="20"/>
              </w:rPr>
              <w:t>at</w:t>
            </w:r>
            <w:r>
              <w:rPr>
                <w:spacing w:val="-5"/>
                <w:sz w:val="20"/>
              </w:rPr>
              <w:t> </w:t>
            </w:r>
            <w:r>
              <w:rPr>
                <w:sz w:val="20"/>
              </w:rPr>
              <w:t>site</w:t>
            </w:r>
            <w:r>
              <w:rPr>
                <w:spacing w:val="-2"/>
                <w:sz w:val="20"/>
              </w:rPr>
              <w:t> </w:t>
            </w:r>
            <w:r>
              <w:rPr>
                <w:rFonts w:ascii="Cambria Math" w:hAnsi="Cambria Math" w:eastAsia="Cambria Math"/>
                <w:sz w:val="20"/>
              </w:rPr>
              <w:t>𝑖</w:t>
            </w:r>
            <w:r>
              <w:rPr>
                <w:rFonts w:ascii="Cambria Math" w:hAnsi="Cambria Math" w:eastAsia="Cambria Math"/>
                <w:spacing w:val="13"/>
                <w:sz w:val="20"/>
              </w:rPr>
              <w:t> </w:t>
            </w:r>
            <w:r>
              <w:rPr>
                <w:sz w:val="20"/>
              </w:rPr>
              <w:t>in</w:t>
            </w:r>
            <w:r>
              <w:rPr>
                <w:spacing w:val="-5"/>
                <w:sz w:val="20"/>
              </w:rPr>
              <w:t> </w:t>
            </w:r>
            <w:r>
              <w:rPr>
                <w:sz w:val="20"/>
              </w:rPr>
              <w:t>period</w:t>
            </w:r>
            <w:r>
              <w:rPr>
                <w:spacing w:val="-3"/>
                <w:sz w:val="20"/>
              </w:rPr>
              <w:t> </w:t>
            </w:r>
            <w:r>
              <w:rPr>
                <w:rFonts w:ascii="Cambria Math" w:hAnsi="Cambria Math" w:eastAsia="Cambria Math"/>
                <w:spacing w:val="-10"/>
                <w:sz w:val="20"/>
              </w:rPr>
              <w:t>𝑡</w:t>
            </w:r>
          </w:p>
        </w:tc>
      </w:tr>
      <w:tr>
        <w:trPr>
          <w:trHeight w:val="388" w:hRule="atLeast"/>
        </w:trPr>
        <w:tc>
          <w:tcPr>
            <w:tcW w:w="1220" w:type="dxa"/>
            <w:tcBorders>
              <w:top w:val="single" w:sz="4" w:space="0" w:color="00B1A9"/>
              <w:bottom w:val="single" w:sz="4" w:space="0" w:color="00B1A9"/>
            </w:tcBorders>
          </w:tcPr>
          <w:p>
            <w:pPr>
              <w:pStyle w:val="TableParagraph"/>
              <w:spacing w:before="69"/>
              <w:ind w:left="4" w:right="10"/>
              <w:jc w:val="center"/>
              <w:rPr>
                <w:rFonts w:ascii="Cambria Math" w:eastAsia="Cambria Math"/>
                <w:sz w:val="14"/>
              </w:rPr>
            </w:pPr>
            <w:r>
              <w:rPr>
                <w:rFonts w:ascii="Cambria Math" w:eastAsia="Cambria Math"/>
                <w:spacing w:val="-4"/>
                <w:w w:val="105"/>
                <w:position w:val="4"/>
                <w:sz w:val="20"/>
              </w:rPr>
              <w:t>𝛾</w:t>
            </w:r>
            <w:r>
              <w:rPr>
                <w:rFonts w:ascii="Cambria Math" w:eastAsia="Cambria Math"/>
                <w:spacing w:val="-4"/>
                <w:w w:val="105"/>
                <w:sz w:val="14"/>
              </w:rPr>
              <w:t>𝑖,𝑡</w:t>
            </w:r>
          </w:p>
        </w:tc>
        <w:tc>
          <w:tcPr>
            <w:tcW w:w="8174" w:type="dxa"/>
            <w:tcBorders>
              <w:top w:val="single" w:sz="4" w:space="0" w:color="000000"/>
              <w:bottom w:val="single" w:sz="4" w:space="0" w:color="000000"/>
            </w:tcBorders>
            <w:shd w:val="clear" w:color="auto" w:fill="CCDBEA"/>
          </w:tcPr>
          <w:p>
            <w:pPr>
              <w:pStyle w:val="TableParagraph"/>
              <w:spacing w:before="64"/>
              <w:ind w:left="112"/>
              <w:rPr>
                <w:rFonts w:ascii="Cambria Math" w:eastAsia="Cambria Math"/>
                <w:sz w:val="20"/>
              </w:rPr>
            </w:pPr>
            <w:r>
              <w:rPr>
                <w:sz w:val="20"/>
              </w:rPr>
              <w:t>Colonisation</w:t>
            </w:r>
            <w:r>
              <w:rPr>
                <w:spacing w:val="-7"/>
                <w:sz w:val="20"/>
              </w:rPr>
              <w:t> </w:t>
            </w:r>
            <w:r>
              <w:rPr>
                <w:sz w:val="20"/>
              </w:rPr>
              <w:t>rate</w:t>
            </w:r>
            <w:r>
              <w:rPr>
                <w:spacing w:val="-5"/>
                <w:sz w:val="20"/>
              </w:rPr>
              <w:t> </w:t>
            </w:r>
            <w:r>
              <w:rPr>
                <w:sz w:val="20"/>
              </w:rPr>
              <w:t>at</w:t>
            </w:r>
            <w:r>
              <w:rPr>
                <w:spacing w:val="-6"/>
                <w:sz w:val="20"/>
              </w:rPr>
              <w:t> </w:t>
            </w:r>
            <w:r>
              <w:rPr>
                <w:sz w:val="20"/>
              </w:rPr>
              <w:t>site</w:t>
            </w:r>
            <w:r>
              <w:rPr>
                <w:spacing w:val="-3"/>
                <w:sz w:val="20"/>
              </w:rPr>
              <w:t> </w:t>
            </w:r>
            <w:r>
              <w:rPr>
                <w:rFonts w:ascii="Cambria Math" w:eastAsia="Cambria Math"/>
                <w:sz w:val="20"/>
              </w:rPr>
              <w:t>𝑖</w:t>
            </w:r>
            <w:r>
              <w:rPr>
                <w:rFonts w:ascii="Cambria Math" w:eastAsia="Cambria Math"/>
                <w:spacing w:val="11"/>
                <w:sz w:val="20"/>
              </w:rPr>
              <w:t> </w:t>
            </w:r>
            <w:r>
              <w:rPr>
                <w:sz w:val="20"/>
              </w:rPr>
              <w:t>in</w:t>
            </w:r>
            <w:r>
              <w:rPr>
                <w:spacing w:val="-5"/>
                <w:sz w:val="20"/>
              </w:rPr>
              <w:t> </w:t>
            </w:r>
            <w:r>
              <w:rPr>
                <w:sz w:val="20"/>
              </w:rPr>
              <w:t>period</w:t>
            </w:r>
            <w:r>
              <w:rPr>
                <w:spacing w:val="-3"/>
                <w:sz w:val="20"/>
              </w:rPr>
              <w:t> </w:t>
            </w:r>
            <w:r>
              <w:rPr>
                <w:rFonts w:ascii="Cambria Math" w:eastAsia="Cambria Math"/>
                <w:spacing w:val="-10"/>
                <w:sz w:val="20"/>
              </w:rPr>
              <w:t>𝑡</w:t>
            </w:r>
          </w:p>
        </w:tc>
      </w:tr>
      <w:tr>
        <w:trPr>
          <w:trHeight w:val="391" w:hRule="atLeast"/>
        </w:trPr>
        <w:tc>
          <w:tcPr>
            <w:tcW w:w="1220" w:type="dxa"/>
            <w:tcBorders>
              <w:top w:val="single" w:sz="4" w:space="0" w:color="00B1A9"/>
              <w:bottom w:val="single" w:sz="4" w:space="0" w:color="00B1A9"/>
            </w:tcBorders>
          </w:tcPr>
          <w:p>
            <w:pPr>
              <w:pStyle w:val="TableParagraph"/>
              <w:spacing w:before="70"/>
              <w:ind w:left="4" w:right="10"/>
              <w:jc w:val="center"/>
              <w:rPr>
                <w:rFonts w:ascii="Cambria Math" w:eastAsia="Cambria Math"/>
                <w:sz w:val="14"/>
              </w:rPr>
            </w:pPr>
            <w:r>
              <w:rPr>
                <w:rFonts w:ascii="Cambria Math" w:eastAsia="Cambria Math"/>
                <w:spacing w:val="-4"/>
                <w:w w:val="105"/>
                <w:position w:val="4"/>
                <w:sz w:val="20"/>
              </w:rPr>
              <w:t>𝜂</w:t>
            </w:r>
            <w:r>
              <w:rPr>
                <w:rFonts w:ascii="Cambria Math" w:eastAsia="Cambria Math"/>
                <w:spacing w:val="-4"/>
                <w:w w:val="105"/>
                <w:sz w:val="14"/>
              </w:rPr>
              <w:t>𝑖,𝑡</w:t>
            </w:r>
          </w:p>
        </w:tc>
        <w:tc>
          <w:tcPr>
            <w:tcW w:w="8174" w:type="dxa"/>
            <w:tcBorders>
              <w:top w:val="single" w:sz="4" w:space="0" w:color="000000"/>
              <w:bottom w:val="single" w:sz="4" w:space="0" w:color="000000"/>
            </w:tcBorders>
            <w:shd w:val="clear" w:color="auto" w:fill="CCDBEA"/>
          </w:tcPr>
          <w:p>
            <w:pPr>
              <w:pStyle w:val="TableParagraph"/>
              <w:spacing w:before="64"/>
              <w:ind w:left="112"/>
              <w:rPr>
                <w:rFonts w:ascii="Cambria Math" w:eastAsia="Cambria Math"/>
                <w:sz w:val="20"/>
              </w:rPr>
            </w:pPr>
            <w:r>
              <w:rPr>
                <w:sz w:val="20"/>
              </w:rPr>
              <w:t>Survival</w:t>
            </w:r>
            <w:r>
              <w:rPr>
                <w:spacing w:val="-5"/>
                <w:sz w:val="20"/>
              </w:rPr>
              <w:t> </w:t>
            </w:r>
            <w:r>
              <w:rPr>
                <w:sz w:val="20"/>
              </w:rPr>
              <w:t>rate</w:t>
            </w:r>
            <w:r>
              <w:rPr>
                <w:spacing w:val="-4"/>
                <w:sz w:val="20"/>
              </w:rPr>
              <w:t> </w:t>
            </w:r>
            <w:r>
              <w:rPr>
                <w:sz w:val="20"/>
              </w:rPr>
              <w:t>at</w:t>
            </w:r>
            <w:r>
              <w:rPr>
                <w:spacing w:val="-5"/>
                <w:sz w:val="20"/>
              </w:rPr>
              <w:t> </w:t>
            </w:r>
            <w:r>
              <w:rPr>
                <w:sz w:val="20"/>
              </w:rPr>
              <w:t>site</w:t>
            </w:r>
            <w:r>
              <w:rPr>
                <w:spacing w:val="-1"/>
                <w:sz w:val="20"/>
              </w:rPr>
              <w:t> </w:t>
            </w:r>
            <w:r>
              <w:rPr>
                <w:rFonts w:ascii="Cambria Math" w:eastAsia="Cambria Math"/>
                <w:sz w:val="20"/>
              </w:rPr>
              <w:t>𝑖</w:t>
            </w:r>
            <w:r>
              <w:rPr>
                <w:rFonts w:ascii="Cambria Math" w:eastAsia="Cambria Math"/>
                <w:spacing w:val="13"/>
                <w:sz w:val="20"/>
              </w:rPr>
              <w:t> </w:t>
            </w:r>
            <w:r>
              <w:rPr>
                <w:sz w:val="20"/>
              </w:rPr>
              <w:t>in</w:t>
            </w:r>
            <w:r>
              <w:rPr>
                <w:spacing w:val="-5"/>
                <w:sz w:val="20"/>
              </w:rPr>
              <w:t> </w:t>
            </w:r>
            <w:r>
              <w:rPr>
                <w:sz w:val="20"/>
              </w:rPr>
              <w:t>period</w:t>
            </w:r>
            <w:r>
              <w:rPr>
                <w:spacing w:val="-4"/>
                <w:sz w:val="20"/>
              </w:rPr>
              <w:t> </w:t>
            </w:r>
            <w:r>
              <w:rPr>
                <w:rFonts w:ascii="Cambria Math" w:eastAsia="Cambria Math"/>
                <w:spacing w:val="-10"/>
                <w:sz w:val="20"/>
              </w:rPr>
              <w:t>𝑡</w:t>
            </w:r>
          </w:p>
        </w:tc>
      </w:tr>
      <w:tr>
        <w:trPr>
          <w:trHeight w:val="388" w:hRule="atLeast"/>
        </w:trPr>
        <w:tc>
          <w:tcPr>
            <w:tcW w:w="1220" w:type="dxa"/>
            <w:tcBorders>
              <w:top w:val="single" w:sz="4" w:space="0" w:color="00B1A9"/>
              <w:bottom w:val="single" w:sz="4" w:space="0" w:color="00B1A9"/>
            </w:tcBorders>
          </w:tcPr>
          <w:p>
            <w:pPr>
              <w:pStyle w:val="TableParagraph"/>
              <w:spacing w:before="69"/>
              <w:ind w:left="4" w:right="10"/>
              <w:jc w:val="center"/>
              <w:rPr>
                <w:rFonts w:ascii="Cambria Math" w:eastAsia="Cambria Math"/>
                <w:sz w:val="14"/>
              </w:rPr>
            </w:pPr>
            <w:r>
              <w:rPr>
                <w:rFonts w:ascii="Cambria Math" w:eastAsia="Cambria Math"/>
                <w:spacing w:val="-4"/>
                <w:position w:val="4"/>
                <w:sz w:val="20"/>
              </w:rPr>
              <w:t>𝜀</w:t>
            </w:r>
            <w:r>
              <w:rPr>
                <w:rFonts w:ascii="Cambria Math" w:eastAsia="Cambria Math"/>
                <w:spacing w:val="-4"/>
                <w:sz w:val="14"/>
              </w:rPr>
              <w:t>𝐶,𝑡</w:t>
            </w:r>
          </w:p>
        </w:tc>
        <w:tc>
          <w:tcPr>
            <w:tcW w:w="8174" w:type="dxa"/>
            <w:tcBorders>
              <w:top w:val="single" w:sz="4" w:space="0" w:color="000000"/>
              <w:bottom w:val="single" w:sz="4" w:space="0" w:color="000000"/>
            </w:tcBorders>
            <w:shd w:val="clear" w:color="auto" w:fill="CCDBEA"/>
          </w:tcPr>
          <w:p>
            <w:pPr>
              <w:pStyle w:val="TableParagraph"/>
              <w:spacing w:before="64"/>
              <w:ind w:left="112"/>
              <w:rPr>
                <w:rFonts w:ascii="Cambria Math" w:eastAsia="Cambria Math"/>
                <w:sz w:val="20"/>
              </w:rPr>
            </w:pPr>
            <w:r>
              <w:rPr>
                <w:sz w:val="20"/>
              </w:rPr>
              <w:t>Random</w:t>
            </w:r>
            <w:r>
              <w:rPr>
                <w:spacing w:val="-9"/>
                <w:sz w:val="20"/>
              </w:rPr>
              <w:t> </w:t>
            </w:r>
            <w:r>
              <w:rPr>
                <w:sz w:val="20"/>
              </w:rPr>
              <w:t>variation</w:t>
            </w:r>
            <w:r>
              <w:rPr>
                <w:spacing w:val="-8"/>
                <w:sz w:val="20"/>
              </w:rPr>
              <w:t> </w:t>
            </w:r>
            <w:r>
              <w:rPr>
                <w:sz w:val="20"/>
              </w:rPr>
              <w:t>in</w:t>
            </w:r>
            <w:r>
              <w:rPr>
                <w:spacing w:val="-9"/>
                <w:sz w:val="20"/>
              </w:rPr>
              <w:t> </w:t>
            </w:r>
            <w:r>
              <w:rPr>
                <w:sz w:val="20"/>
              </w:rPr>
              <w:t>colonisation</w:t>
            </w:r>
            <w:r>
              <w:rPr>
                <w:spacing w:val="-7"/>
                <w:sz w:val="20"/>
              </w:rPr>
              <w:t> </w:t>
            </w:r>
            <w:r>
              <w:rPr>
                <w:sz w:val="20"/>
              </w:rPr>
              <w:t>rates</w:t>
            </w:r>
            <w:r>
              <w:rPr>
                <w:spacing w:val="-8"/>
                <w:sz w:val="20"/>
              </w:rPr>
              <w:t> </w:t>
            </w:r>
            <w:r>
              <w:rPr>
                <w:sz w:val="20"/>
              </w:rPr>
              <w:t>in</w:t>
            </w:r>
            <w:r>
              <w:rPr>
                <w:spacing w:val="-9"/>
                <w:sz w:val="20"/>
              </w:rPr>
              <w:t> </w:t>
            </w:r>
            <w:r>
              <w:rPr>
                <w:sz w:val="20"/>
              </w:rPr>
              <w:t>period</w:t>
            </w:r>
            <w:r>
              <w:rPr>
                <w:spacing w:val="-2"/>
                <w:sz w:val="20"/>
              </w:rPr>
              <w:t> </w:t>
            </w:r>
            <w:r>
              <w:rPr>
                <w:rFonts w:ascii="Cambria Math" w:eastAsia="Cambria Math"/>
                <w:spacing w:val="-10"/>
                <w:sz w:val="20"/>
              </w:rPr>
              <w:t>𝑡</w:t>
            </w:r>
          </w:p>
        </w:tc>
      </w:tr>
      <w:tr>
        <w:trPr>
          <w:trHeight w:val="390" w:hRule="atLeast"/>
        </w:trPr>
        <w:tc>
          <w:tcPr>
            <w:tcW w:w="1220" w:type="dxa"/>
            <w:tcBorders>
              <w:top w:val="single" w:sz="4" w:space="0" w:color="00B1A9"/>
              <w:bottom w:val="single" w:sz="4" w:space="0" w:color="00B1A9"/>
            </w:tcBorders>
          </w:tcPr>
          <w:p>
            <w:pPr>
              <w:pStyle w:val="TableParagraph"/>
              <w:spacing w:before="69"/>
              <w:ind w:left="4" w:right="10"/>
              <w:jc w:val="center"/>
              <w:rPr>
                <w:rFonts w:ascii="Cambria Math" w:eastAsia="Cambria Math"/>
                <w:sz w:val="14"/>
              </w:rPr>
            </w:pPr>
            <w:r>
              <w:rPr>
                <w:rFonts w:ascii="Cambria Math" w:eastAsia="Cambria Math"/>
                <w:spacing w:val="-4"/>
                <w:w w:val="105"/>
                <w:position w:val="4"/>
                <w:sz w:val="20"/>
              </w:rPr>
              <w:t>𝜀</w:t>
            </w:r>
            <w:r>
              <w:rPr>
                <w:rFonts w:ascii="Cambria Math" w:eastAsia="Cambria Math"/>
                <w:spacing w:val="-4"/>
                <w:w w:val="105"/>
                <w:sz w:val="14"/>
              </w:rPr>
              <w:t>𝑆,𝑡</w:t>
            </w:r>
          </w:p>
        </w:tc>
        <w:tc>
          <w:tcPr>
            <w:tcW w:w="8174" w:type="dxa"/>
            <w:tcBorders>
              <w:top w:val="single" w:sz="4" w:space="0" w:color="000000"/>
              <w:bottom w:val="single" w:sz="4" w:space="0" w:color="000000"/>
            </w:tcBorders>
            <w:shd w:val="clear" w:color="auto" w:fill="CCDBEA"/>
          </w:tcPr>
          <w:p>
            <w:pPr>
              <w:pStyle w:val="TableParagraph"/>
              <w:spacing w:before="64"/>
              <w:ind w:left="112"/>
              <w:rPr>
                <w:rFonts w:ascii="Cambria Math" w:eastAsia="Cambria Math"/>
                <w:sz w:val="20"/>
              </w:rPr>
            </w:pPr>
            <w:r>
              <w:rPr>
                <w:sz w:val="20"/>
              </w:rPr>
              <w:t>Random</w:t>
            </w:r>
            <w:r>
              <w:rPr>
                <w:spacing w:val="-8"/>
                <w:sz w:val="20"/>
              </w:rPr>
              <w:t> </w:t>
            </w:r>
            <w:r>
              <w:rPr>
                <w:sz w:val="20"/>
              </w:rPr>
              <w:t>variation</w:t>
            </w:r>
            <w:r>
              <w:rPr>
                <w:spacing w:val="-6"/>
                <w:sz w:val="20"/>
              </w:rPr>
              <w:t> </w:t>
            </w:r>
            <w:r>
              <w:rPr>
                <w:sz w:val="20"/>
              </w:rPr>
              <w:t>in</w:t>
            </w:r>
            <w:r>
              <w:rPr>
                <w:spacing w:val="-7"/>
                <w:sz w:val="20"/>
              </w:rPr>
              <w:t> </w:t>
            </w:r>
            <w:r>
              <w:rPr>
                <w:sz w:val="20"/>
              </w:rPr>
              <w:t>survival</w:t>
            </w:r>
            <w:r>
              <w:rPr>
                <w:spacing w:val="-9"/>
                <w:sz w:val="20"/>
              </w:rPr>
              <w:t> </w:t>
            </w:r>
            <w:r>
              <w:rPr>
                <w:sz w:val="20"/>
              </w:rPr>
              <w:t>rates</w:t>
            </w:r>
            <w:r>
              <w:rPr>
                <w:spacing w:val="-6"/>
                <w:sz w:val="20"/>
              </w:rPr>
              <w:t> </w:t>
            </w:r>
            <w:r>
              <w:rPr>
                <w:sz w:val="20"/>
              </w:rPr>
              <w:t>in</w:t>
            </w:r>
            <w:r>
              <w:rPr>
                <w:spacing w:val="-6"/>
                <w:sz w:val="20"/>
              </w:rPr>
              <w:t> </w:t>
            </w:r>
            <w:r>
              <w:rPr>
                <w:sz w:val="20"/>
              </w:rPr>
              <w:t>period</w:t>
            </w:r>
            <w:r>
              <w:rPr>
                <w:spacing w:val="-2"/>
                <w:sz w:val="20"/>
              </w:rPr>
              <w:t> </w:t>
            </w:r>
            <w:r>
              <w:rPr>
                <w:rFonts w:ascii="Cambria Math" w:eastAsia="Cambria Math"/>
                <w:spacing w:val="-10"/>
                <w:sz w:val="20"/>
              </w:rPr>
              <w:t>𝑡</w:t>
            </w:r>
          </w:p>
        </w:tc>
      </w:tr>
      <w:tr>
        <w:trPr>
          <w:trHeight w:val="378" w:hRule="atLeast"/>
        </w:trPr>
        <w:tc>
          <w:tcPr>
            <w:tcW w:w="1220" w:type="dxa"/>
            <w:tcBorders>
              <w:top w:val="single" w:sz="4" w:space="0" w:color="00B1A9"/>
              <w:bottom w:val="single" w:sz="4" w:space="0" w:color="00B1A9"/>
            </w:tcBorders>
          </w:tcPr>
          <w:p>
            <w:pPr>
              <w:pStyle w:val="TableParagraph"/>
              <w:spacing w:before="73"/>
              <w:ind w:left="3" w:right="10"/>
              <w:jc w:val="center"/>
              <w:rPr>
                <w:rFonts w:ascii="Cambria Math" w:eastAsia="Cambria Math"/>
                <w:position w:val="-3"/>
                <w:sz w:val="14"/>
              </w:rPr>
            </w:pPr>
            <w:r>
              <w:rPr>
                <w:rFonts w:ascii="Cambria Math" w:eastAsia="Cambria Math"/>
                <w:spacing w:val="-5"/>
                <w:sz w:val="20"/>
              </w:rPr>
              <w:t>𝜎</w:t>
            </w:r>
            <w:r>
              <w:rPr>
                <w:rFonts w:ascii="Cambria Math" w:eastAsia="Cambria Math"/>
                <w:spacing w:val="-5"/>
                <w:position w:val="-3"/>
                <w:sz w:val="14"/>
              </w:rPr>
              <w:t>𝐶</w:t>
            </w:r>
          </w:p>
        </w:tc>
        <w:tc>
          <w:tcPr>
            <w:tcW w:w="8174" w:type="dxa"/>
            <w:tcBorders>
              <w:top w:val="single" w:sz="4" w:space="0" w:color="000000"/>
              <w:bottom w:val="single" w:sz="4" w:space="0" w:color="000000"/>
            </w:tcBorders>
            <w:shd w:val="clear" w:color="auto" w:fill="CCDBEA"/>
          </w:tcPr>
          <w:p>
            <w:pPr>
              <w:pStyle w:val="TableParagraph"/>
              <w:spacing w:before="69"/>
              <w:ind w:left="112"/>
              <w:rPr>
                <w:sz w:val="20"/>
              </w:rPr>
            </w:pPr>
            <w:r>
              <w:rPr>
                <w:sz w:val="20"/>
              </w:rPr>
              <w:t>Standard</w:t>
            </w:r>
            <w:r>
              <w:rPr>
                <w:spacing w:val="-8"/>
                <w:sz w:val="20"/>
              </w:rPr>
              <w:t> </w:t>
            </w:r>
            <w:r>
              <w:rPr>
                <w:sz w:val="20"/>
              </w:rPr>
              <w:t>deviation</w:t>
            </w:r>
            <w:r>
              <w:rPr>
                <w:spacing w:val="-8"/>
                <w:sz w:val="20"/>
              </w:rPr>
              <w:t> </w:t>
            </w:r>
            <w:r>
              <w:rPr>
                <w:sz w:val="20"/>
              </w:rPr>
              <w:t>in</w:t>
            </w:r>
            <w:r>
              <w:rPr>
                <w:spacing w:val="-9"/>
                <w:sz w:val="20"/>
              </w:rPr>
              <w:t> </w:t>
            </w:r>
            <w:r>
              <w:rPr>
                <w:sz w:val="20"/>
              </w:rPr>
              <w:t>the</w:t>
            </w:r>
            <w:r>
              <w:rPr>
                <w:spacing w:val="-10"/>
                <w:sz w:val="20"/>
              </w:rPr>
              <w:t> </w:t>
            </w:r>
            <w:r>
              <w:rPr>
                <w:sz w:val="20"/>
              </w:rPr>
              <w:t>random</w:t>
            </w:r>
            <w:r>
              <w:rPr>
                <w:spacing w:val="-5"/>
                <w:sz w:val="20"/>
              </w:rPr>
              <w:t> </w:t>
            </w:r>
            <w:r>
              <w:rPr>
                <w:sz w:val="20"/>
              </w:rPr>
              <w:t>variation</w:t>
            </w:r>
            <w:r>
              <w:rPr>
                <w:spacing w:val="-9"/>
                <w:sz w:val="20"/>
              </w:rPr>
              <w:t> </w:t>
            </w:r>
            <w:r>
              <w:rPr>
                <w:sz w:val="20"/>
              </w:rPr>
              <w:t>in</w:t>
            </w:r>
            <w:r>
              <w:rPr>
                <w:spacing w:val="-9"/>
                <w:sz w:val="20"/>
              </w:rPr>
              <w:t> </w:t>
            </w:r>
            <w:r>
              <w:rPr>
                <w:sz w:val="20"/>
              </w:rPr>
              <w:t>colonisation</w:t>
            </w:r>
            <w:r>
              <w:rPr>
                <w:spacing w:val="-10"/>
                <w:sz w:val="20"/>
              </w:rPr>
              <w:t> </w:t>
            </w:r>
            <w:r>
              <w:rPr>
                <w:sz w:val="20"/>
              </w:rPr>
              <w:t>rates</w:t>
            </w:r>
            <w:r>
              <w:rPr>
                <w:spacing w:val="-6"/>
                <w:sz w:val="20"/>
              </w:rPr>
              <w:t> </w:t>
            </w:r>
            <w:r>
              <w:rPr>
                <w:sz w:val="20"/>
              </w:rPr>
              <w:t>between</w:t>
            </w:r>
            <w:r>
              <w:rPr>
                <w:spacing w:val="-7"/>
                <w:sz w:val="20"/>
              </w:rPr>
              <w:t> </w:t>
            </w:r>
            <w:r>
              <w:rPr>
                <w:spacing w:val="-2"/>
                <w:sz w:val="20"/>
              </w:rPr>
              <w:t>periods</w:t>
            </w:r>
          </w:p>
        </w:tc>
      </w:tr>
      <w:tr>
        <w:trPr>
          <w:trHeight w:val="381" w:hRule="atLeast"/>
        </w:trPr>
        <w:tc>
          <w:tcPr>
            <w:tcW w:w="1220" w:type="dxa"/>
            <w:tcBorders>
              <w:top w:val="single" w:sz="4" w:space="0" w:color="00B1A9"/>
              <w:bottom w:val="single" w:sz="4" w:space="0" w:color="00B1A9"/>
            </w:tcBorders>
          </w:tcPr>
          <w:p>
            <w:pPr>
              <w:pStyle w:val="TableParagraph"/>
              <w:spacing w:before="76"/>
              <w:ind w:left="6" w:right="10"/>
              <w:jc w:val="center"/>
              <w:rPr>
                <w:rFonts w:ascii="Cambria Math" w:eastAsia="Cambria Math"/>
                <w:position w:val="-3"/>
                <w:sz w:val="14"/>
              </w:rPr>
            </w:pPr>
            <w:r>
              <w:rPr>
                <w:rFonts w:ascii="Cambria Math" w:eastAsia="Cambria Math"/>
                <w:spacing w:val="-5"/>
                <w:sz w:val="20"/>
              </w:rPr>
              <w:t>𝜎</w:t>
            </w:r>
            <w:r>
              <w:rPr>
                <w:rFonts w:ascii="Cambria Math" w:eastAsia="Cambria Math"/>
                <w:spacing w:val="-5"/>
                <w:position w:val="-3"/>
                <w:sz w:val="14"/>
              </w:rPr>
              <w:t>𝑆</w:t>
            </w:r>
          </w:p>
        </w:tc>
        <w:tc>
          <w:tcPr>
            <w:tcW w:w="8174" w:type="dxa"/>
            <w:tcBorders>
              <w:top w:val="single" w:sz="4" w:space="0" w:color="000000"/>
              <w:bottom w:val="single" w:sz="4" w:space="0" w:color="000000"/>
            </w:tcBorders>
            <w:shd w:val="clear" w:color="auto" w:fill="CCDBEA"/>
          </w:tcPr>
          <w:p>
            <w:pPr>
              <w:pStyle w:val="TableParagraph"/>
              <w:spacing w:before="71"/>
              <w:ind w:left="112"/>
              <w:rPr>
                <w:sz w:val="20"/>
              </w:rPr>
            </w:pPr>
            <w:r>
              <w:rPr>
                <w:sz w:val="20"/>
              </w:rPr>
              <w:t>Standard</w:t>
            </w:r>
            <w:r>
              <w:rPr>
                <w:spacing w:val="-7"/>
                <w:sz w:val="20"/>
              </w:rPr>
              <w:t> </w:t>
            </w:r>
            <w:r>
              <w:rPr>
                <w:sz w:val="20"/>
              </w:rPr>
              <w:t>deviation</w:t>
            </w:r>
            <w:r>
              <w:rPr>
                <w:spacing w:val="-7"/>
                <w:sz w:val="20"/>
              </w:rPr>
              <w:t> </w:t>
            </w:r>
            <w:r>
              <w:rPr>
                <w:sz w:val="20"/>
              </w:rPr>
              <w:t>in</w:t>
            </w:r>
            <w:r>
              <w:rPr>
                <w:spacing w:val="-8"/>
                <w:sz w:val="20"/>
              </w:rPr>
              <w:t> </w:t>
            </w:r>
            <w:r>
              <w:rPr>
                <w:sz w:val="20"/>
              </w:rPr>
              <w:t>the</w:t>
            </w:r>
            <w:r>
              <w:rPr>
                <w:spacing w:val="-9"/>
                <w:sz w:val="20"/>
              </w:rPr>
              <w:t> </w:t>
            </w:r>
            <w:r>
              <w:rPr>
                <w:sz w:val="20"/>
              </w:rPr>
              <w:t>random</w:t>
            </w:r>
            <w:r>
              <w:rPr>
                <w:spacing w:val="-7"/>
                <w:sz w:val="20"/>
              </w:rPr>
              <w:t> </w:t>
            </w:r>
            <w:r>
              <w:rPr>
                <w:sz w:val="20"/>
              </w:rPr>
              <w:t>variation</w:t>
            </w:r>
            <w:r>
              <w:rPr>
                <w:spacing w:val="-8"/>
                <w:sz w:val="20"/>
              </w:rPr>
              <w:t> </w:t>
            </w:r>
            <w:r>
              <w:rPr>
                <w:sz w:val="20"/>
              </w:rPr>
              <w:t>in</w:t>
            </w:r>
            <w:r>
              <w:rPr>
                <w:spacing w:val="-8"/>
                <w:sz w:val="20"/>
              </w:rPr>
              <w:t> </w:t>
            </w:r>
            <w:r>
              <w:rPr>
                <w:sz w:val="20"/>
              </w:rPr>
              <w:t>survival</w:t>
            </w:r>
            <w:r>
              <w:rPr>
                <w:spacing w:val="-9"/>
                <w:sz w:val="20"/>
              </w:rPr>
              <w:t> </w:t>
            </w:r>
            <w:r>
              <w:rPr>
                <w:sz w:val="20"/>
              </w:rPr>
              <w:t>rates</w:t>
            </w:r>
            <w:r>
              <w:rPr>
                <w:spacing w:val="-7"/>
                <w:sz w:val="20"/>
              </w:rPr>
              <w:t> </w:t>
            </w:r>
            <w:r>
              <w:rPr>
                <w:sz w:val="20"/>
              </w:rPr>
              <w:t>between</w:t>
            </w:r>
            <w:r>
              <w:rPr>
                <w:spacing w:val="-9"/>
                <w:sz w:val="20"/>
              </w:rPr>
              <w:t> </w:t>
            </w:r>
            <w:r>
              <w:rPr>
                <w:spacing w:val="-2"/>
                <w:sz w:val="20"/>
              </w:rPr>
              <w:t>periods</w:t>
            </w:r>
          </w:p>
        </w:tc>
      </w:tr>
    </w:tbl>
    <w:p>
      <w:pPr>
        <w:pStyle w:val="TableParagraph"/>
        <w:spacing w:after="0"/>
        <w:rPr>
          <w:sz w:val="20"/>
        </w:rPr>
        <w:sectPr>
          <w:footerReference w:type="default" r:id="rId89"/>
          <w:pgSz w:w="11910" w:h="16850"/>
          <w:pgMar w:header="0" w:footer="688" w:top="1200" w:bottom="880" w:left="992" w:right="850"/>
        </w:sectPr>
      </w:pPr>
    </w:p>
    <w:p>
      <w:pPr>
        <w:spacing w:before="71"/>
        <w:ind w:left="140" w:right="74" w:firstLine="0"/>
        <w:jc w:val="left"/>
        <w:rPr>
          <w:b/>
          <w:sz w:val="20"/>
        </w:rPr>
      </w:pPr>
      <w:r>
        <w:rPr>
          <w:b/>
          <w:color w:val="1F1546"/>
          <w:sz w:val="20"/>
        </w:rPr>
        <w:t>Table</w:t>
      </w:r>
      <w:r>
        <w:rPr>
          <w:b/>
          <w:color w:val="1F1546"/>
          <w:spacing w:val="-5"/>
          <w:sz w:val="20"/>
        </w:rPr>
        <w:t> </w:t>
      </w:r>
      <w:r>
        <w:rPr>
          <w:b/>
          <w:color w:val="1F1546"/>
          <w:sz w:val="20"/>
        </w:rPr>
        <w:t>A3.</w:t>
      </w:r>
      <w:r>
        <w:rPr>
          <w:b/>
          <w:color w:val="1F1546"/>
          <w:spacing w:val="-5"/>
          <w:sz w:val="20"/>
        </w:rPr>
        <w:t> </w:t>
      </w:r>
      <w:r>
        <w:rPr>
          <w:b/>
          <w:color w:val="1F1546"/>
          <w:sz w:val="20"/>
        </w:rPr>
        <w:t>Parameter</w:t>
      </w:r>
      <w:r>
        <w:rPr>
          <w:b/>
          <w:color w:val="1F1546"/>
          <w:spacing w:val="-3"/>
          <w:sz w:val="20"/>
        </w:rPr>
        <w:t> </w:t>
      </w:r>
      <w:r>
        <w:rPr>
          <w:b/>
          <w:color w:val="1F1546"/>
          <w:sz w:val="20"/>
        </w:rPr>
        <w:t>estimates</w:t>
      </w:r>
      <w:r>
        <w:rPr>
          <w:b/>
          <w:color w:val="1F1546"/>
          <w:spacing w:val="-5"/>
          <w:sz w:val="20"/>
        </w:rPr>
        <w:t> </w:t>
      </w:r>
      <w:r>
        <w:rPr>
          <w:b/>
          <w:color w:val="1F1546"/>
          <w:sz w:val="20"/>
        </w:rPr>
        <w:t>(posterior</w:t>
      </w:r>
      <w:r>
        <w:rPr>
          <w:b/>
          <w:color w:val="1F1546"/>
          <w:spacing w:val="-5"/>
          <w:sz w:val="20"/>
        </w:rPr>
        <w:t> </w:t>
      </w:r>
      <w:r>
        <w:rPr>
          <w:b/>
          <w:color w:val="1F1546"/>
          <w:sz w:val="20"/>
        </w:rPr>
        <w:t>median</w:t>
      </w:r>
      <w:r>
        <w:rPr>
          <w:b/>
          <w:color w:val="1F1546"/>
          <w:spacing w:val="-2"/>
          <w:sz w:val="20"/>
        </w:rPr>
        <w:t> </w:t>
      </w:r>
      <w:r>
        <w:rPr>
          <w:b/>
          <w:color w:val="1F1546"/>
          <w:sz w:val="20"/>
        </w:rPr>
        <w:t>and</w:t>
      </w:r>
      <w:r>
        <w:rPr>
          <w:b/>
          <w:color w:val="1F1546"/>
          <w:spacing w:val="-4"/>
          <w:sz w:val="20"/>
        </w:rPr>
        <w:t> </w:t>
      </w:r>
      <w:r>
        <w:rPr>
          <w:b/>
          <w:color w:val="1F1546"/>
          <w:sz w:val="20"/>
        </w:rPr>
        <w:t>95%</w:t>
      </w:r>
      <w:r>
        <w:rPr>
          <w:b/>
          <w:color w:val="1F1546"/>
          <w:spacing w:val="-4"/>
          <w:sz w:val="20"/>
        </w:rPr>
        <w:t> </w:t>
      </w:r>
      <w:r>
        <w:rPr>
          <w:b/>
          <w:color w:val="1F1546"/>
          <w:sz w:val="20"/>
        </w:rPr>
        <w:t>credible</w:t>
      </w:r>
      <w:r>
        <w:rPr>
          <w:b/>
          <w:color w:val="1F1546"/>
          <w:spacing w:val="-5"/>
          <w:sz w:val="20"/>
        </w:rPr>
        <w:t> </w:t>
      </w:r>
      <w:r>
        <w:rPr>
          <w:b/>
          <w:color w:val="1F1546"/>
          <w:sz w:val="20"/>
        </w:rPr>
        <w:t>limits)</w:t>
      </w:r>
      <w:r>
        <w:rPr>
          <w:b/>
          <w:color w:val="1F1546"/>
          <w:spacing w:val="-5"/>
          <w:sz w:val="20"/>
        </w:rPr>
        <w:t> </w:t>
      </w:r>
      <w:r>
        <w:rPr>
          <w:b/>
          <w:color w:val="1F1546"/>
          <w:sz w:val="20"/>
        </w:rPr>
        <w:t>and</w:t>
      </w:r>
      <w:r>
        <w:rPr>
          <w:b/>
          <w:color w:val="1F1546"/>
          <w:spacing w:val="-4"/>
          <w:sz w:val="20"/>
        </w:rPr>
        <w:t> </w:t>
      </w:r>
      <w:r>
        <w:rPr>
          <w:b/>
          <w:color w:val="1F1546"/>
          <w:sz w:val="20"/>
        </w:rPr>
        <w:t>corresponding</w:t>
      </w:r>
      <w:r>
        <w:rPr>
          <w:b/>
          <w:color w:val="1F1546"/>
          <w:spacing w:val="-4"/>
          <w:sz w:val="20"/>
        </w:rPr>
        <w:t> </w:t>
      </w:r>
      <w:r>
        <w:rPr>
          <w:b/>
          <w:color w:val="1F1546"/>
          <w:sz w:val="20"/>
        </w:rPr>
        <w:t>odds ratios for initial occupancy, local survival and colonisation for the Common Brushtail Possum.</w:t>
      </w:r>
    </w:p>
    <w:p>
      <w:pPr>
        <w:pStyle w:val="BodyText"/>
        <w:spacing w:before="1" w:after="1"/>
        <w:rPr>
          <w:b/>
          <w:sz w:val="10"/>
        </w:rPr>
      </w:pPr>
    </w:p>
    <w:tbl>
      <w:tblPr>
        <w:tblW w:w="0" w:type="auto"/>
        <w:jc w:val="left"/>
        <w:tblInd w:w="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10"/>
        <w:gridCol w:w="1417"/>
        <w:gridCol w:w="1419"/>
        <w:gridCol w:w="4253"/>
      </w:tblGrid>
      <w:tr>
        <w:trPr>
          <w:trHeight w:val="619" w:hRule="atLeast"/>
        </w:trPr>
        <w:tc>
          <w:tcPr>
            <w:tcW w:w="2710" w:type="dxa"/>
            <w:tcBorders>
              <w:bottom w:val="single" w:sz="4" w:space="0" w:color="000000"/>
            </w:tcBorders>
            <w:shd w:val="clear" w:color="auto" w:fill="004B96"/>
          </w:tcPr>
          <w:p>
            <w:pPr>
              <w:pStyle w:val="TableParagraph"/>
              <w:spacing w:before="199"/>
              <w:ind w:left="122"/>
              <w:rPr>
                <w:b/>
                <w:sz w:val="20"/>
              </w:rPr>
            </w:pPr>
            <w:r>
              <w:rPr>
                <w:b/>
                <w:color w:val="FFFFFF"/>
                <w:spacing w:val="-2"/>
                <w:sz w:val="20"/>
              </w:rPr>
              <w:t>Parameter</w:t>
            </w:r>
          </w:p>
        </w:tc>
        <w:tc>
          <w:tcPr>
            <w:tcW w:w="1417" w:type="dxa"/>
            <w:tcBorders>
              <w:bottom w:val="single" w:sz="4" w:space="0" w:color="000000"/>
            </w:tcBorders>
            <w:shd w:val="clear" w:color="auto" w:fill="004B96"/>
          </w:tcPr>
          <w:p>
            <w:pPr>
              <w:pStyle w:val="TableParagraph"/>
              <w:spacing w:line="249" w:lineRule="auto" w:before="79"/>
              <w:ind w:left="312" w:firstLine="50"/>
              <w:rPr>
                <w:b/>
                <w:sz w:val="20"/>
              </w:rPr>
            </w:pPr>
            <w:r>
              <w:rPr>
                <w:b/>
                <w:color w:val="FFFFFF"/>
                <w:spacing w:val="-2"/>
                <w:sz w:val="20"/>
              </w:rPr>
              <w:t>Median </w:t>
            </w:r>
            <w:r>
              <w:rPr>
                <w:b/>
                <w:color w:val="FFFFFF"/>
                <w:sz w:val="20"/>
              </w:rPr>
              <w:t>(95%</w:t>
            </w:r>
            <w:r>
              <w:rPr>
                <w:b/>
                <w:color w:val="FFFFFF"/>
                <w:spacing w:val="-6"/>
                <w:sz w:val="20"/>
              </w:rPr>
              <w:t> </w:t>
            </w:r>
            <w:r>
              <w:rPr>
                <w:b/>
                <w:color w:val="FFFFFF"/>
                <w:spacing w:val="-5"/>
                <w:sz w:val="20"/>
              </w:rPr>
              <w:t>CI)</w:t>
            </w:r>
          </w:p>
        </w:tc>
        <w:tc>
          <w:tcPr>
            <w:tcW w:w="1419" w:type="dxa"/>
            <w:tcBorders>
              <w:bottom w:val="single" w:sz="4" w:space="0" w:color="000000"/>
            </w:tcBorders>
            <w:shd w:val="clear" w:color="auto" w:fill="004B96"/>
          </w:tcPr>
          <w:p>
            <w:pPr>
              <w:pStyle w:val="TableParagraph"/>
              <w:spacing w:line="249" w:lineRule="auto" w:before="79"/>
              <w:ind w:left="313" w:right="262" w:hanging="51"/>
              <w:rPr>
                <w:b/>
                <w:sz w:val="20"/>
              </w:rPr>
            </w:pPr>
            <w:r>
              <w:rPr>
                <w:b/>
                <w:color w:val="FFFFFF"/>
                <w:sz w:val="20"/>
              </w:rPr>
              <w:t>Odd</w:t>
            </w:r>
            <w:r>
              <w:rPr>
                <w:b/>
                <w:color w:val="FFFFFF"/>
                <w:spacing w:val="-14"/>
                <w:sz w:val="20"/>
              </w:rPr>
              <w:t> </w:t>
            </w:r>
            <w:r>
              <w:rPr>
                <w:b/>
                <w:color w:val="FFFFFF"/>
                <w:sz w:val="20"/>
              </w:rPr>
              <w:t>ratio (95%</w:t>
            </w:r>
            <w:r>
              <w:rPr>
                <w:b/>
                <w:color w:val="FFFFFF"/>
                <w:spacing w:val="-6"/>
                <w:sz w:val="20"/>
              </w:rPr>
              <w:t> </w:t>
            </w:r>
            <w:r>
              <w:rPr>
                <w:b/>
                <w:color w:val="FFFFFF"/>
                <w:spacing w:val="-5"/>
                <w:sz w:val="20"/>
              </w:rPr>
              <w:t>CI)</w:t>
            </w:r>
          </w:p>
        </w:tc>
        <w:tc>
          <w:tcPr>
            <w:tcW w:w="4253" w:type="dxa"/>
            <w:tcBorders>
              <w:bottom w:val="single" w:sz="4" w:space="0" w:color="000000"/>
            </w:tcBorders>
            <w:shd w:val="clear" w:color="auto" w:fill="004B96"/>
          </w:tcPr>
          <w:p>
            <w:pPr>
              <w:pStyle w:val="TableParagraph"/>
              <w:spacing w:before="199"/>
              <w:ind w:right="6"/>
              <w:jc w:val="center"/>
              <w:rPr>
                <w:b/>
                <w:sz w:val="20"/>
              </w:rPr>
            </w:pPr>
            <w:r>
              <w:rPr>
                <w:b/>
                <w:color w:val="FFFFFF"/>
                <w:spacing w:val="-2"/>
                <w:sz w:val="20"/>
              </w:rPr>
              <w:t>Interpretation</w:t>
            </w:r>
          </w:p>
        </w:tc>
      </w:tr>
      <w:tr>
        <w:trPr>
          <w:trHeight w:val="328" w:hRule="atLeast"/>
        </w:trPr>
        <w:tc>
          <w:tcPr>
            <w:tcW w:w="9799" w:type="dxa"/>
            <w:gridSpan w:val="4"/>
            <w:tcBorders>
              <w:top w:val="single" w:sz="4" w:space="0" w:color="000000"/>
              <w:bottom w:val="single" w:sz="4" w:space="0" w:color="000000"/>
            </w:tcBorders>
          </w:tcPr>
          <w:p>
            <w:pPr>
              <w:pStyle w:val="TableParagraph"/>
              <w:spacing w:before="61"/>
              <w:ind w:left="122"/>
              <w:rPr>
                <w:b/>
                <w:sz w:val="18"/>
              </w:rPr>
            </w:pPr>
            <w:r>
              <w:rPr>
                <w:b/>
                <w:sz w:val="18"/>
              </w:rPr>
              <w:t>A:</w:t>
            </w:r>
            <w:r>
              <w:rPr>
                <w:b/>
                <w:spacing w:val="-1"/>
                <w:sz w:val="18"/>
              </w:rPr>
              <w:t> </w:t>
            </w:r>
            <w:r>
              <w:rPr>
                <w:b/>
                <w:sz w:val="18"/>
              </w:rPr>
              <w:t>Initial </w:t>
            </w:r>
            <w:r>
              <w:rPr>
                <w:b/>
                <w:spacing w:val="-2"/>
                <w:sz w:val="18"/>
              </w:rPr>
              <w:t>occupancy</w:t>
            </w:r>
          </w:p>
        </w:tc>
      </w:tr>
      <w:tr>
        <w:trPr>
          <w:trHeight w:val="553" w:hRule="atLeast"/>
        </w:trPr>
        <w:tc>
          <w:tcPr>
            <w:tcW w:w="2710" w:type="dxa"/>
            <w:tcBorders>
              <w:top w:val="single" w:sz="4" w:space="0" w:color="000000"/>
              <w:bottom w:val="single" w:sz="4" w:space="0" w:color="000000"/>
            </w:tcBorders>
          </w:tcPr>
          <w:p>
            <w:pPr>
              <w:pStyle w:val="TableParagraph"/>
              <w:spacing w:before="174"/>
              <w:ind w:left="122"/>
              <w:rPr>
                <w:sz w:val="18"/>
              </w:rPr>
            </w:pPr>
            <w:r>
              <w:rPr>
                <w:sz w:val="18"/>
              </w:rPr>
              <w:t>Distance</w:t>
            </w:r>
            <w:r>
              <w:rPr>
                <w:spacing w:val="-5"/>
                <w:sz w:val="18"/>
              </w:rPr>
              <w:t> </w:t>
            </w:r>
            <w:r>
              <w:rPr>
                <w:sz w:val="18"/>
              </w:rPr>
              <w:t>to</w:t>
            </w:r>
            <w:r>
              <w:rPr>
                <w:spacing w:val="-2"/>
                <w:sz w:val="18"/>
              </w:rPr>
              <w:t> water</w:t>
            </w:r>
          </w:p>
        </w:tc>
        <w:tc>
          <w:tcPr>
            <w:tcW w:w="1417" w:type="dxa"/>
            <w:tcBorders>
              <w:top w:val="single" w:sz="4" w:space="0" w:color="000000"/>
              <w:bottom w:val="single" w:sz="4" w:space="0" w:color="000000"/>
            </w:tcBorders>
            <w:shd w:val="clear" w:color="auto" w:fill="CCDBEA"/>
          </w:tcPr>
          <w:p>
            <w:pPr>
              <w:pStyle w:val="TableParagraph"/>
              <w:spacing w:before="68"/>
              <w:ind w:left="2" w:right="3"/>
              <w:jc w:val="center"/>
              <w:rPr>
                <w:sz w:val="18"/>
              </w:rPr>
            </w:pPr>
            <w:r>
              <w:rPr>
                <w:spacing w:val="-2"/>
                <w:sz w:val="18"/>
              </w:rPr>
              <w:t>-</w:t>
            </w:r>
            <w:r>
              <w:rPr>
                <w:spacing w:val="-4"/>
                <w:sz w:val="18"/>
              </w:rPr>
              <w:t>0.31</w:t>
            </w:r>
          </w:p>
          <w:p>
            <w:pPr>
              <w:pStyle w:val="TableParagraph"/>
              <w:spacing w:before="2"/>
              <w:ind w:left="2" w:right="2"/>
              <w:jc w:val="center"/>
              <w:rPr>
                <w:sz w:val="18"/>
              </w:rPr>
            </w:pPr>
            <w:r>
              <w:rPr>
                <w:sz w:val="18"/>
              </w:rPr>
              <w:t>(-0.95,</w:t>
            </w:r>
            <w:r>
              <w:rPr>
                <w:spacing w:val="-6"/>
                <w:sz w:val="18"/>
              </w:rPr>
              <w:t> </w:t>
            </w:r>
            <w:r>
              <w:rPr>
                <w:spacing w:val="-2"/>
                <w:sz w:val="18"/>
              </w:rPr>
              <w:t>0.31)</w:t>
            </w:r>
          </w:p>
        </w:tc>
        <w:tc>
          <w:tcPr>
            <w:tcW w:w="1419" w:type="dxa"/>
            <w:tcBorders>
              <w:top w:val="single" w:sz="4" w:space="0" w:color="000000"/>
              <w:bottom w:val="single" w:sz="4" w:space="0" w:color="000000"/>
            </w:tcBorders>
          </w:tcPr>
          <w:p>
            <w:pPr>
              <w:pStyle w:val="TableParagraph"/>
              <w:spacing w:before="68"/>
              <w:jc w:val="center"/>
              <w:rPr>
                <w:sz w:val="18"/>
              </w:rPr>
            </w:pPr>
            <w:r>
              <w:rPr>
                <w:spacing w:val="-4"/>
                <w:sz w:val="18"/>
              </w:rPr>
              <w:t>0.73</w:t>
            </w:r>
          </w:p>
          <w:p>
            <w:pPr>
              <w:pStyle w:val="TableParagraph"/>
              <w:spacing w:before="2"/>
              <w:jc w:val="center"/>
              <w:rPr>
                <w:sz w:val="18"/>
              </w:rPr>
            </w:pPr>
            <w:r>
              <w:rPr>
                <w:sz w:val="18"/>
              </w:rPr>
              <w:t>(0.39,</w:t>
            </w:r>
            <w:r>
              <w:rPr>
                <w:spacing w:val="-5"/>
                <w:sz w:val="18"/>
              </w:rPr>
              <w:t> </w:t>
            </w:r>
            <w:r>
              <w:rPr>
                <w:spacing w:val="-2"/>
                <w:sz w:val="18"/>
              </w:rPr>
              <w:t>1.35)</w:t>
            </w:r>
          </w:p>
        </w:tc>
        <w:tc>
          <w:tcPr>
            <w:tcW w:w="4253" w:type="dxa"/>
            <w:tcBorders>
              <w:top w:val="single" w:sz="4" w:space="0" w:color="000000"/>
              <w:bottom w:val="single" w:sz="4" w:space="0" w:color="000000"/>
            </w:tcBorders>
            <w:shd w:val="clear" w:color="auto" w:fill="CCDBEA"/>
          </w:tcPr>
          <w:p>
            <w:pPr>
              <w:pStyle w:val="TableParagraph"/>
              <w:spacing w:before="174"/>
              <w:ind w:left="107"/>
              <w:rPr>
                <w:sz w:val="18"/>
              </w:rPr>
            </w:pPr>
            <w:r>
              <w:rPr>
                <w:sz w:val="18"/>
              </w:rPr>
              <w:t>No</w:t>
            </w:r>
            <w:r>
              <w:rPr>
                <w:spacing w:val="-4"/>
                <w:sz w:val="18"/>
              </w:rPr>
              <w:t> </w:t>
            </w:r>
            <w:r>
              <w:rPr>
                <w:sz w:val="18"/>
              </w:rPr>
              <w:t>influence</w:t>
            </w:r>
            <w:r>
              <w:rPr>
                <w:spacing w:val="-4"/>
                <w:sz w:val="18"/>
              </w:rPr>
              <w:t> </w:t>
            </w:r>
            <w:r>
              <w:rPr>
                <w:sz w:val="18"/>
              </w:rPr>
              <w:t>of</w:t>
            </w:r>
            <w:r>
              <w:rPr>
                <w:spacing w:val="-3"/>
                <w:sz w:val="18"/>
              </w:rPr>
              <w:t> </w:t>
            </w:r>
            <w:r>
              <w:rPr>
                <w:sz w:val="18"/>
              </w:rPr>
              <w:t>initial</w:t>
            </w:r>
            <w:r>
              <w:rPr>
                <w:spacing w:val="-4"/>
                <w:sz w:val="18"/>
              </w:rPr>
              <w:t> </w:t>
            </w:r>
            <w:r>
              <w:rPr>
                <w:spacing w:val="-2"/>
                <w:sz w:val="18"/>
              </w:rPr>
              <w:t>occupancy</w:t>
            </w:r>
          </w:p>
        </w:tc>
      </w:tr>
      <w:tr>
        <w:trPr>
          <w:trHeight w:val="556" w:hRule="atLeast"/>
        </w:trPr>
        <w:tc>
          <w:tcPr>
            <w:tcW w:w="2710" w:type="dxa"/>
            <w:tcBorders>
              <w:top w:val="single" w:sz="4" w:space="0" w:color="000000"/>
              <w:bottom w:val="single" w:sz="4" w:space="0" w:color="000000"/>
            </w:tcBorders>
          </w:tcPr>
          <w:p>
            <w:pPr>
              <w:pStyle w:val="TableParagraph"/>
              <w:spacing w:before="174"/>
              <w:ind w:left="122"/>
              <w:rPr>
                <w:sz w:val="18"/>
              </w:rPr>
            </w:pPr>
            <w:r>
              <w:rPr>
                <w:sz w:val="18"/>
              </w:rPr>
              <w:t>Tall</w:t>
            </w:r>
            <w:r>
              <w:rPr>
                <w:spacing w:val="-3"/>
                <w:sz w:val="18"/>
              </w:rPr>
              <w:t> </w:t>
            </w:r>
            <w:r>
              <w:rPr>
                <w:sz w:val="18"/>
              </w:rPr>
              <w:t>Mixed</w:t>
            </w:r>
            <w:r>
              <w:rPr>
                <w:spacing w:val="-3"/>
                <w:sz w:val="18"/>
              </w:rPr>
              <w:t> </w:t>
            </w:r>
            <w:r>
              <w:rPr>
                <w:sz w:val="18"/>
              </w:rPr>
              <w:t>Forest</w:t>
            </w:r>
            <w:r>
              <w:rPr>
                <w:spacing w:val="-1"/>
                <w:sz w:val="18"/>
              </w:rPr>
              <w:t> </w:t>
            </w:r>
            <w:r>
              <w:rPr>
                <w:spacing w:val="-2"/>
                <w:sz w:val="18"/>
              </w:rPr>
              <w:t>(Eastern)</w:t>
            </w:r>
          </w:p>
        </w:tc>
        <w:tc>
          <w:tcPr>
            <w:tcW w:w="1417" w:type="dxa"/>
            <w:tcBorders>
              <w:top w:val="single" w:sz="4" w:space="0" w:color="000000"/>
              <w:bottom w:val="single" w:sz="4" w:space="0" w:color="000000"/>
            </w:tcBorders>
            <w:shd w:val="clear" w:color="auto" w:fill="CCDBEA"/>
          </w:tcPr>
          <w:p>
            <w:pPr>
              <w:pStyle w:val="TableParagraph"/>
              <w:spacing w:line="207" w:lineRule="exact" w:before="71"/>
              <w:ind w:left="2" w:right="1"/>
              <w:jc w:val="center"/>
              <w:rPr>
                <w:sz w:val="18"/>
              </w:rPr>
            </w:pPr>
            <w:r>
              <w:rPr>
                <w:spacing w:val="-4"/>
                <w:sz w:val="18"/>
              </w:rPr>
              <w:t>0.82</w:t>
            </w:r>
          </w:p>
          <w:p>
            <w:pPr>
              <w:pStyle w:val="TableParagraph"/>
              <w:spacing w:line="207" w:lineRule="exact"/>
              <w:ind w:left="2" w:right="3"/>
              <w:jc w:val="center"/>
              <w:rPr>
                <w:sz w:val="18"/>
              </w:rPr>
            </w:pPr>
            <w:r>
              <w:rPr>
                <w:sz w:val="18"/>
              </w:rPr>
              <w:t>(-0.78,</w:t>
            </w:r>
            <w:r>
              <w:rPr>
                <w:spacing w:val="-6"/>
                <w:sz w:val="18"/>
              </w:rPr>
              <w:t> </w:t>
            </w:r>
            <w:r>
              <w:rPr>
                <w:spacing w:val="-2"/>
                <w:sz w:val="18"/>
              </w:rPr>
              <w:t>2.68)</w:t>
            </w:r>
          </w:p>
        </w:tc>
        <w:tc>
          <w:tcPr>
            <w:tcW w:w="1419" w:type="dxa"/>
            <w:tcBorders>
              <w:top w:val="single" w:sz="4" w:space="0" w:color="000000"/>
              <w:bottom w:val="single" w:sz="4" w:space="0" w:color="000000"/>
            </w:tcBorders>
          </w:tcPr>
          <w:p>
            <w:pPr>
              <w:pStyle w:val="TableParagraph"/>
              <w:spacing w:line="207" w:lineRule="exact" w:before="71"/>
              <w:jc w:val="center"/>
              <w:rPr>
                <w:sz w:val="18"/>
              </w:rPr>
            </w:pPr>
            <w:r>
              <w:rPr>
                <w:spacing w:val="-4"/>
                <w:sz w:val="18"/>
              </w:rPr>
              <w:t>2.27</w:t>
            </w:r>
          </w:p>
          <w:p>
            <w:pPr>
              <w:pStyle w:val="TableParagraph"/>
              <w:spacing w:line="207" w:lineRule="exact"/>
              <w:jc w:val="center"/>
              <w:rPr>
                <w:sz w:val="18"/>
              </w:rPr>
            </w:pPr>
            <w:r>
              <w:rPr>
                <w:sz w:val="18"/>
              </w:rPr>
              <w:t>(0.46,</w:t>
            </w:r>
            <w:r>
              <w:rPr>
                <w:spacing w:val="-5"/>
                <w:sz w:val="18"/>
              </w:rPr>
              <w:t> </w:t>
            </w:r>
            <w:r>
              <w:rPr>
                <w:spacing w:val="-2"/>
                <w:sz w:val="18"/>
              </w:rPr>
              <w:t>14.7)</w:t>
            </w:r>
          </w:p>
        </w:tc>
        <w:tc>
          <w:tcPr>
            <w:tcW w:w="4253" w:type="dxa"/>
            <w:tcBorders>
              <w:top w:val="single" w:sz="4" w:space="0" w:color="000000"/>
              <w:bottom w:val="single" w:sz="4" w:space="0" w:color="000000"/>
            </w:tcBorders>
            <w:shd w:val="clear" w:color="auto" w:fill="CCDBEA"/>
          </w:tcPr>
          <w:p>
            <w:pPr>
              <w:pStyle w:val="TableParagraph"/>
              <w:spacing w:before="174"/>
              <w:ind w:left="107"/>
              <w:rPr>
                <w:sz w:val="18"/>
              </w:rPr>
            </w:pPr>
            <w:r>
              <w:rPr>
                <w:sz w:val="18"/>
              </w:rPr>
              <w:t>No</w:t>
            </w:r>
            <w:r>
              <w:rPr>
                <w:spacing w:val="-4"/>
                <w:sz w:val="18"/>
              </w:rPr>
              <w:t> </w:t>
            </w:r>
            <w:r>
              <w:rPr>
                <w:sz w:val="18"/>
              </w:rPr>
              <w:t>influence</w:t>
            </w:r>
            <w:r>
              <w:rPr>
                <w:spacing w:val="-4"/>
                <w:sz w:val="18"/>
              </w:rPr>
              <w:t> </w:t>
            </w:r>
            <w:r>
              <w:rPr>
                <w:sz w:val="18"/>
              </w:rPr>
              <w:t>of</w:t>
            </w:r>
            <w:r>
              <w:rPr>
                <w:spacing w:val="-3"/>
                <w:sz w:val="18"/>
              </w:rPr>
              <w:t> </w:t>
            </w:r>
            <w:r>
              <w:rPr>
                <w:sz w:val="18"/>
              </w:rPr>
              <w:t>initial</w:t>
            </w:r>
            <w:r>
              <w:rPr>
                <w:spacing w:val="-4"/>
                <w:sz w:val="18"/>
              </w:rPr>
              <w:t> </w:t>
            </w:r>
            <w:r>
              <w:rPr>
                <w:spacing w:val="-2"/>
                <w:sz w:val="18"/>
              </w:rPr>
              <w:t>occupancy</w:t>
            </w:r>
          </w:p>
        </w:tc>
      </w:tr>
      <w:tr>
        <w:trPr>
          <w:trHeight w:val="554" w:hRule="atLeast"/>
        </w:trPr>
        <w:tc>
          <w:tcPr>
            <w:tcW w:w="2710" w:type="dxa"/>
            <w:tcBorders>
              <w:top w:val="single" w:sz="4" w:space="0" w:color="000000"/>
              <w:bottom w:val="single" w:sz="4" w:space="0" w:color="000000"/>
            </w:tcBorders>
          </w:tcPr>
          <w:p>
            <w:pPr>
              <w:pStyle w:val="TableParagraph"/>
              <w:spacing w:before="68"/>
              <w:ind w:left="122"/>
              <w:rPr>
                <w:sz w:val="18"/>
              </w:rPr>
            </w:pPr>
            <w:r>
              <w:rPr>
                <w:sz w:val="18"/>
              </w:rPr>
              <w:t>Distance</w:t>
            </w:r>
            <w:r>
              <w:rPr>
                <w:spacing w:val="-9"/>
                <w:sz w:val="18"/>
              </w:rPr>
              <w:t> </w:t>
            </w:r>
            <w:r>
              <w:rPr>
                <w:sz w:val="18"/>
              </w:rPr>
              <w:t>to</w:t>
            </w:r>
            <w:r>
              <w:rPr>
                <w:spacing w:val="-7"/>
                <w:sz w:val="18"/>
              </w:rPr>
              <w:t> </w:t>
            </w:r>
            <w:r>
              <w:rPr>
                <w:sz w:val="18"/>
              </w:rPr>
              <w:t>water</w:t>
            </w:r>
            <w:r>
              <w:rPr>
                <w:spacing w:val="-7"/>
                <w:sz w:val="18"/>
              </w:rPr>
              <w:t> </w:t>
            </w:r>
            <w:r>
              <w:rPr>
                <w:sz w:val="18"/>
              </w:rPr>
              <w:t>in</w:t>
            </w:r>
            <w:r>
              <w:rPr>
                <w:spacing w:val="-9"/>
                <w:sz w:val="18"/>
              </w:rPr>
              <w:t> </w:t>
            </w:r>
            <w:r>
              <w:rPr>
                <w:sz w:val="18"/>
              </w:rPr>
              <w:t>fox</w:t>
            </w:r>
            <w:r>
              <w:rPr>
                <w:spacing w:val="-9"/>
                <w:sz w:val="18"/>
              </w:rPr>
              <w:t> </w:t>
            </w:r>
            <w:r>
              <w:rPr>
                <w:sz w:val="18"/>
              </w:rPr>
              <w:t>control </w:t>
            </w:r>
            <w:r>
              <w:rPr>
                <w:spacing w:val="-4"/>
                <w:sz w:val="18"/>
              </w:rPr>
              <w:t>area</w:t>
            </w:r>
          </w:p>
        </w:tc>
        <w:tc>
          <w:tcPr>
            <w:tcW w:w="1417" w:type="dxa"/>
            <w:tcBorders>
              <w:top w:val="single" w:sz="4" w:space="0" w:color="000000"/>
              <w:bottom w:val="single" w:sz="4" w:space="0" w:color="000000"/>
            </w:tcBorders>
            <w:shd w:val="clear" w:color="auto" w:fill="CCDBEA"/>
          </w:tcPr>
          <w:p>
            <w:pPr>
              <w:pStyle w:val="TableParagraph"/>
              <w:spacing w:before="68"/>
              <w:ind w:left="2" w:right="1"/>
              <w:jc w:val="center"/>
              <w:rPr>
                <w:sz w:val="18"/>
              </w:rPr>
            </w:pPr>
            <w:r>
              <w:rPr>
                <w:spacing w:val="-2"/>
                <w:sz w:val="18"/>
              </w:rPr>
              <w:t>0.671</w:t>
            </w:r>
          </w:p>
          <w:p>
            <w:pPr>
              <w:pStyle w:val="TableParagraph"/>
              <w:spacing w:before="2"/>
              <w:ind w:left="2" w:right="1"/>
              <w:jc w:val="center"/>
              <w:rPr>
                <w:sz w:val="18"/>
              </w:rPr>
            </w:pPr>
            <w:r>
              <w:rPr>
                <w:sz w:val="18"/>
              </w:rPr>
              <w:t>(-0.05,</w:t>
            </w:r>
            <w:r>
              <w:rPr>
                <w:spacing w:val="-6"/>
                <w:sz w:val="18"/>
              </w:rPr>
              <w:t> </w:t>
            </w:r>
            <w:r>
              <w:rPr>
                <w:spacing w:val="-2"/>
                <w:sz w:val="18"/>
              </w:rPr>
              <w:t>1.471)</w:t>
            </w:r>
          </w:p>
        </w:tc>
        <w:tc>
          <w:tcPr>
            <w:tcW w:w="1419" w:type="dxa"/>
            <w:tcBorders>
              <w:top w:val="single" w:sz="4" w:space="0" w:color="000000"/>
              <w:bottom w:val="single" w:sz="4" w:space="0" w:color="000000"/>
            </w:tcBorders>
          </w:tcPr>
          <w:p>
            <w:pPr>
              <w:pStyle w:val="TableParagraph"/>
              <w:spacing w:before="68"/>
              <w:jc w:val="center"/>
              <w:rPr>
                <w:sz w:val="18"/>
              </w:rPr>
            </w:pPr>
            <w:r>
              <w:rPr>
                <w:spacing w:val="-4"/>
                <w:sz w:val="18"/>
              </w:rPr>
              <w:t>1.96</w:t>
            </w:r>
          </w:p>
          <w:p>
            <w:pPr>
              <w:pStyle w:val="TableParagraph"/>
              <w:spacing w:before="2"/>
              <w:jc w:val="center"/>
              <w:rPr>
                <w:sz w:val="18"/>
              </w:rPr>
            </w:pPr>
            <w:r>
              <w:rPr>
                <w:sz w:val="18"/>
              </w:rPr>
              <w:t>(0.95,</w:t>
            </w:r>
            <w:r>
              <w:rPr>
                <w:spacing w:val="-5"/>
                <w:sz w:val="18"/>
              </w:rPr>
              <w:t> </w:t>
            </w:r>
            <w:r>
              <w:rPr>
                <w:spacing w:val="-2"/>
                <w:sz w:val="18"/>
              </w:rPr>
              <w:t>4.35)</w:t>
            </w:r>
          </w:p>
        </w:tc>
        <w:tc>
          <w:tcPr>
            <w:tcW w:w="4253" w:type="dxa"/>
            <w:tcBorders>
              <w:top w:val="single" w:sz="4" w:space="0" w:color="000000"/>
              <w:bottom w:val="single" w:sz="4" w:space="0" w:color="000000"/>
            </w:tcBorders>
            <w:shd w:val="clear" w:color="auto" w:fill="CCDBEA"/>
          </w:tcPr>
          <w:p>
            <w:pPr>
              <w:pStyle w:val="TableParagraph"/>
              <w:spacing w:before="171"/>
              <w:ind w:left="107"/>
              <w:rPr>
                <w:sz w:val="18"/>
              </w:rPr>
            </w:pPr>
            <w:r>
              <w:rPr>
                <w:sz w:val="18"/>
              </w:rPr>
              <w:t>No</w:t>
            </w:r>
            <w:r>
              <w:rPr>
                <w:spacing w:val="-4"/>
                <w:sz w:val="18"/>
              </w:rPr>
              <w:t> </w:t>
            </w:r>
            <w:r>
              <w:rPr>
                <w:sz w:val="18"/>
              </w:rPr>
              <w:t>influence</w:t>
            </w:r>
            <w:r>
              <w:rPr>
                <w:spacing w:val="-4"/>
                <w:sz w:val="18"/>
              </w:rPr>
              <w:t> </w:t>
            </w:r>
            <w:r>
              <w:rPr>
                <w:sz w:val="18"/>
              </w:rPr>
              <w:t>of</w:t>
            </w:r>
            <w:r>
              <w:rPr>
                <w:spacing w:val="-3"/>
                <w:sz w:val="18"/>
              </w:rPr>
              <w:t> </w:t>
            </w:r>
            <w:r>
              <w:rPr>
                <w:sz w:val="18"/>
              </w:rPr>
              <w:t>initial</w:t>
            </w:r>
            <w:r>
              <w:rPr>
                <w:spacing w:val="-4"/>
                <w:sz w:val="18"/>
              </w:rPr>
              <w:t> </w:t>
            </w:r>
            <w:r>
              <w:rPr>
                <w:spacing w:val="-2"/>
                <w:sz w:val="18"/>
              </w:rPr>
              <w:t>occupancy</w:t>
            </w:r>
          </w:p>
        </w:tc>
      </w:tr>
      <w:tr>
        <w:trPr>
          <w:trHeight w:val="740" w:hRule="atLeast"/>
        </w:trPr>
        <w:tc>
          <w:tcPr>
            <w:tcW w:w="2710" w:type="dxa"/>
            <w:tcBorders>
              <w:top w:val="single" w:sz="4" w:space="0" w:color="000000"/>
              <w:bottom w:val="single" w:sz="8" w:space="0" w:color="000000"/>
            </w:tcBorders>
          </w:tcPr>
          <w:p>
            <w:pPr>
              <w:pStyle w:val="TableParagraph"/>
              <w:spacing w:before="162"/>
              <w:ind w:left="122" w:right="199"/>
              <w:rPr>
                <w:sz w:val="18"/>
              </w:rPr>
            </w:pPr>
            <w:r>
              <w:rPr>
                <w:sz w:val="18"/>
              </w:rPr>
              <w:t>Tall</w:t>
            </w:r>
            <w:r>
              <w:rPr>
                <w:spacing w:val="-10"/>
                <w:sz w:val="18"/>
              </w:rPr>
              <w:t> </w:t>
            </w:r>
            <w:r>
              <w:rPr>
                <w:sz w:val="18"/>
              </w:rPr>
              <w:t>Mixed</w:t>
            </w:r>
            <w:r>
              <w:rPr>
                <w:spacing w:val="-10"/>
                <w:sz w:val="18"/>
              </w:rPr>
              <w:t> </w:t>
            </w:r>
            <w:r>
              <w:rPr>
                <w:sz w:val="18"/>
              </w:rPr>
              <w:t>Forest</w:t>
            </w:r>
            <w:r>
              <w:rPr>
                <w:spacing w:val="-9"/>
                <w:sz w:val="18"/>
              </w:rPr>
              <w:t> </w:t>
            </w:r>
            <w:r>
              <w:rPr>
                <w:sz w:val="18"/>
              </w:rPr>
              <w:t>(Eastern)</w:t>
            </w:r>
            <w:r>
              <w:rPr>
                <w:spacing w:val="-9"/>
                <w:sz w:val="18"/>
              </w:rPr>
              <w:t> </w:t>
            </w:r>
            <w:r>
              <w:rPr>
                <w:sz w:val="18"/>
              </w:rPr>
              <w:t>in fox control area</w:t>
            </w:r>
          </w:p>
        </w:tc>
        <w:tc>
          <w:tcPr>
            <w:tcW w:w="1417" w:type="dxa"/>
            <w:tcBorders>
              <w:top w:val="single" w:sz="4" w:space="0" w:color="000000"/>
              <w:bottom w:val="single" w:sz="8" w:space="0" w:color="000000"/>
            </w:tcBorders>
            <w:shd w:val="clear" w:color="auto" w:fill="CCDBEA"/>
          </w:tcPr>
          <w:p>
            <w:pPr>
              <w:pStyle w:val="TableParagraph"/>
              <w:spacing w:before="162"/>
              <w:ind w:left="2" w:right="1"/>
              <w:jc w:val="center"/>
              <w:rPr>
                <w:sz w:val="18"/>
              </w:rPr>
            </w:pPr>
            <w:r>
              <w:rPr>
                <w:spacing w:val="-2"/>
                <w:sz w:val="18"/>
              </w:rPr>
              <w:t>9.277</w:t>
            </w:r>
          </w:p>
          <w:p>
            <w:pPr>
              <w:pStyle w:val="TableParagraph"/>
              <w:spacing w:before="2"/>
              <w:ind w:left="2" w:right="1"/>
              <w:jc w:val="center"/>
              <w:rPr>
                <w:sz w:val="18"/>
              </w:rPr>
            </w:pPr>
            <w:r>
              <w:rPr>
                <w:sz w:val="18"/>
              </w:rPr>
              <w:t>(0.63,</w:t>
            </w:r>
            <w:r>
              <w:rPr>
                <w:spacing w:val="-5"/>
                <w:sz w:val="18"/>
              </w:rPr>
              <w:t> </w:t>
            </w:r>
            <w:r>
              <w:rPr>
                <w:spacing w:val="-2"/>
                <w:sz w:val="18"/>
              </w:rPr>
              <w:t>19.9)</w:t>
            </w:r>
          </w:p>
        </w:tc>
        <w:tc>
          <w:tcPr>
            <w:tcW w:w="1419" w:type="dxa"/>
            <w:tcBorders>
              <w:top w:val="single" w:sz="4" w:space="0" w:color="000000"/>
              <w:bottom w:val="single" w:sz="8" w:space="0" w:color="000000"/>
            </w:tcBorders>
          </w:tcPr>
          <w:p>
            <w:pPr>
              <w:pStyle w:val="TableParagraph"/>
              <w:spacing w:before="162"/>
              <w:jc w:val="center"/>
              <w:rPr>
                <w:sz w:val="18"/>
              </w:rPr>
            </w:pPr>
            <w:r>
              <w:rPr>
                <w:spacing w:val="-2"/>
                <w:sz w:val="18"/>
              </w:rPr>
              <w:t>10689</w:t>
            </w:r>
          </w:p>
          <w:p>
            <w:pPr>
              <w:pStyle w:val="TableParagraph"/>
              <w:spacing w:before="2"/>
              <w:jc w:val="center"/>
              <w:rPr>
                <w:sz w:val="18"/>
              </w:rPr>
            </w:pPr>
            <w:r>
              <w:rPr>
                <w:sz w:val="18"/>
              </w:rPr>
              <w:t>(1.88,</w:t>
            </w:r>
            <w:r>
              <w:rPr>
                <w:spacing w:val="-5"/>
                <w:sz w:val="18"/>
              </w:rPr>
              <w:t> </w:t>
            </w:r>
            <w:r>
              <w:rPr>
                <w:sz w:val="18"/>
              </w:rPr>
              <w:t>&gt;4</w:t>
            </w:r>
            <w:r>
              <w:rPr>
                <w:spacing w:val="-3"/>
                <w:sz w:val="18"/>
              </w:rPr>
              <w:t> </w:t>
            </w:r>
            <w:r>
              <w:rPr>
                <w:spacing w:val="-4"/>
                <w:sz w:val="18"/>
              </w:rPr>
              <w:t>mil)</w:t>
            </w:r>
          </w:p>
        </w:tc>
        <w:tc>
          <w:tcPr>
            <w:tcW w:w="4253" w:type="dxa"/>
            <w:tcBorders>
              <w:top w:val="single" w:sz="4" w:space="0" w:color="000000"/>
              <w:bottom w:val="single" w:sz="8" w:space="0" w:color="000000"/>
            </w:tcBorders>
            <w:shd w:val="clear" w:color="auto" w:fill="CCDBEA"/>
          </w:tcPr>
          <w:p>
            <w:pPr>
              <w:pStyle w:val="TableParagraph"/>
              <w:spacing w:before="59"/>
              <w:ind w:left="107" w:right="395"/>
              <w:jc w:val="both"/>
              <w:rPr>
                <w:sz w:val="18"/>
              </w:rPr>
            </w:pPr>
            <w:r>
              <w:rPr>
                <w:sz w:val="18"/>
              </w:rPr>
              <w:t>Highly</w:t>
            </w:r>
            <w:r>
              <w:rPr>
                <w:spacing w:val="-8"/>
                <w:sz w:val="18"/>
              </w:rPr>
              <w:t> </w:t>
            </w:r>
            <w:r>
              <w:rPr>
                <w:sz w:val="18"/>
              </w:rPr>
              <w:t>uncertain</w:t>
            </w:r>
            <w:r>
              <w:rPr>
                <w:spacing w:val="-10"/>
                <w:sz w:val="18"/>
              </w:rPr>
              <w:t> </w:t>
            </w:r>
            <w:r>
              <w:rPr>
                <w:sz w:val="18"/>
              </w:rPr>
              <w:t>positive</w:t>
            </w:r>
            <w:r>
              <w:rPr>
                <w:spacing w:val="-9"/>
                <w:sz w:val="18"/>
              </w:rPr>
              <w:t> </w:t>
            </w:r>
            <w:r>
              <w:rPr>
                <w:sz w:val="18"/>
              </w:rPr>
              <w:t>relationship</w:t>
            </w:r>
            <w:r>
              <w:rPr>
                <w:spacing w:val="-9"/>
                <w:sz w:val="18"/>
              </w:rPr>
              <w:t> </w:t>
            </w:r>
            <w:r>
              <w:rPr>
                <w:sz w:val="18"/>
              </w:rPr>
              <w:t>with</w:t>
            </w:r>
            <w:r>
              <w:rPr>
                <w:spacing w:val="-9"/>
                <w:sz w:val="18"/>
              </w:rPr>
              <w:t> </w:t>
            </w:r>
            <w:r>
              <w:rPr>
                <w:sz w:val="18"/>
              </w:rPr>
              <w:t>initial occupancy</w:t>
            </w:r>
            <w:r>
              <w:rPr>
                <w:spacing w:val="-2"/>
                <w:sz w:val="18"/>
              </w:rPr>
              <w:t> </w:t>
            </w:r>
            <w:r>
              <w:rPr>
                <w:sz w:val="18"/>
              </w:rPr>
              <w:t>and</w:t>
            </w:r>
            <w:r>
              <w:rPr>
                <w:spacing w:val="-2"/>
                <w:sz w:val="18"/>
              </w:rPr>
              <w:t> </w:t>
            </w:r>
            <w:r>
              <w:rPr>
                <w:sz w:val="18"/>
              </w:rPr>
              <w:t>Tall Mixed Forest in fox control </w:t>
            </w:r>
            <w:r>
              <w:rPr>
                <w:spacing w:val="-2"/>
                <w:sz w:val="18"/>
              </w:rPr>
              <w:t>locations</w:t>
            </w:r>
          </w:p>
        </w:tc>
      </w:tr>
      <w:tr>
        <w:trPr>
          <w:trHeight w:val="556" w:hRule="atLeast"/>
        </w:trPr>
        <w:tc>
          <w:tcPr>
            <w:tcW w:w="2710" w:type="dxa"/>
            <w:tcBorders>
              <w:top w:val="single" w:sz="8" w:space="0" w:color="000000"/>
              <w:bottom w:val="single" w:sz="8" w:space="0" w:color="000000"/>
            </w:tcBorders>
          </w:tcPr>
          <w:p>
            <w:pPr>
              <w:pStyle w:val="TableParagraph"/>
              <w:spacing w:before="174"/>
              <w:ind w:left="122"/>
              <w:rPr>
                <w:sz w:val="18"/>
              </w:rPr>
            </w:pPr>
            <w:r>
              <w:rPr>
                <w:sz w:val="18"/>
              </w:rPr>
              <w:t>Fox</w:t>
            </w:r>
            <w:r>
              <w:rPr>
                <w:spacing w:val="-2"/>
                <w:sz w:val="18"/>
              </w:rPr>
              <w:t> </w:t>
            </w:r>
            <w:r>
              <w:rPr>
                <w:sz w:val="18"/>
              </w:rPr>
              <w:t>control</w:t>
            </w:r>
            <w:r>
              <w:rPr>
                <w:spacing w:val="-1"/>
                <w:sz w:val="18"/>
              </w:rPr>
              <w:t> </w:t>
            </w:r>
            <w:r>
              <w:rPr>
                <w:spacing w:val="-4"/>
                <w:sz w:val="18"/>
              </w:rPr>
              <w:t>area</w:t>
            </w:r>
          </w:p>
        </w:tc>
        <w:tc>
          <w:tcPr>
            <w:tcW w:w="1417" w:type="dxa"/>
            <w:tcBorders>
              <w:top w:val="single" w:sz="8" w:space="0" w:color="000000"/>
              <w:bottom w:val="single" w:sz="8" w:space="0" w:color="000000"/>
            </w:tcBorders>
            <w:shd w:val="clear" w:color="auto" w:fill="CCDBEA"/>
          </w:tcPr>
          <w:p>
            <w:pPr>
              <w:pStyle w:val="TableParagraph"/>
              <w:spacing w:line="207" w:lineRule="exact" w:before="71"/>
              <w:ind w:left="2" w:right="3"/>
              <w:jc w:val="center"/>
              <w:rPr>
                <w:sz w:val="18"/>
              </w:rPr>
            </w:pPr>
            <w:r>
              <w:rPr>
                <w:spacing w:val="-2"/>
                <w:sz w:val="18"/>
              </w:rPr>
              <w:t>-</w:t>
            </w:r>
            <w:r>
              <w:rPr>
                <w:spacing w:val="-4"/>
                <w:sz w:val="18"/>
              </w:rPr>
              <w:t>5.92</w:t>
            </w:r>
          </w:p>
          <w:p>
            <w:pPr>
              <w:pStyle w:val="TableParagraph"/>
              <w:spacing w:line="207" w:lineRule="exact"/>
              <w:ind w:left="2" w:right="3"/>
              <w:jc w:val="center"/>
              <w:rPr>
                <w:sz w:val="18"/>
              </w:rPr>
            </w:pPr>
            <w:r>
              <w:rPr>
                <w:sz w:val="18"/>
              </w:rPr>
              <w:t>(-12.9,</w:t>
            </w:r>
            <w:r>
              <w:rPr>
                <w:spacing w:val="-6"/>
                <w:sz w:val="18"/>
              </w:rPr>
              <w:t> </w:t>
            </w:r>
            <w:r>
              <w:rPr>
                <w:spacing w:val="-4"/>
                <w:sz w:val="18"/>
              </w:rPr>
              <w:t>0.08)</w:t>
            </w:r>
          </w:p>
        </w:tc>
        <w:tc>
          <w:tcPr>
            <w:tcW w:w="1419" w:type="dxa"/>
            <w:tcBorders>
              <w:top w:val="single" w:sz="8" w:space="0" w:color="000000"/>
              <w:bottom w:val="single" w:sz="8" w:space="0" w:color="000000"/>
            </w:tcBorders>
          </w:tcPr>
          <w:p>
            <w:pPr>
              <w:pStyle w:val="TableParagraph"/>
              <w:spacing w:line="207" w:lineRule="exact" w:before="71"/>
              <w:jc w:val="center"/>
              <w:rPr>
                <w:sz w:val="18"/>
              </w:rPr>
            </w:pPr>
            <w:r>
              <w:rPr>
                <w:spacing w:val="-4"/>
                <w:sz w:val="18"/>
              </w:rPr>
              <w:t>0.00</w:t>
            </w:r>
          </w:p>
          <w:p>
            <w:pPr>
              <w:pStyle w:val="TableParagraph"/>
              <w:spacing w:line="207" w:lineRule="exact"/>
              <w:jc w:val="center"/>
              <w:rPr>
                <w:sz w:val="18"/>
              </w:rPr>
            </w:pPr>
            <w:r>
              <w:rPr>
                <w:sz w:val="18"/>
              </w:rPr>
              <w:t>(0.0,</w:t>
            </w:r>
            <w:r>
              <w:rPr>
                <w:spacing w:val="-2"/>
                <w:sz w:val="18"/>
              </w:rPr>
              <w:t> 1.09)</w:t>
            </w:r>
          </w:p>
        </w:tc>
        <w:tc>
          <w:tcPr>
            <w:tcW w:w="4253" w:type="dxa"/>
            <w:tcBorders>
              <w:top w:val="single" w:sz="8" w:space="0" w:color="000000"/>
              <w:bottom w:val="single" w:sz="8" w:space="0" w:color="000000"/>
            </w:tcBorders>
            <w:shd w:val="clear" w:color="auto" w:fill="CCDBEA"/>
          </w:tcPr>
          <w:p>
            <w:pPr>
              <w:pStyle w:val="TableParagraph"/>
              <w:spacing w:before="174"/>
              <w:ind w:left="107"/>
              <w:rPr>
                <w:sz w:val="18"/>
              </w:rPr>
            </w:pPr>
            <w:r>
              <w:rPr>
                <w:sz w:val="18"/>
              </w:rPr>
              <w:t>No</w:t>
            </w:r>
            <w:r>
              <w:rPr>
                <w:spacing w:val="-4"/>
                <w:sz w:val="18"/>
              </w:rPr>
              <w:t> </w:t>
            </w:r>
            <w:r>
              <w:rPr>
                <w:sz w:val="18"/>
              </w:rPr>
              <w:t>influence</w:t>
            </w:r>
            <w:r>
              <w:rPr>
                <w:spacing w:val="-4"/>
                <w:sz w:val="18"/>
              </w:rPr>
              <w:t> </w:t>
            </w:r>
            <w:r>
              <w:rPr>
                <w:sz w:val="18"/>
              </w:rPr>
              <w:t>of</w:t>
            </w:r>
            <w:r>
              <w:rPr>
                <w:spacing w:val="-3"/>
                <w:sz w:val="18"/>
              </w:rPr>
              <w:t> </w:t>
            </w:r>
            <w:r>
              <w:rPr>
                <w:sz w:val="18"/>
              </w:rPr>
              <w:t>initial</w:t>
            </w:r>
            <w:r>
              <w:rPr>
                <w:spacing w:val="-1"/>
                <w:sz w:val="18"/>
              </w:rPr>
              <w:t> </w:t>
            </w:r>
            <w:r>
              <w:rPr>
                <w:spacing w:val="-2"/>
                <w:sz w:val="18"/>
              </w:rPr>
              <w:t>occupancy</w:t>
            </w:r>
          </w:p>
        </w:tc>
      </w:tr>
      <w:tr>
        <w:trPr>
          <w:trHeight w:val="364" w:hRule="atLeast"/>
        </w:trPr>
        <w:tc>
          <w:tcPr>
            <w:tcW w:w="9799" w:type="dxa"/>
            <w:gridSpan w:val="4"/>
            <w:tcBorders>
              <w:top w:val="single" w:sz="8" w:space="0" w:color="000000"/>
              <w:bottom w:val="single" w:sz="4" w:space="0" w:color="001F5F"/>
            </w:tcBorders>
          </w:tcPr>
          <w:p>
            <w:pPr>
              <w:pStyle w:val="TableParagraph"/>
              <w:spacing w:before="78"/>
              <w:ind w:left="122"/>
              <w:rPr>
                <w:b/>
                <w:sz w:val="18"/>
              </w:rPr>
            </w:pPr>
            <w:r>
              <w:rPr>
                <w:b/>
                <w:sz w:val="18"/>
              </w:rPr>
              <w:t>B:</w:t>
            </w:r>
            <w:r>
              <w:rPr>
                <w:b/>
                <w:spacing w:val="-3"/>
                <w:sz w:val="18"/>
              </w:rPr>
              <w:t> </w:t>
            </w:r>
            <w:r>
              <w:rPr>
                <w:b/>
                <w:sz w:val="18"/>
              </w:rPr>
              <w:t>Site</w:t>
            </w:r>
            <w:r>
              <w:rPr>
                <w:b/>
                <w:spacing w:val="-2"/>
                <w:sz w:val="18"/>
              </w:rPr>
              <w:t> survival</w:t>
            </w:r>
          </w:p>
        </w:tc>
      </w:tr>
      <w:tr>
        <w:trPr>
          <w:trHeight w:val="554" w:hRule="atLeast"/>
        </w:trPr>
        <w:tc>
          <w:tcPr>
            <w:tcW w:w="2710" w:type="dxa"/>
            <w:tcBorders>
              <w:top w:val="single" w:sz="4" w:space="0" w:color="001F5F"/>
              <w:bottom w:val="single" w:sz="4" w:space="0" w:color="000000"/>
            </w:tcBorders>
          </w:tcPr>
          <w:p>
            <w:pPr>
              <w:pStyle w:val="TableParagraph"/>
              <w:spacing w:before="71"/>
              <w:ind w:left="122"/>
              <w:rPr>
                <w:b/>
                <w:sz w:val="18"/>
              </w:rPr>
            </w:pPr>
            <w:r>
              <w:rPr>
                <w:b/>
                <w:sz w:val="18"/>
              </w:rPr>
              <w:t>Distance</w:t>
            </w:r>
            <w:r>
              <w:rPr>
                <w:b/>
                <w:spacing w:val="-15"/>
                <w:sz w:val="18"/>
              </w:rPr>
              <w:t> </w:t>
            </w:r>
            <w:r>
              <w:rPr>
                <w:b/>
                <w:sz w:val="18"/>
              </w:rPr>
              <w:t>to</w:t>
            </w:r>
            <w:r>
              <w:rPr>
                <w:b/>
                <w:spacing w:val="-12"/>
                <w:sz w:val="18"/>
              </w:rPr>
              <w:t> </w:t>
            </w:r>
            <w:r>
              <w:rPr>
                <w:b/>
                <w:sz w:val="18"/>
              </w:rPr>
              <w:t>non-native </w:t>
            </w:r>
            <w:r>
              <w:rPr>
                <w:b/>
                <w:spacing w:val="-2"/>
                <w:sz w:val="18"/>
              </w:rPr>
              <w:t>vegetation</w:t>
            </w:r>
          </w:p>
        </w:tc>
        <w:tc>
          <w:tcPr>
            <w:tcW w:w="1417" w:type="dxa"/>
            <w:tcBorders>
              <w:top w:val="single" w:sz="4" w:space="0" w:color="001F5F"/>
              <w:bottom w:val="single" w:sz="4" w:space="0" w:color="000000"/>
            </w:tcBorders>
            <w:shd w:val="clear" w:color="auto" w:fill="CCDBEA"/>
          </w:tcPr>
          <w:p>
            <w:pPr>
              <w:pStyle w:val="TableParagraph"/>
              <w:spacing w:line="207" w:lineRule="exact" w:before="71"/>
              <w:ind w:left="2" w:right="3"/>
              <w:jc w:val="center"/>
              <w:rPr>
                <w:b/>
                <w:sz w:val="18"/>
              </w:rPr>
            </w:pPr>
            <w:r>
              <w:rPr>
                <w:b/>
                <w:spacing w:val="-2"/>
                <w:sz w:val="18"/>
              </w:rPr>
              <w:t>-</w:t>
            </w:r>
            <w:r>
              <w:rPr>
                <w:b/>
                <w:spacing w:val="-4"/>
                <w:sz w:val="18"/>
              </w:rPr>
              <w:t>0.56</w:t>
            </w:r>
          </w:p>
          <w:p>
            <w:pPr>
              <w:pStyle w:val="TableParagraph"/>
              <w:spacing w:line="207" w:lineRule="exact"/>
              <w:ind w:left="3" w:right="1"/>
              <w:jc w:val="center"/>
              <w:rPr>
                <w:b/>
                <w:sz w:val="18"/>
              </w:rPr>
            </w:pPr>
            <w:r>
              <w:rPr>
                <w:b/>
                <w:sz w:val="18"/>
              </w:rPr>
              <w:t>(-0.9,</w:t>
            </w:r>
            <w:r>
              <w:rPr>
                <w:b/>
                <w:spacing w:val="-2"/>
                <w:sz w:val="18"/>
              </w:rPr>
              <w:t> </w:t>
            </w:r>
            <w:r>
              <w:rPr>
                <w:b/>
                <w:sz w:val="18"/>
              </w:rPr>
              <w:t>-</w:t>
            </w:r>
            <w:r>
              <w:rPr>
                <w:b/>
                <w:spacing w:val="-4"/>
                <w:sz w:val="18"/>
              </w:rPr>
              <w:t>.22)</w:t>
            </w:r>
          </w:p>
        </w:tc>
        <w:tc>
          <w:tcPr>
            <w:tcW w:w="1419" w:type="dxa"/>
            <w:tcBorders>
              <w:top w:val="single" w:sz="4" w:space="0" w:color="001F5F"/>
              <w:bottom w:val="single" w:sz="4" w:space="0" w:color="000000"/>
            </w:tcBorders>
          </w:tcPr>
          <w:p>
            <w:pPr>
              <w:pStyle w:val="TableParagraph"/>
              <w:spacing w:line="207" w:lineRule="exact" w:before="71"/>
              <w:jc w:val="center"/>
              <w:rPr>
                <w:sz w:val="18"/>
              </w:rPr>
            </w:pPr>
            <w:r>
              <w:rPr>
                <w:spacing w:val="-4"/>
                <w:sz w:val="18"/>
              </w:rPr>
              <w:t>0.57</w:t>
            </w:r>
          </w:p>
          <w:p>
            <w:pPr>
              <w:pStyle w:val="TableParagraph"/>
              <w:spacing w:line="207" w:lineRule="exact"/>
              <w:jc w:val="center"/>
              <w:rPr>
                <w:sz w:val="18"/>
              </w:rPr>
            </w:pPr>
            <w:r>
              <w:rPr>
                <w:sz w:val="18"/>
              </w:rPr>
              <w:t>(0.41,</w:t>
            </w:r>
            <w:r>
              <w:rPr>
                <w:spacing w:val="-5"/>
                <w:sz w:val="18"/>
              </w:rPr>
              <w:t> </w:t>
            </w:r>
            <w:r>
              <w:rPr>
                <w:spacing w:val="-2"/>
                <w:sz w:val="18"/>
              </w:rPr>
              <w:t>0.80)</w:t>
            </w:r>
          </w:p>
        </w:tc>
        <w:tc>
          <w:tcPr>
            <w:tcW w:w="4253" w:type="dxa"/>
            <w:tcBorders>
              <w:top w:val="single" w:sz="4" w:space="0" w:color="001F5F"/>
              <w:bottom w:val="single" w:sz="4" w:space="0" w:color="000000"/>
            </w:tcBorders>
            <w:shd w:val="clear" w:color="auto" w:fill="CCDBEA"/>
          </w:tcPr>
          <w:p>
            <w:pPr>
              <w:pStyle w:val="TableParagraph"/>
              <w:spacing w:before="71"/>
              <w:ind w:left="107" w:right="115"/>
              <w:rPr>
                <w:b/>
                <w:sz w:val="18"/>
              </w:rPr>
            </w:pPr>
            <w:r>
              <w:rPr>
                <w:b/>
                <w:sz w:val="18"/>
              </w:rPr>
              <w:t>43%</w:t>
            </w:r>
            <w:r>
              <w:rPr>
                <w:b/>
                <w:spacing w:val="-8"/>
                <w:sz w:val="18"/>
              </w:rPr>
              <w:t> </w:t>
            </w:r>
            <w:r>
              <w:rPr>
                <w:b/>
                <w:sz w:val="18"/>
              </w:rPr>
              <w:t>decline</w:t>
            </w:r>
            <w:r>
              <w:rPr>
                <w:b/>
                <w:spacing w:val="-6"/>
                <w:sz w:val="18"/>
              </w:rPr>
              <w:t> </w:t>
            </w:r>
            <w:r>
              <w:rPr>
                <w:b/>
                <w:sz w:val="18"/>
              </w:rPr>
              <w:t>in</w:t>
            </w:r>
            <w:r>
              <w:rPr>
                <w:b/>
                <w:spacing w:val="-8"/>
                <w:sz w:val="18"/>
              </w:rPr>
              <w:t> </w:t>
            </w:r>
            <w:r>
              <w:rPr>
                <w:b/>
                <w:sz w:val="18"/>
              </w:rPr>
              <w:t>site</w:t>
            </w:r>
            <w:r>
              <w:rPr>
                <w:b/>
                <w:spacing w:val="-6"/>
                <w:sz w:val="18"/>
              </w:rPr>
              <w:t> </w:t>
            </w:r>
            <w:r>
              <w:rPr>
                <w:b/>
                <w:sz w:val="18"/>
              </w:rPr>
              <w:t>survival</w:t>
            </w:r>
            <w:r>
              <w:rPr>
                <w:b/>
                <w:spacing w:val="-8"/>
                <w:sz w:val="18"/>
              </w:rPr>
              <w:t> </w:t>
            </w:r>
            <w:r>
              <w:rPr>
                <w:b/>
                <w:sz w:val="18"/>
              </w:rPr>
              <w:t>as</w:t>
            </w:r>
            <w:r>
              <w:rPr>
                <w:b/>
                <w:spacing w:val="-6"/>
                <w:sz w:val="18"/>
              </w:rPr>
              <w:t> </w:t>
            </w:r>
            <w:r>
              <w:rPr>
                <w:b/>
                <w:sz w:val="18"/>
              </w:rPr>
              <w:t>distance </w:t>
            </w:r>
            <w:r>
              <w:rPr>
                <w:b/>
                <w:spacing w:val="-2"/>
                <w:sz w:val="18"/>
              </w:rPr>
              <w:t>increases</w:t>
            </w:r>
          </w:p>
        </w:tc>
      </w:tr>
      <w:tr>
        <w:trPr>
          <w:trHeight w:val="556" w:hRule="atLeast"/>
        </w:trPr>
        <w:tc>
          <w:tcPr>
            <w:tcW w:w="2710" w:type="dxa"/>
            <w:tcBorders>
              <w:top w:val="single" w:sz="4" w:space="0" w:color="000000"/>
              <w:bottom w:val="single" w:sz="4" w:space="0" w:color="000000"/>
            </w:tcBorders>
          </w:tcPr>
          <w:p>
            <w:pPr>
              <w:pStyle w:val="TableParagraph"/>
              <w:spacing w:before="174"/>
              <w:ind w:left="122"/>
              <w:rPr>
                <w:sz w:val="18"/>
              </w:rPr>
            </w:pPr>
            <w:r>
              <w:rPr>
                <w:sz w:val="18"/>
              </w:rPr>
              <w:t>Terrain</w:t>
            </w:r>
            <w:r>
              <w:rPr>
                <w:spacing w:val="-7"/>
                <w:sz w:val="18"/>
              </w:rPr>
              <w:t> </w:t>
            </w:r>
            <w:r>
              <w:rPr>
                <w:sz w:val="18"/>
              </w:rPr>
              <w:t>ruggedness</w:t>
            </w:r>
            <w:r>
              <w:rPr>
                <w:spacing w:val="-4"/>
                <w:sz w:val="18"/>
              </w:rPr>
              <w:t> index</w:t>
            </w:r>
          </w:p>
        </w:tc>
        <w:tc>
          <w:tcPr>
            <w:tcW w:w="1417" w:type="dxa"/>
            <w:tcBorders>
              <w:top w:val="single" w:sz="4" w:space="0" w:color="000000"/>
              <w:bottom w:val="single" w:sz="4" w:space="0" w:color="000000"/>
            </w:tcBorders>
            <w:shd w:val="clear" w:color="auto" w:fill="CCDBEA"/>
          </w:tcPr>
          <w:p>
            <w:pPr>
              <w:pStyle w:val="TableParagraph"/>
              <w:spacing w:line="207" w:lineRule="exact" w:before="71"/>
              <w:ind w:left="2" w:right="3"/>
              <w:jc w:val="center"/>
              <w:rPr>
                <w:sz w:val="18"/>
              </w:rPr>
            </w:pPr>
            <w:r>
              <w:rPr>
                <w:spacing w:val="-2"/>
                <w:sz w:val="18"/>
              </w:rPr>
              <w:t>-</w:t>
            </w:r>
            <w:r>
              <w:rPr>
                <w:spacing w:val="-4"/>
                <w:sz w:val="18"/>
              </w:rPr>
              <w:t>0.16</w:t>
            </w:r>
          </w:p>
          <w:p>
            <w:pPr>
              <w:pStyle w:val="TableParagraph"/>
              <w:spacing w:line="207" w:lineRule="exact"/>
              <w:ind w:left="2" w:right="3"/>
              <w:jc w:val="center"/>
              <w:rPr>
                <w:sz w:val="18"/>
              </w:rPr>
            </w:pPr>
            <w:r>
              <w:rPr>
                <w:sz w:val="18"/>
              </w:rPr>
              <w:t>(-0.45,</w:t>
            </w:r>
            <w:r>
              <w:rPr>
                <w:spacing w:val="-6"/>
                <w:sz w:val="18"/>
              </w:rPr>
              <w:t> </w:t>
            </w:r>
            <w:r>
              <w:rPr>
                <w:spacing w:val="-2"/>
                <w:sz w:val="18"/>
              </w:rPr>
              <w:t>0.12)</w:t>
            </w:r>
          </w:p>
        </w:tc>
        <w:tc>
          <w:tcPr>
            <w:tcW w:w="1419" w:type="dxa"/>
            <w:tcBorders>
              <w:top w:val="single" w:sz="4" w:space="0" w:color="000000"/>
              <w:bottom w:val="single" w:sz="4" w:space="0" w:color="000000"/>
            </w:tcBorders>
          </w:tcPr>
          <w:p>
            <w:pPr>
              <w:pStyle w:val="TableParagraph"/>
              <w:spacing w:line="207" w:lineRule="exact" w:before="71"/>
              <w:jc w:val="center"/>
              <w:rPr>
                <w:sz w:val="18"/>
              </w:rPr>
            </w:pPr>
            <w:r>
              <w:rPr>
                <w:spacing w:val="-4"/>
                <w:sz w:val="18"/>
              </w:rPr>
              <w:t>0.85</w:t>
            </w:r>
          </w:p>
          <w:p>
            <w:pPr>
              <w:pStyle w:val="TableParagraph"/>
              <w:spacing w:line="207" w:lineRule="exact"/>
              <w:jc w:val="center"/>
              <w:rPr>
                <w:sz w:val="18"/>
              </w:rPr>
            </w:pPr>
            <w:r>
              <w:rPr>
                <w:sz w:val="18"/>
              </w:rPr>
              <w:t>(0.64,</w:t>
            </w:r>
            <w:r>
              <w:rPr>
                <w:spacing w:val="-5"/>
                <w:sz w:val="18"/>
              </w:rPr>
              <w:t> </w:t>
            </w:r>
            <w:r>
              <w:rPr>
                <w:spacing w:val="-2"/>
                <w:sz w:val="18"/>
              </w:rPr>
              <w:t>1.13)</w:t>
            </w:r>
          </w:p>
        </w:tc>
        <w:tc>
          <w:tcPr>
            <w:tcW w:w="4253" w:type="dxa"/>
            <w:tcBorders>
              <w:top w:val="single" w:sz="4" w:space="0" w:color="000000"/>
              <w:bottom w:val="single" w:sz="4" w:space="0" w:color="000000"/>
            </w:tcBorders>
            <w:shd w:val="clear" w:color="auto" w:fill="CCDBEA"/>
          </w:tcPr>
          <w:p>
            <w:pPr>
              <w:pStyle w:val="TableParagraph"/>
              <w:spacing w:before="71"/>
              <w:ind w:left="107"/>
              <w:rPr>
                <w:sz w:val="18"/>
              </w:rPr>
            </w:pPr>
            <w:r>
              <w:rPr>
                <w:sz w:val="18"/>
              </w:rPr>
              <w:t>No</w:t>
            </w:r>
            <w:r>
              <w:rPr>
                <w:spacing w:val="-6"/>
                <w:sz w:val="18"/>
              </w:rPr>
              <w:t> </w:t>
            </w:r>
            <w:r>
              <w:rPr>
                <w:sz w:val="18"/>
              </w:rPr>
              <w:t>influence</w:t>
            </w:r>
            <w:r>
              <w:rPr>
                <w:spacing w:val="-6"/>
                <w:sz w:val="18"/>
              </w:rPr>
              <w:t> </w:t>
            </w:r>
            <w:r>
              <w:rPr>
                <w:sz w:val="18"/>
              </w:rPr>
              <w:t>on</w:t>
            </w:r>
            <w:r>
              <w:rPr>
                <w:spacing w:val="-6"/>
                <w:sz w:val="18"/>
              </w:rPr>
              <w:t> </w:t>
            </w:r>
            <w:r>
              <w:rPr>
                <w:sz w:val="18"/>
              </w:rPr>
              <w:t>the</w:t>
            </w:r>
            <w:r>
              <w:rPr>
                <w:spacing w:val="-4"/>
                <w:sz w:val="18"/>
              </w:rPr>
              <w:t> </w:t>
            </w:r>
            <w:r>
              <w:rPr>
                <w:sz w:val="18"/>
              </w:rPr>
              <w:t>probability</w:t>
            </w:r>
            <w:r>
              <w:rPr>
                <w:spacing w:val="-8"/>
                <w:sz w:val="18"/>
              </w:rPr>
              <w:t> </w:t>
            </w:r>
            <w:r>
              <w:rPr>
                <w:sz w:val="18"/>
              </w:rPr>
              <w:t>a</w:t>
            </w:r>
            <w:r>
              <w:rPr>
                <w:spacing w:val="-6"/>
                <w:sz w:val="18"/>
              </w:rPr>
              <w:t> </w:t>
            </w:r>
            <w:r>
              <w:rPr>
                <w:sz w:val="18"/>
              </w:rPr>
              <w:t>site</w:t>
            </w:r>
            <w:r>
              <w:rPr>
                <w:spacing w:val="-6"/>
                <w:sz w:val="18"/>
              </w:rPr>
              <w:t> </w:t>
            </w:r>
            <w:r>
              <w:rPr>
                <w:sz w:val="18"/>
              </w:rPr>
              <w:t>remains occupied through time</w:t>
            </w:r>
          </w:p>
        </w:tc>
      </w:tr>
      <w:tr>
        <w:trPr>
          <w:trHeight w:val="553" w:hRule="atLeast"/>
        </w:trPr>
        <w:tc>
          <w:tcPr>
            <w:tcW w:w="2710" w:type="dxa"/>
            <w:tcBorders>
              <w:top w:val="single" w:sz="4" w:space="0" w:color="000000"/>
              <w:bottom w:val="single" w:sz="4" w:space="0" w:color="000000"/>
            </w:tcBorders>
          </w:tcPr>
          <w:p>
            <w:pPr>
              <w:pStyle w:val="TableParagraph"/>
              <w:spacing w:before="174"/>
              <w:ind w:left="122"/>
              <w:rPr>
                <w:b/>
                <w:sz w:val="18"/>
              </w:rPr>
            </w:pPr>
            <w:r>
              <w:rPr>
                <w:b/>
                <w:sz w:val="18"/>
              </w:rPr>
              <w:t>Tall</w:t>
            </w:r>
            <w:r>
              <w:rPr>
                <w:b/>
                <w:spacing w:val="-2"/>
                <w:sz w:val="18"/>
              </w:rPr>
              <w:t> </w:t>
            </w:r>
            <w:r>
              <w:rPr>
                <w:b/>
                <w:sz w:val="18"/>
              </w:rPr>
              <w:t>Mixed</w:t>
            </w:r>
            <w:r>
              <w:rPr>
                <w:b/>
                <w:spacing w:val="-4"/>
                <w:sz w:val="18"/>
              </w:rPr>
              <w:t> </w:t>
            </w:r>
            <w:r>
              <w:rPr>
                <w:b/>
                <w:sz w:val="18"/>
              </w:rPr>
              <w:t>Forest</w:t>
            </w:r>
            <w:r>
              <w:rPr>
                <w:b/>
                <w:spacing w:val="-3"/>
                <w:sz w:val="18"/>
              </w:rPr>
              <w:t> </w:t>
            </w:r>
            <w:r>
              <w:rPr>
                <w:b/>
                <w:spacing w:val="-2"/>
                <w:sz w:val="18"/>
              </w:rPr>
              <w:t>(Eastern)</w:t>
            </w:r>
          </w:p>
        </w:tc>
        <w:tc>
          <w:tcPr>
            <w:tcW w:w="1417" w:type="dxa"/>
            <w:tcBorders>
              <w:top w:val="single" w:sz="4" w:space="0" w:color="000000"/>
              <w:bottom w:val="single" w:sz="4" w:space="0" w:color="000000"/>
            </w:tcBorders>
            <w:shd w:val="clear" w:color="auto" w:fill="CCDBEA"/>
          </w:tcPr>
          <w:p>
            <w:pPr>
              <w:pStyle w:val="TableParagraph"/>
              <w:spacing w:before="68"/>
              <w:ind w:left="2" w:right="1"/>
              <w:jc w:val="center"/>
              <w:rPr>
                <w:b/>
                <w:sz w:val="18"/>
              </w:rPr>
            </w:pPr>
            <w:r>
              <w:rPr>
                <w:b/>
                <w:spacing w:val="-4"/>
                <w:sz w:val="18"/>
              </w:rPr>
              <w:t>0.60</w:t>
            </w:r>
          </w:p>
          <w:p>
            <w:pPr>
              <w:pStyle w:val="TableParagraph"/>
              <w:spacing w:before="2"/>
              <w:ind w:left="2" w:right="1"/>
              <w:jc w:val="center"/>
              <w:rPr>
                <w:b/>
                <w:sz w:val="18"/>
              </w:rPr>
            </w:pPr>
            <w:r>
              <w:rPr>
                <w:b/>
                <w:sz w:val="18"/>
              </w:rPr>
              <w:t>(0.16,</w:t>
            </w:r>
            <w:r>
              <w:rPr>
                <w:b/>
                <w:spacing w:val="-5"/>
                <w:sz w:val="18"/>
              </w:rPr>
              <w:t> </w:t>
            </w:r>
            <w:r>
              <w:rPr>
                <w:b/>
                <w:spacing w:val="-2"/>
                <w:sz w:val="18"/>
              </w:rPr>
              <w:t>1.05)</w:t>
            </w:r>
          </w:p>
        </w:tc>
        <w:tc>
          <w:tcPr>
            <w:tcW w:w="1419" w:type="dxa"/>
            <w:tcBorders>
              <w:top w:val="single" w:sz="4" w:space="0" w:color="000000"/>
              <w:bottom w:val="single" w:sz="4" w:space="0" w:color="000000"/>
            </w:tcBorders>
          </w:tcPr>
          <w:p>
            <w:pPr>
              <w:pStyle w:val="TableParagraph"/>
              <w:spacing w:before="68"/>
              <w:jc w:val="center"/>
              <w:rPr>
                <w:b/>
                <w:sz w:val="18"/>
              </w:rPr>
            </w:pPr>
            <w:r>
              <w:rPr>
                <w:b/>
                <w:spacing w:val="-4"/>
                <w:sz w:val="18"/>
              </w:rPr>
              <w:t>1.83</w:t>
            </w:r>
          </w:p>
          <w:p>
            <w:pPr>
              <w:pStyle w:val="TableParagraph"/>
              <w:spacing w:before="2"/>
              <w:jc w:val="center"/>
              <w:rPr>
                <w:b/>
                <w:sz w:val="18"/>
              </w:rPr>
            </w:pPr>
            <w:r>
              <w:rPr>
                <w:b/>
                <w:sz w:val="18"/>
              </w:rPr>
              <w:t>(1.17,</w:t>
            </w:r>
            <w:r>
              <w:rPr>
                <w:b/>
                <w:spacing w:val="-5"/>
                <w:sz w:val="18"/>
              </w:rPr>
              <w:t> </w:t>
            </w:r>
            <w:r>
              <w:rPr>
                <w:b/>
                <w:spacing w:val="-2"/>
                <w:sz w:val="18"/>
              </w:rPr>
              <w:t>2.87)</w:t>
            </w:r>
          </w:p>
        </w:tc>
        <w:tc>
          <w:tcPr>
            <w:tcW w:w="4253" w:type="dxa"/>
            <w:tcBorders>
              <w:top w:val="single" w:sz="4" w:space="0" w:color="000000"/>
              <w:bottom w:val="single" w:sz="4" w:space="0" w:color="000000"/>
            </w:tcBorders>
            <w:shd w:val="clear" w:color="auto" w:fill="CCDBEA"/>
          </w:tcPr>
          <w:p>
            <w:pPr>
              <w:pStyle w:val="TableParagraph"/>
              <w:spacing w:before="68"/>
              <w:ind w:left="107"/>
              <w:rPr>
                <w:b/>
                <w:sz w:val="18"/>
              </w:rPr>
            </w:pPr>
            <w:r>
              <w:rPr>
                <w:b/>
                <w:sz w:val="18"/>
              </w:rPr>
              <w:t>An</w:t>
            </w:r>
            <w:r>
              <w:rPr>
                <w:b/>
                <w:spacing w:val="-5"/>
                <w:sz w:val="18"/>
              </w:rPr>
              <w:t> </w:t>
            </w:r>
            <w:r>
              <w:rPr>
                <w:b/>
                <w:sz w:val="18"/>
              </w:rPr>
              <w:t>83%</w:t>
            </w:r>
            <w:r>
              <w:rPr>
                <w:b/>
                <w:spacing w:val="-7"/>
                <w:sz w:val="18"/>
              </w:rPr>
              <w:t> </w:t>
            </w:r>
            <w:r>
              <w:rPr>
                <w:b/>
                <w:sz w:val="18"/>
              </w:rPr>
              <w:t>increase</w:t>
            </w:r>
            <w:r>
              <w:rPr>
                <w:b/>
                <w:spacing w:val="-5"/>
                <w:sz w:val="18"/>
              </w:rPr>
              <w:t> </w:t>
            </w:r>
            <w:r>
              <w:rPr>
                <w:b/>
                <w:sz w:val="18"/>
              </w:rPr>
              <w:t>in</w:t>
            </w:r>
            <w:r>
              <w:rPr>
                <w:b/>
                <w:spacing w:val="-7"/>
                <w:sz w:val="18"/>
              </w:rPr>
              <w:t> </w:t>
            </w:r>
            <w:r>
              <w:rPr>
                <w:b/>
                <w:sz w:val="18"/>
              </w:rPr>
              <w:t>local</w:t>
            </w:r>
            <w:r>
              <w:rPr>
                <w:b/>
                <w:spacing w:val="-5"/>
                <w:sz w:val="18"/>
              </w:rPr>
              <w:t> </w:t>
            </w:r>
            <w:r>
              <w:rPr>
                <w:b/>
                <w:sz w:val="18"/>
              </w:rPr>
              <w:t>survival</w:t>
            </w:r>
            <w:r>
              <w:rPr>
                <w:b/>
                <w:spacing w:val="-5"/>
                <w:sz w:val="18"/>
              </w:rPr>
              <w:t> </w:t>
            </w:r>
            <w:r>
              <w:rPr>
                <w:b/>
                <w:sz w:val="18"/>
              </w:rPr>
              <w:t>in</w:t>
            </w:r>
            <w:r>
              <w:rPr>
                <w:b/>
                <w:spacing w:val="-5"/>
                <w:sz w:val="18"/>
              </w:rPr>
              <w:t> </w:t>
            </w:r>
            <w:r>
              <w:rPr>
                <w:b/>
                <w:sz w:val="18"/>
              </w:rPr>
              <w:t>Tall</w:t>
            </w:r>
            <w:r>
              <w:rPr>
                <w:b/>
                <w:spacing w:val="-5"/>
                <w:sz w:val="18"/>
              </w:rPr>
              <w:t> </w:t>
            </w:r>
            <w:r>
              <w:rPr>
                <w:b/>
                <w:sz w:val="18"/>
              </w:rPr>
              <w:t>Mixed Forest (Eastern) compared to in other EVDs</w:t>
            </w:r>
          </w:p>
        </w:tc>
      </w:tr>
      <w:tr>
        <w:trPr>
          <w:trHeight w:val="556" w:hRule="atLeast"/>
        </w:trPr>
        <w:tc>
          <w:tcPr>
            <w:tcW w:w="2710" w:type="dxa"/>
            <w:tcBorders>
              <w:top w:val="single" w:sz="4" w:space="0" w:color="000000"/>
              <w:bottom w:val="single" w:sz="4" w:space="0" w:color="000000"/>
            </w:tcBorders>
          </w:tcPr>
          <w:p>
            <w:pPr>
              <w:pStyle w:val="TableParagraph"/>
              <w:spacing w:before="174"/>
              <w:ind w:left="122"/>
              <w:rPr>
                <w:b/>
                <w:sz w:val="18"/>
              </w:rPr>
            </w:pPr>
            <w:r>
              <w:rPr>
                <w:b/>
                <w:spacing w:val="-2"/>
                <w:sz w:val="18"/>
              </w:rPr>
              <w:t>Elevation</w:t>
            </w:r>
          </w:p>
        </w:tc>
        <w:tc>
          <w:tcPr>
            <w:tcW w:w="1417" w:type="dxa"/>
            <w:tcBorders>
              <w:top w:val="single" w:sz="4" w:space="0" w:color="000000"/>
              <w:bottom w:val="single" w:sz="4" w:space="0" w:color="000000"/>
            </w:tcBorders>
            <w:shd w:val="clear" w:color="auto" w:fill="CCDBEA"/>
          </w:tcPr>
          <w:p>
            <w:pPr>
              <w:pStyle w:val="TableParagraph"/>
              <w:spacing w:line="207" w:lineRule="exact" w:before="71"/>
              <w:ind w:left="2" w:right="3"/>
              <w:jc w:val="center"/>
              <w:rPr>
                <w:b/>
                <w:sz w:val="18"/>
              </w:rPr>
            </w:pPr>
            <w:r>
              <w:rPr>
                <w:b/>
                <w:spacing w:val="-2"/>
                <w:sz w:val="18"/>
              </w:rPr>
              <w:t>-</w:t>
            </w:r>
            <w:r>
              <w:rPr>
                <w:b/>
                <w:spacing w:val="-4"/>
                <w:sz w:val="18"/>
              </w:rPr>
              <w:t>0.52</w:t>
            </w:r>
          </w:p>
          <w:p>
            <w:pPr>
              <w:pStyle w:val="TableParagraph"/>
              <w:spacing w:line="207" w:lineRule="exact"/>
              <w:ind w:left="2" w:right="1"/>
              <w:jc w:val="center"/>
              <w:rPr>
                <w:b/>
                <w:sz w:val="18"/>
              </w:rPr>
            </w:pPr>
            <w:r>
              <w:rPr>
                <w:b/>
                <w:sz w:val="18"/>
              </w:rPr>
              <w:t>(-0.80,</w:t>
            </w:r>
            <w:r>
              <w:rPr>
                <w:b/>
                <w:spacing w:val="-6"/>
                <w:sz w:val="18"/>
              </w:rPr>
              <w:t> </w:t>
            </w:r>
            <w:r>
              <w:rPr>
                <w:b/>
                <w:sz w:val="18"/>
              </w:rPr>
              <w:t>-</w:t>
            </w:r>
            <w:r>
              <w:rPr>
                <w:b/>
                <w:spacing w:val="-2"/>
                <w:sz w:val="18"/>
              </w:rPr>
              <w:t>0.22)</w:t>
            </w:r>
          </w:p>
        </w:tc>
        <w:tc>
          <w:tcPr>
            <w:tcW w:w="1419" w:type="dxa"/>
            <w:tcBorders>
              <w:top w:val="single" w:sz="4" w:space="0" w:color="000000"/>
              <w:bottom w:val="single" w:sz="4" w:space="0" w:color="000000"/>
            </w:tcBorders>
          </w:tcPr>
          <w:p>
            <w:pPr>
              <w:pStyle w:val="TableParagraph"/>
              <w:spacing w:line="207" w:lineRule="exact" w:before="71"/>
              <w:jc w:val="center"/>
              <w:rPr>
                <w:b/>
                <w:sz w:val="18"/>
              </w:rPr>
            </w:pPr>
            <w:r>
              <w:rPr>
                <w:b/>
                <w:spacing w:val="-4"/>
                <w:sz w:val="18"/>
              </w:rPr>
              <w:t>0.60</w:t>
            </w:r>
          </w:p>
          <w:p>
            <w:pPr>
              <w:pStyle w:val="TableParagraph"/>
              <w:spacing w:line="207" w:lineRule="exact"/>
              <w:jc w:val="center"/>
              <w:rPr>
                <w:b/>
                <w:sz w:val="18"/>
              </w:rPr>
            </w:pPr>
            <w:r>
              <w:rPr>
                <w:b/>
                <w:sz w:val="18"/>
              </w:rPr>
              <w:t>(0.45,</w:t>
            </w:r>
            <w:r>
              <w:rPr>
                <w:b/>
                <w:spacing w:val="-5"/>
                <w:sz w:val="18"/>
              </w:rPr>
              <w:t> </w:t>
            </w:r>
            <w:r>
              <w:rPr>
                <w:b/>
                <w:spacing w:val="-2"/>
                <w:sz w:val="18"/>
              </w:rPr>
              <w:t>0.80)</w:t>
            </w:r>
          </w:p>
        </w:tc>
        <w:tc>
          <w:tcPr>
            <w:tcW w:w="4253" w:type="dxa"/>
            <w:tcBorders>
              <w:top w:val="single" w:sz="4" w:space="0" w:color="000000"/>
              <w:bottom w:val="single" w:sz="4" w:space="0" w:color="000000"/>
            </w:tcBorders>
            <w:shd w:val="clear" w:color="auto" w:fill="CCDBEA"/>
          </w:tcPr>
          <w:p>
            <w:pPr>
              <w:pStyle w:val="TableParagraph"/>
              <w:spacing w:before="71"/>
              <w:ind w:left="107"/>
              <w:rPr>
                <w:b/>
                <w:sz w:val="18"/>
              </w:rPr>
            </w:pPr>
            <w:r>
              <w:rPr>
                <w:b/>
                <w:sz w:val="18"/>
              </w:rPr>
              <w:t>A</w:t>
            </w:r>
            <w:r>
              <w:rPr>
                <w:b/>
                <w:spacing w:val="-4"/>
                <w:sz w:val="18"/>
              </w:rPr>
              <w:t> </w:t>
            </w:r>
            <w:r>
              <w:rPr>
                <w:b/>
                <w:sz w:val="18"/>
              </w:rPr>
              <w:t>40%</w:t>
            </w:r>
            <w:r>
              <w:rPr>
                <w:b/>
                <w:spacing w:val="-6"/>
                <w:sz w:val="18"/>
              </w:rPr>
              <w:t> </w:t>
            </w:r>
            <w:r>
              <w:rPr>
                <w:b/>
                <w:sz w:val="18"/>
              </w:rPr>
              <w:t>decline</w:t>
            </w:r>
            <w:r>
              <w:rPr>
                <w:b/>
                <w:spacing w:val="-4"/>
                <w:sz w:val="18"/>
              </w:rPr>
              <w:t> </w:t>
            </w:r>
            <w:r>
              <w:rPr>
                <w:b/>
                <w:sz w:val="18"/>
              </w:rPr>
              <w:t>in</w:t>
            </w:r>
            <w:r>
              <w:rPr>
                <w:b/>
                <w:spacing w:val="-4"/>
                <w:sz w:val="18"/>
              </w:rPr>
              <w:t> </w:t>
            </w:r>
            <w:r>
              <w:rPr>
                <w:b/>
                <w:sz w:val="18"/>
              </w:rPr>
              <w:t>local</w:t>
            </w:r>
            <w:r>
              <w:rPr>
                <w:b/>
                <w:spacing w:val="-6"/>
                <w:sz w:val="18"/>
              </w:rPr>
              <w:t> </w:t>
            </w:r>
            <w:r>
              <w:rPr>
                <w:b/>
                <w:sz w:val="18"/>
              </w:rPr>
              <w:t>survival</w:t>
            </w:r>
            <w:r>
              <w:rPr>
                <w:b/>
                <w:spacing w:val="-6"/>
                <w:sz w:val="18"/>
              </w:rPr>
              <w:t> </w:t>
            </w:r>
            <w:r>
              <w:rPr>
                <w:b/>
                <w:sz w:val="18"/>
              </w:rPr>
              <w:t>with</w:t>
            </w:r>
            <w:r>
              <w:rPr>
                <w:b/>
                <w:spacing w:val="-4"/>
                <w:sz w:val="18"/>
              </w:rPr>
              <w:t> </w:t>
            </w:r>
            <w:r>
              <w:rPr>
                <w:b/>
                <w:sz w:val="18"/>
              </w:rPr>
              <w:t>every</w:t>
            </w:r>
            <w:r>
              <w:rPr>
                <w:b/>
                <w:spacing w:val="-4"/>
                <w:sz w:val="18"/>
              </w:rPr>
              <w:t> </w:t>
            </w:r>
            <w:r>
              <w:rPr>
                <w:b/>
                <w:sz w:val="18"/>
              </w:rPr>
              <w:t>40</w:t>
            </w:r>
            <w:r>
              <w:rPr>
                <w:b/>
                <w:spacing w:val="-4"/>
                <w:sz w:val="18"/>
              </w:rPr>
              <w:t> </w:t>
            </w:r>
            <w:r>
              <w:rPr>
                <w:b/>
                <w:sz w:val="18"/>
              </w:rPr>
              <w:t>m increase in elevation</w:t>
            </w:r>
          </w:p>
        </w:tc>
      </w:tr>
      <w:tr>
        <w:trPr>
          <w:trHeight w:val="741" w:hRule="atLeast"/>
        </w:trPr>
        <w:tc>
          <w:tcPr>
            <w:tcW w:w="2710" w:type="dxa"/>
            <w:tcBorders>
              <w:top w:val="single" w:sz="4" w:space="0" w:color="000000"/>
              <w:bottom w:val="single" w:sz="4" w:space="0" w:color="000000"/>
            </w:tcBorders>
          </w:tcPr>
          <w:p>
            <w:pPr>
              <w:pStyle w:val="TableParagraph"/>
              <w:spacing w:before="59"/>
              <w:ind w:left="122" w:right="199"/>
              <w:rPr>
                <w:b/>
                <w:sz w:val="18"/>
              </w:rPr>
            </w:pPr>
            <w:r>
              <w:rPr>
                <w:b/>
                <w:sz w:val="18"/>
              </w:rPr>
              <w:t>Distance to non-native vegetation</w:t>
            </w:r>
            <w:r>
              <w:rPr>
                <w:b/>
                <w:spacing w:val="-12"/>
                <w:sz w:val="18"/>
              </w:rPr>
              <w:t> </w:t>
            </w:r>
            <w:r>
              <w:rPr>
                <w:b/>
                <w:sz w:val="18"/>
              </w:rPr>
              <w:t>in</w:t>
            </w:r>
            <w:r>
              <w:rPr>
                <w:b/>
                <w:spacing w:val="-13"/>
                <w:sz w:val="18"/>
              </w:rPr>
              <w:t> </w:t>
            </w:r>
            <w:r>
              <w:rPr>
                <w:b/>
                <w:sz w:val="18"/>
              </w:rPr>
              <w:t>fox</w:t>
            </w:r>
            <w:r>
              <w:rPr>
                <w:b/>
                <w:spacing w:val="-11"/>
                <w:sz w:val="18"/>
              </w:rPr>
              <w:t> </w:t>
            </w:r>
            <w:r>
              <w:rPr>
                <w:b/>
                <w:sz w:val="18"/>
              </w:rPr>
              <w:t>control </w:t>
            </w:r>
            <w:r>
              <w:rPr>
                <w:b/>
                <w:spacing w:val="-4"/>
                <w:sz w:val="18"/>
              </w:rPr>
              <w:t>area</w:t>
            </w:r>
          </w:p>
        </w:tc>
        <w:tc>
          <w:tcPr>
            <w:tcW w:w="1417" w:type="dxa"/>
            <w:tcBorders>
              <w:top w:val="single" w:sz="4" w:space="0" w:color="000000"/>
              <w:bottom w:val="single" w:sz="4" w:space="0" w:color="000000"/>
            </w:tcBorders>
            <w:shd w:val="clear" w:color="auto" w:fill="CCDBEA"/>
          </w:tcPr>
          <w:p>
            <w:pPr>
              <w:pStyle w:val="TableParagraph"/>
              <w:spacing w:line="207" w:lineRule="exact" w:before="162"/>
              <w:ind w:left="2" w:right="1"/>
              <w:jc w:val="center"/>
              <w:rPr>
                <w:b/>
                <w:sz w:val="18"/>
              </w:rPr>
            </w:pPr>
            <w:r>
              <w:rPr>
                <w:b/>
                <w:spacing w:val="-4"/>
                <w:sz w:val="18"/>
              </w:rPr>
              <w:t>0.68</w:t>
            </w:r>
          </w:p>
          <w:p>
            <w:pPr>
              <w:pStyle w:val="TableParagraph"/>
              <w:spacing w:line="207" w:lineRule="exact"/>
              <w:ind w:left="2" w:right="1"/>
              <w:jc w:val="center"/>
              <w:rPr>
                <w:b/>
                <w:sz w:val="18"/>
              </w:rPr>
            </w:pPr>
            <w:r>
              <w:rPr>
                <w:b/>
                <w:sz w:val="18"/>
              </w:rPr>
              <w:t>(0.25,</w:t>
            </w:r>
            <w:r>
              <w:rPr>
                <w:b/>
                <w:spacing w:val="-5"/>
                <w:sz w:val="18"/>
              </w:rPr>
              <w:t> </w:t>
            </w:r>
            <w:r>
              <w:rPr>
                <w:b/>
                <w:spacing w:val="-2"/>
                <w:sz w:val="18"/>
              </w:rPr>
              <w:t>1.11)</w:t>
            </w:r>
          </w:p>
        </w:tc>
        <w:tc>
          <w:tcPr>
            <w:tcW w:w="1419" w:type="dxa"/>
            <w:tcBorders>
              <w:top w:val="single" w:sz="4" w:space="0" w:color="000000"/>
              <w:bottom w:val="single" w:sz="4" w:space="0" w:color="000000"/>
            </w:tcBorders>
          </w:tcPr>
          <w:p>
            <w:pPr>
              <w:pStyle w:val="TableParagraph"/>
              <w:spacing w:line="207" w:lineRule="exact" w:before="162"/>
              <w:jc w:val="center"/>
              <w:rPr>
                <w:b/>
                <w:sz w:val="18"/>
              </w:rPr>
            </w:pPr>
            <w:r>
              <w:rPr>
                <w:b/>
                <w:spacing w:val="-4"/>
                <w:sz w:val="18"/>
              </w:rPr>
              <w:t>1.98</w:t>
            </w:r>
          </w:p>
          <w:p>
            <w:pPr>
              <w:pStyle w:val="TableParagraph"/>
              <w:spacing w:line="207" w:lineRule="exact"/>
              <w:jc w:val="center"/>
              <w:rPr>
                <w:b/>
                <w:sz w:val="18"/>
              </w:rPr>
            </w:pPr>
            <w:r>
              <w:rPr>
                <w:b/>
                <w:sz w:val="18"/>
              </w:rPr>
              <w:t>(1.28,</w:t>
            </w:r>
            <w:r>
              <w:rPr>
                <w:b/>
                <w:spacing w:val="-5"/>
                <w:sz w:val="18"/>
              </w:rPr>
              <w:t> </w:t>
            </w:r>
            <w:r>
              <w:rPr>
                <w:b/>
                <w:spacing w:val="-2"/>
                <w:sz w:val="18"/>
              </w:rPr>
              <w:t>3.02)</w:t>
            </w:r>
          </w:p>
        </w:tc>
        <w:tc>
          <w:tcPr>
            <w:tcW w:w="4253" w:type="dxa"/>
            <w:tcBorders>
              <w:top w:val="single" w:sz="4" w:space="0" w:color="000000"/>
              <w:bottom w:val="single" w:sz="4" w:space="0" w:color="000000"/>
            </w:tcBorders>
            <w:shd w:val="clear" w:color="auto" w:fill="CCDBEA"/>
          </w:tcPr>
          <w:p>
            <w:pPr>
              <w:pStyle w:val="TableParagraph"/>
              <w:spacing w:before="59"/>
              <w:ind w:left="107" w:right="115"/>
              <w:rPr>
                <w:b/>
                <w:sz w:val="18"/>
              </w:rPr>
            </w:pPr>
            <w:r>
              <w:rPr>
                <w:b/>
                <w:sz w:val="18"/>
              </w:rPr>
              <w:t>98% increase in the odds a site survives </w:t>
            </w:r>
            <w:r>
              <w:rPr>
                <w:b/>
                <w:sz w:val="18"/>
                <w:u w:val="single"/>
              </w:rPr>
              <w:t>compared</w:t>
            </w:r>
            <w:r>
              <w:rPr>
                <w:b/>
                <w:spacing w:val="-6"/>
                <w:sz w:val="18"/>
                <w:u w:val="single"/>
              </w:rPr>
              <w:t> </w:t>
            </w:r>
            <w:r>
              <w:rPr>
                <w:b/>
                <w:sz w:val="18"/>
                <w:u w:val="single"/>
              </w:rPr>
              <w:t>to</w:t>
            </w:r>
            <w:r>
              <w:rPr>
                <w:b/>
                <w:spacing w:val="-5"/>
                <w:sz w:val="18"/>
                <w:u w:val="single"/>
              </w:rPr>
              <w:t> </w:t>
            </w:r>
            <w:r>
              <w:rPr>
                <w:b/>
                <w:sz w:val="18"/>
                <w:u w:val="single"/>
              </w:rPr>
              <w:t>in</w:t>
            </w:r>
            <w:r>
              <w:rPr>
                <w:b/>
                <w:spacing w:val="-7"/>
                <w:sz w:val="18"/>
                <w:u w:val="single"/>
              </w:rPr>
              <w:t> </w:t>
            </w:r>
            <w:r>
              <w:rPr>
                <w:b/>
                <w:sz w:val="18"/>
                <w:u w:val="single"/>
              </w:rPr>
              <w:t>non-fox</w:t>
            </w:r>
            <w:r>
              <w:rPr>
                <w:b/>
                <w:spacing w:val="-6"/>
                <w:sz w:val="18"/>
                <w:u w:val="single"/>
              </w:rPr>
              <w:t> </w:t>
            </w:r>
            <w:r>
              <w:rPr>
                <w:b/>
                <w:sz w:val="18"/>
                <w:u w:val="single"/>
              </w:rPr>
              <w:t>control</w:t>
            </w:r>
            <w:r>
              <w:rPr>
                <w:b/>
                <w:spacing w:val="-6"/>
                <w:sz w:val="18"/>
                <w:u w:val="single"/>
              </w:rPr>
              <w:t> </w:t>
            </w:r>
            <w:r>
              <w:rPr>
                <w:b/>
                <w:sz w:val="18"/>
                <w:u w:val="single"/>
              </w:rPr>
              <w:t>areas</w:t>
            </w:r>
            <w:r>
              <w:rPr>
                <w:b/>
                <w:spacing w:val="-4"/>
                <w:sz w:val="18"/>
                <w:u w:val="none"/>
              </w:rPr>
              <w:t> </w:t>
            </w:r>
            <w:r>
              <w:rPr>
                <w:b/>
                <w:sz w:val="18"/>
                <w:u w:val="none"/>
              </w:rPr>
              <w:t>for</w:t>
            </w:r>
            <w:r>
              <w:rPr>
                <w:b/>
                <w:spacing w:val="-6"/>
                <w:sz w:val="18"/>
                <w:u w:val="none"/>
              </w:rPr>
              <w:t> </w:t>
            </w:r>
            <w:r>
              <w:rPr>
                <w:b/>
                <w:sz w:val="18"/>
                <w:u w:val="none"/>
              </w:rPr>
              <w:t>every 1 km closer to native vegetation</w:t>
            </w:r>
          </w:p>
        </w:tc>
      </w:tr>
      <w:tr>
        <w:trPr>
          <w:trHeight w:val="738" w:hRule="atLeast"/>
        </w:trPr>
        <w:tc>
          <w:tcPr>
            <w:tcW w:w="2710" w:type="dxa"/>
            <w:tcBorders>
              <w:top w:val="single" w:sz="4" w:space="0" w:color="000000"/>
              <w:bottom w:val="single" w:sz="4" w:space="0" w:color="000000"/>
            </w:tcBorders>
          </w:tcPr>
          <w:p>
            <w:pPr>
              <w:pStyle w:val="TableParagraph"/>
              <w:spacing w:before="162"/>
              <w:ind w:left="122"/>
              <w:rPr>
                <w:b/>
                <w:sz w:val="18"/>
              </w:rPr>
            </w:pPr>
            <w:r>
              <w:rPr>
                <w:b/>
                <w:sz w:val="18"/>
              </w:rPr>
              <w:t>Terrain</w:t>
            </w:r>
            <w:r>
              <w:rPr>
                <w:b/>
                <w:spacing w:val="-13"/>
                <w:sz w:val="18"/>
              </w:rPr>
              <w:t> </w:t>
            </w:r>
            <w:r>
              <w:rPr>
                <w:b/>
                <w:sz w:val="18"/>
              </w:rPr>
              <w:t>ruggedness</w:t>
            </w:r>
            <w:r>
              <w:rPr>
                <w:b/>
                <w:spacing w:val="-12"/>
                <w:sz w:val="18"/>
              </w:rPr>
              <w:t> </w:t>
            </w:r>
            <w:r>
              <w:rPr>
                <w:b/>
                <w:sz w:val="18"/>
              </w:rPr>
              <w:t>index</w:t>
            </w:r>
            <w:r>
              <w:rPr>
                <w:b/>
                <w:spacing w:val="-13"/>
                <w:sz w:val="18"/>
              </w:rPr>
              <w:t> </w:t>
            </w:r>
            <w:r>
              <w:rPr>
                <w:b/>
                <w:sz w:val="18"/>
              </w:rPr>
              <w:t>in fox control area</w:t>
            </w:r>
          </w:p>
        </w:tc>
        <w:tc>
          <w:tcPr>
            <w:tcW w:w="1417" w:type="dxa"/>
            <w:tcBorders>
              <w:top w:val="single" w:sz="4" w:space="0" w:color="000000"/>
              <w:bottom w:val="single" w:sz="4" w:space="0" w:color="000000"/>
            </w:tcBorders>
            <w:shd w:val="clear" w:color="auto" w:fill="CCDBEA"/>
          </w:tcPr>
          <w:p>
            <w:pPr>
              <w:pStyle w:val="TableParagraph"/>
              <w:spacing w:line="207" w:lineRule="exact" w:before="162"/>
              <w:ind w:left="2" w:right="1"/>
              <w:jc w:val="center"/>
              <w:rPr>
                <w:b/>
                <w:sz w:val="18"/>
              </w:rPr>
            </w:pPr>
            <w:r>
              <w:rPr>
                <w:b/>
                <w:spacing w:val="-4"/>
                <w:sz w:val="18"/>
              </w:rPr>
              <w:t>0.77</w:t>
            </w:r>
          </w:p>
          <w:p>
            <w:pPr>
              <w:pStyle w:val="TableParagraph"/>
              <w:spacing w:line="207" w:lineRule="exact"/>
              <w:ind w:left="2" w:right="1"/>
              <w:jc w:val="center"/>
              <w:rPr>
                <w:b/>
                <w:sz w:val="18"/>
              </w:rPr>
            </w:pPr>
            <w:r>
              <w:rPr>
                <w:b/>
                <w:sz w:val="18"/>
              </w:rPr>
              <w:t>(0.22,</w:t>
            </w:r>
            <w:r>
              <w:rPr>
                <w:b/>
                <w:spacing w:val="-5"/>
                <w:sz w:val="18"/>
              </w:rPr>
              <w:t> </w:t>
            </w:r>
            <w:r>
              <w:rPr>
                <w:b/>
                <w:spacing w:val="-2"/>
                <w:sz w:val="18"/>
              </w:rPr>
              <w:t>1.38)</w:t>
            </w:r>
          </w:p>
        </w:tc>
        <w:tc>
          <w:tcPr>
            <w:tcW w:w="1419" w:type="dxa"/>
            <w:tcBorders>
              <w:top w:val="single" w:sz="4" w:space="0" w:color="000000"/>
              <w:bottom w:val="single" w:sz="4" w:space="0" w:color="000000"/>
            </w:tcBorders>
          </w:tcPr>
          <w:p>
            <w:pPr>
              <w:pStyle w:val="TableParagraph"/>
              <w:spacing w:line="207" w:lineRule="exact" w:before="162"/>
              <w:jc w:val="center"/>
              <w:rPr>
                <w:b/>
                <w:sz w:val="18"/>
              </w:rPr>
            </w:pPr>
            <w:r>
              <w:rPr>
                <w:b/>
                <w:spacing w:val="-4"/>
                <w:sz w:val="18"/>
              </w:rPr>
              <w:t>2.16</w:t>
            </w:r>
          </w:p>
          <w:p>
            <w:pPr>
              <w:pStyle w:val="TableParagraph"/>
              <w:spacing w:line="207" w:lineRule="exact"/>
              <w:jc w:val="center"/>
              <w:rPr>
                <w:b/>
                <w:sz w:val="18"/>
              </w:rPr>
            </w:pPr>
            <w:r>
              <w:rPr>
                <w:b/>
                <w:sz w:val="18"/>
              </w:rPr>
              <w:t>(1.25,</w:t>
            </w:r>
            <w:r>
              <w:rPr>
                <w:b/>
                <w:spacing w:val="-5"/>
                <w:sz w:val="18"/>
              </w:rPr>
              <w:t> </w:t>
            </w:r>
            <w:r>
              <w:rPr>
                <w:b/>
                <w:spacing w:val="-2"/>
                <w:sz w:val="18"/>
              </w:rPr>
              <w:t>3.99)</w:t>
            </w:r>
          </w:p>
        </w:tc>
        <w:tc>
          <w:tcPr>
            <w:tcW w:w="4253" w:type="dxa"/>
            <w:tcBorders>
              <w:top w:val="single" w:sz="4" w:space="0" w:color="000000"/>
              <w:bottom w:val="single" w:sz="4" w:space="0" w:color="000000"/>
            </w:tcBorders>
            <w:shd w:val="clear" w:color="auto" w:fill="CCDBEA"/>
          </w:tcPr>
          <w:p>
            <w:pPr>
              <w:pStyle w:val="TableParagraph"/>
              <w:spacing w:before="59"/>
              <w:ind w:left="107" w:right="115"/>
              <w:rPr>
                <w:b/>
                <w:sz w:val="18"/>
              </w:rPr>
            </w:pPr>
            <w:r>
              <w:rPr>
                <w:b/>
                <w:sz w:val="18"/>
              </w:rPr>
              <w:t>For every 500 m change in TRI, the odds slightly</w:t>
            </w:r>
            <w:r>
              <w:rPr>
                <w:b/>
                <w:spacing w:val="-7"/>
                <w:sz w:val="18"/>
              </w:rPr>
              <w:t> </w:t>
            </w:r>
            <w:r>
              <w:rPr>
                <w:b/>
                <w:sz w:val="18"/>
              </w:rPr>
              <w:t>more</w:t>
            </w:r>
            <w:r>
              <w:rPr>
                <w:b/>
                <w:spacing w:val="-5"/>
                <w:sz w:val="18"/>
              </w:rPr>
              <w:t> </w:t>
            </w:r>
            <w:r>
              <w:rPr>
                <w:b/>
                <w:sz w:val="18"/>
              </w:rPr>
              <w:t>than</w:t>
            </w:r>
            <w:r>
              <w:rPr>
                <w:b/>
                <w:spacing w:val="-5"/>
                <w:sz w:val="18"/>
              </w:rPr>
              <w:t> </w:t>
            </w:r>
            <w:r>
              <w:rPr>
                <w:b/>
                <w:sz w:val="18"/>
              </w:rPr>
              <w:t>double</w:t>
            </w:r>
            <w:r>
              <w:rPr>
                <w:b/>
                <w:spacing w:val="-7"/>
                <w:sz w:val="18"/>
              </w:rPr>
              <w:t> </w:t>
            </w:r>
            <w:r>
              <w:rPr>
                <w:b/>
                <w:sz w:val="18"/>
              </w:rPr>
              <w:t>compared</w:t>
            </w:r>
            <w:r>
              <w:rPr>
                <w:b/>
                <w:spacing w:val="-5"/>
                <w:sz w:val="18"/>
              </w:rPr>
              <w:t> </w:t>
            </w:r>
            <w:r>
              <w:rPr>
                <w:b/>
                <w:sz w:val="18"/>
              </w:rPr>
              <w:t>to</w:t>
            </w:r>
            <w:r>
              <w:rPr>
                <w:b/>
                <w:spacing w:val="-3"/>
                <w:sz w:val="18"/>
              </w:rPr>
              <w:t> </w:t>
            </w:r>
            <w:r>
              <w:rPr>
                <w:b/>
                <w:sz w:val="18"/>
              </w:rPr>
              <w:t>in</w:t>
            </w:r>
            <w:r>
              <w:rPr>
                <w:b/>
                <w:spacing w:val="-5"/>
                <w:sz w:val="18"/>
              </w:rPr>
              <w:t> </w:t>
            </w:r>
            <w:r>
              <w:rPr>
                <w:b/>
                <w:sz w:val="18"/>
                <w:u w:val="single"/>
              </w:rPr>
              <w:t>non-fox control areas</w:t>
            </w:r>
          </w:p>
        </w:tc>
      </w:tr>
      <w:tr>
        <w:trPr>
          <w:trHeight w:val="556" w:hRule="atLeast"/>
        </w:trPr>
        <w:tc>
          <w:tcPr>
            <w:tcW w:w="2710" w:type="dxa"/>
            <w:tcBorders>
              <w:top w:val="single" w:sz="4" w:space="0" w:color="000000"/>
              <w:bottom w:val="single" w:sz="4" w:space="0" w:color="000000"/>
            </w:tcBorders>
          </w:tcPr>
          <w:p>
            <w:pPr>
              <w:pStyle w:val="TableParagraph"/>
              <w:spacing w:before="174"/>
              <w:ind w:left="122"/>
              <w:rPr>
                <w:sz w:val="18"/>
              </w:rPr>
            </w:pPr>
            <w:r>
              <w:rPr>
                <w:sz w:val="18"/>
              </w:rPr>
              <w:t>Fox</w:t>
            </w:r>
            <w:r>
              <w:rPr>
                <w:spacing w:val="-2"/>
                <w:sz w:val="18"/>
              </w:rPr>
              <w:t> </w:t>
            </w:r>
            <w:r>
              <w:rPr>
                <w:sz w:val="18"/>
              </w:rPr>
              <w:t>control</w:t>
            </w:r>
            <w:r>
              <w:rPr>
                <w:spacing w:val="-1"/>
                <w:sz w:val="18"/>
              </w:rPr>
              <w:t> </w:t>
            </w:r>
            <w:r>
              <w:rPr>
                <w:spacing w:val="-4"/>
                <w:sz w:val="18"/>
              </w:rPr>
              <w:t>area</w:t>
            </w:r>
          </w:p>
        </w:tc>
        <w:tc>
          <w:tcPr>
            <w:tcW w:w="1417" w:type="dxa"/>
            <w:tcBorders>
              <w:top w:val="single" w:sz="4" w:space="0" w:color="000000"/>
              <w:bottom w:val="single" w:sz="4" w:space="0" w:color="000000"/>
            </w:tcBorders>
            <w:shd w:val="clear" w:color="auto" w:fill="CCDBEA"/>
          </w:tcPr>
          <w:p>
            <w:pPr>
              <w:pStyle w:val="TableParagraph"/>
              <w:spacing w:line="207" w:lineRule="exact" w:before="71"/>
              <w:ind w:left="2" w:right="1"/>
              <w:jc w:val="center"/>
              <w:rPr>
                <w:sz w:val="18"/>
              </w:rPr>
            </w:pPr>
            <w:r>
              <w:rPr>
                <w:spacing w:val="-4"/>
                <w:sz w:val="18"/>
              </w:rPr>
              <w:t>0.12</w:t>
            </w:r>
          </w:p>
          <w:p>
            <w:pPr>
              <w:pStyle w:val="TableParagraph"/>
              <w:spacing w:line="207" w:lineRule="exact"/>
              <w:ind w:left="2" w:right="3"/>
              <w:jc w:val="center"/>
              <w:rPr>
                <w:sz w:val="18"/>
              </w:rPr>
            </w:pPr>
            <w:r>
              <w:rPr>
                <w:sz w:val="18"/>
              </w:rPr>
              <w:t>(-0.28,</w:t>
            </w:r>
            <w:r>
              <w:rPr>
                <w:spacing w:val="-6"/>
                <w:sz w:val="18"/>
              </w:rPr>
              <w:t> </w:t>
            </w:r>
            <w:r>
              <w:rPr>
                <w:spacing w:val="-2"/>
                <w:sz w:val="18"/>
              </w:rPr>
              <w:t>0.54)</w:t>
            </w:r>
          </w:p>
        </w:tc>
        <w:tc>
          <w:tcPr>
            <w:tcW w:w="1419" w:type="dxa"/>
            <w:tcBorders>
              <w:top w:val="single" w:sz="4" w:space="0" w:color="000000"/>
              <w:bottom w:val="single" w:sz="4" w:space="0" w:color="001F5F"/>
            </w:tcBorders>
          </w:tcPr>
          <w:p>
            <w:pPr>
              <w:pStyle w:val="TableParagraph"/>
              <w:spacing w:line="207" w:lineRule="exact" w:before="71"/>
              <w:jc w:val="center"/>
              <w:rPr>
                <w:sz w:val="18"/>
              </w:rPr>
            </w:pPr>
            <w:r>
              <w:rPr>
                <w:spacing w:val="-4"/>
                <w:sz w:val="18"/>
              </w:rPr>
              <w:t>1.13</w:t>
            </w:r>
          </w:p>
          <w:p>
            <w:pPr>
              <w:pStyle w:val="TableParagraph"/>
              <w:spacing w:line="207" w:lineRule="exact"/>
              <w:jc w:val="center"/>
              <w:rPr>
                <w:sz w:val="18"/>
              </w:rPr>
            </w:pPr>
            <w:r>
              <w:rPr>
                <w:sz w:val="18"/>
              </w:rPr>
              <w:t>(0.75,</w:t>
            </w:r>
            <w:r>
              <w:rPr>
                <w:spacing w:val="-5"/>
                <w:sz w:val="18"/>
              </w:rPr>
              <w:t> </w:t>
            </w:r>
            <w:r>
              <w:rPr>
                <w:spacing w:val="-2"/>
                <w:sz w:val="18"/>
              </w:rPr>
              <w:t>1.72)</w:t>
            </w:r>
          </w:p>
        </w:tc>
        <w:tc>
          <w:tcPr>
            <w:tcW w:w="4253" w:type="dxa"/>
            <w:tcBorders>
              <w:top w:val="single" w:sz="4" w:space="0" w:color="000000"/>
              <w:bottom w:val="single" w:sz="4" w:space="0" w:color="001F5F"/>
            </w:tcBorders>
            <w:shd w:val="clear" w:color="auto" w:fill="CCDBEA"/>
          </w:tcPr>
          <w:p>
            <w:pPr>
              <w:pStyle w:val="TableParagraph"/>
              <w:spacing w:before="71"/>
              <w:ind w:left="107"/>
              <w:rPr>
                <w:sz w:val="18"/>
              </w:rPr>
            </w:pPr>
            <w:r>
              <w:rPr>
                <w:sz w:val="18"/>
              </w:rPr>
              <w:t>No</w:t>
            </w:r>
            <w:r>
              <w:rPr>
                <w:spacing w:val="-6"/>
                <w:sz w:val="18"/>
              </w:rPr>
              <w:t> </w:t>
            </w:r>
            <w:r>
              <w:rPr>
                <w:sz w:val="18"/>
              </w:rPr>
              <w:t>influence</w:t>
            </w:r>
            <w:r>
              <w:rPr>
                <w:spacing w:val="-6"/>
                <w:sz w:val="18"/>
              </w:rPr>
              <w:t> </w:t>
            </w:r>
            <w:r>
              <w:rPr>
                <w:sz w:val="18"/>
              </w:rPr>
              <w:t>on</w:t>
            </w:r>
            <w:r>
              <w:rPr>
                <w:spacing w:val="-6"/>
                <w:sz w:val="18"/>
              </w:rPr>
              <w:t> </w:t>
            </w:r>
            <w:r>
              <w:rPr>
                <w:sz w:val="18"/>
              </w:rPr>
              <w:t>the</w:t>
            </w:r>
            <w:r>
              <w:rPr>
                <w:spacing w:val="-6"/>
                <w:sz w:val="18"/>
              </w:rPr>
              <w:t> </w:t>
            </w:r>
            <w:r>
              <w:rPr>
                <w:sz w:val="18"/>
              </w:rPr>
              <w:t>probability</w:t>
            </w:r>
            <w:r>
              <w:rPr>
                <w:spacing w:val="-8"/>
                <w:sz w:val="18"/>
              </w:rPr>
              <w:t> </w:t>
            </w:r>
            <w:r>
              <w:rPr>
                <w:sz w:val="18"/>
              </w:rPr>
              <w:t>a</w:t>
            </w:r>
            <w:r>
              <w:rPr>
                <w:spacing w:val="-6"/>
                <w:sz w:val="18"/>
              </w:rPr>
              <w:t> </w:t>
            </w:r>
            <w:r>
              <w:rPr>
                <w:sz w:val="18"/>
              </w:rPr>
              <w:t>site</w:t>
            </w:r>
            <w:r>
              <w:rPr>
                <w:spacing w:val="-6"/>
                <w:sz w:val="18"/>
              </w:rPr>
              <w:t> </w:t>
            </w:r>
            <w:r>
              <w:rPr>
                <w:sz w:val="18"/>
              </w:rPr>
              <w:t>remains occupied through time</w:t>
            </w:r>
          </w:p>
        </w:tc>
      </w:tr>
      <w:tr>
        <w:trPr>
          <w:trHeight w:val="325" w:hRule="atLeast"/>
        </w:trPr>
        <w:tc>
          <w:tcPr>
            <w:tcW w:w="9799" w:type="dxa"/>
            <w:gridSpan w:val="4"/>
            <w:tcBorders>
              <w:top w:val="single" w:sz="4" w:space="0" w:color="001F5F"/>
              <w:bottom w:val="single" w:sz="4" w:space="0" w:color="001F5F"/>
            </w:tcBorders>
          </w:tcPr>
          <w:p>
            <w:pPr>
              <w:pStyle w:val="TableParagraph"/>
              <w:spacing w:before="59"/>
              <w:ind w:left="122"/>
              <w:rPr>
                <w:b/>
                <w:sz w:val="18"/>
              </w:rPr>
            </w:pPr>
            <w:r>
              <w:rPr>
                <w:b/>
                <w:sz w:val="18"/>
              </w:rPr>
              <w:t>C:</w:t>
            </w:r>
            <w:r>
              <w:rPr>
                <w:b/>
                <w:spacing w:val="-3"/>
                <w:sz w:val="18"/>
              </w:rPr>
              <w:t> </w:t>
            </w:r>
            <w:r>
              <w:rPr>
                <w:b/>
                <w:sz w:val="18"/>
              </w:rPr>
              <w:t>Site</w:t>
            </w:r>
            <w:r>
              <w:rPr>
                <w:b/>
                <w:spacing w:val="-1"/>
                <w:sz w:val="18"/>
              </w:rPr>
              <w:t> </w:t>
            </w:r>
            <w:r>
              <w:rPr>
                <w:b/>
                <w:spacing w:val="-2"/>
                <w:sz w:val="18"/>
              </w:rPr>
              <w:t>colonisation</w:t>
            </w:r>
          </w:p>
        </w:tc>
      </w:tr>
      <w:tr>
        <w:trPr>
          <w:trHeight w:val="556" w:hRule="atLeast"/>
        </w:trPr>
        <w:tc>
          <w:tcPr>
            <w:tcW w:w="2710" w:type="dxa"/>
            <w:tcBorders>
              <w:top w:val="single" w:sz="4" w:space="0" w:color="000000"/>
              <w:bottom w:val="single" w:sz="4" w:space="0" w:color="000000"/>
            </w:tcBorders>
          </w:tcPr>
          <w:p>
            <w:pPr>
              <w:pStyle w:val="TableParagraph"/>
              <w:spacing w:before="174"/>
              <w:ind w:left="122"/>
              <w:rPr>
                <w:sz w:val="18"/>
              </w:rPr>
            </w:pPr>
            <w:r>
              <w:rPr>
                <w:sz w:val="18"/>
              </w:rPr>
              <w:t>Terrain</w:t>
            </w:r>
            <w:r>
              <w:rPr>
                <w:spacing w:val="-7"/>
                <w:sz w:val="18"/>
              </w:rPr>
              <w:t> </w:t>
            </w:r>
            <w:r>
              <w:rPr>
                <w:sz w:val="18"/>
              </w:rPr>
              <w:t>ruggedness</w:t>
            </w:r>
            <w:r>
              <w:rPr>
                <w:spacing w:val="-4"/>
                <w:sz w:val="18"/>
              </w:rPr>
              <w:t> index</w:t>
            </w:r>
          </w:p>
        </w:tc>
        <w:tc>
          <w:tcPr>
            <w:tcW w:w="1417" w:type="dxa"/>
            <w:tcBorders>
              <w:top w:val="single" w:sz="4" w:space="0" w:color="000000"/>
              <w:bottom w:val="single" w:sz="4" w:space="0" w:color="000000"/>
            </w:tcBorders>
            <w:shd w:val="clear" w:color="auto" w:fill="CCDBEA"/>
          </w:tcPr>
          <w:p>
            <w:pPr>
              <w:pStyle w:val="TableParagraph"/>
              <w:spacing w:line="207" w:lineRule="exact" w:before="71"/>
              <w:ind w:left="2" w:right="1"/>
              <w:jc w:val="center"/>
              <w:rPr>
                <w:sz w:val="18"/>
              </w:rPr>
            </w:pPr>
            <w:r>
              <w:rPr>
                <w:spacing w:val="-4"/>
                <w:sz w:val="18"/>
              </w:rPr>
              <w:t>0.11</w:t>
            </w:r>
          </w:p>
          <w:p>
            <w:pPr>
              <w:pStyle w:val="TableParagraph"/>
              <w:spacing w:line="207" w:lineRule="exact"/>
              <w:ind w:left="2" w:right="3"/>
              <w:jc w:val="center"/>
              <w:rPr>
                <w:sz w:val="18"/>
              </w:rPr>
            </w:pPr>
            <w:r>
              <w:rPr>
                <w:sz w:val="18"/>
              </w:rPr>
              <w:t>(-0.11,</w:t>
            </w:r>
            <w:r>
              <w:rPr>
                <w:spacing w:val="-6"/>
                <w:sz w:val="18"/>
              </w:rPr>
              <w:t> </w:t>
            </w:r>
            <w:r>
              <w:rPr>
                <w:spacing w:val="-2"/>
                <w:sz w:val="18"/>
              </w:rPr>
              <w:t>0.33)</w:t>
            </w:r>
          </w:p>
        </w:tc>
        <w:tc>
          <w:tcPr>
            <w:tcW w:w="1419" w:type="dxa"/>
            <w:tcBorders>
              <w:top w:val="single" w:sz="4" w:space="0" w:color="001F5F"/>
              <w:bottom w:val="single" w:sz="4" w:space="0" w:color="000000"/>
            </w:tcBorders>
          </w:tcPr>
          <w:p>
            <w:pPr>
              <w:pStyle w:val="TableParagraph"/>
              <w:spacing w:line="207" w:lineRule="exact" w:before="71"/>
              <w:jc w:val="center"/>
              <w:rPr>
                <w:sz w:val="18"/>
              </w:rPr>
            </w:pPr>
            <w:r>
              <w:rPr>
                <w:spacing w:val="-4"/>
                <w:sz w:val="18"/>
              </w:rPr>
              <w:t>1.12</w:t>
            </w:r>
          </w:p>
          <w:p>
            <w:pPr>
              <w:pStyle w:val="TableParagraph"/>
              <w:spacing w:line="207" w:lineRule="exact"/>
              <w:jc w:val="center"/>
              <w:rPr>
                <w:sz w:val="18"/>
              </w:rPr>
            </w:pPr>
            <w:r>
              <w:rPr>
                <w:sz w:val="18"/>
              </w:rPr>
              <w:t>(0.90,</w:t>
            </w:r>
            <w:r>
              <w:rPr>
                <w:spacing w:val="-5"/>
                <w:sz w:val="18"/>
              </w:rPr>
              <w:t> </w:t>
            </w:r>
            <w:r>
              <w:rPr>
                <w:spacing w:val="-2"/>
                <w:sz w:val="18"/>
              </w:rPr>
              <w:t>1.40)</w:t>
            </w:r>
          </w:p>
        </w:tc>
        <w:tc>
          <w:tcPr>
            <w:tcW w:w="4253" w:type="dxa"/>
            <w:tcBorders>
              <w:top w:val="single" w:sz="4" w:space="0" w:color="001F5F"/>
              <w:bottom w:val="single" w:sz="4" w:space="0" w:color="000000"/>
            </w:tcBorders>
            <w:shd w:val="clear" w:color="auto" w:fill="CCDBEA"/>
          </w:tcPr>
          <w:p>
            <w:pPr>
              <w:pStyle w:val="TableParagraph"/>
              <w:spacing w:before="71"/>
              <w:ind w:left="107"/>
              <w:rPr>
                <w:sz w:val="18"/>
              </w:rPr>
            </w:pPr>
            <w:r>
              <w:rPr>
                <w:sz w:val="18"/>
              </w:rPr>
              <w:t>No</w:t>
            </w:r>
            <w:r>
              <w:rPr>
                <w:spacing w:val="-6"/>
                <w:sz w:val="18"/>
              </w:rPr>
              <w:t> </w:t>
            </w:r>
            <w:r>
              <w:rPr>
                <w:sz w:val="18"/>
              </w:rPr>
              <w:t>influence</w:t>
            </w:r>
            <w:r>
              <w:rPr>
                <w:spacing w:val="-6"/>
                <w:sz w:val="18"/>
              </w:rPr>
              <w:t> </w:t>
            </w:r>
            <w:r>
              <w:rPr>
                <w:sz w:val="18"/>
              </w:rPr>
              <w:t>on</w:t>
            </w:r>
            <w:r>
              <w:rPr>
                <w:spacing w:val="-6"/>
                <w:sz w:val="18"/>
              </w:rPr>
              <w:t> </w:t>
            </w:r>
            <w:r>
              <w:rPr>
                <w:sz w:val="18"/>
              </w:rPr>
              <w:t>the</w:t>
            </w:r>
            <w:r>
              <w:rPr>
                <w:spacing w:val="-6"/>
                <w:sz w:val="18"/>
              </w:rPr>
              <w:t> </w:t>
            </w:r>
            <w:r>
              <w:rPr>
                <w:sz w:val="18"/>
              </w:rPr>
              <w:t>probability</w:t>
            </w:r>
            <w:r>
              <w:rPr>
                <w:spacing w:val="-8"/>
                <w:sz w:val="18"/>
              </w:rPr>
              <w:t> </w:t>
            </w:r>
            <w:r>
              <w:rPr>
                <w:sz w:val="18"/>
              </w:rPr>
              <w:t>a</w:t>
            </w:r>
            <w:r>
              <w:rPr>
                <w:spacing w:val="-6"/>
                <w:sz w:val="18"/>
              </w:rPr>
              <w:t> </w:t>
            </w:r>
            <w:r>
              <w:rPr>
                <w:sz w:val="18"/>
              </w:rPr>
              <w:t>site</w:t>
            </w:r>
            <w:r>
              <w:rPr>
                <w:spacing w:val="-6"/>
                <w:sz w:val="18"/>
              </w:rPr>
              <w:t> </w:t>
            </w:r>
            <w:r>
              <w:rPr>
                <w:sz w:val="18"/>
              </w:rPr>
              <w:t>becomes occupied through time</w:t>
            </w:r>
          </w:p>
        </w:tc>
      </w:tr>
      <w:tr>
        <w:trPr>
          <w:trHeight w:val="553" w:hRule="atLeast"/>
        </w:trPr>
        <w:tc>
          <w:tcPr>
            <w:tcW w:w="2710" w:type="dxa"/>
            <w:tcBorders>
              <w:top w:val="single" w:sz="4" w:space="0" w:color="000000"/>
              <w:bottom w:val="single" w:sz="4" w:space="0" w:color="000000"/>
            </w:tcBorders>
          </w:tcPr>
          <w:p>
            <w:pPr>
              <w:pStyle w:val="TableParagraph"/>
              <w:spacing w:before="171"/>
              <w:ind w:left="122"/>
              <w:rPr>
                <w:sz w:val="18"/>
              </w:rPr>
            </w:pPr>
            <w:r>
              <w:rPr>
                <w:spacing w:val="-2"/>
                <w:sz w:val="18"/>
              </w:rPr>
              <w:t>Elevation</w:t>
            </w:r>
          </w:p>
        </w:tc>
        <w:tc>
          <w:tcPr>
            <w:tcW w:w="1417" w:type="dxa"/>
            <w:tcBorders>
              <w:top w:val="single" w:sz="4" w:space="0" w:color="000000"/>
              <w:bottom w:val="single" w:sz="4" w:space="0" w:color="000000"/>
            </w:tcBorders>
            <w:shd w:val="clear" w:color="auto" w:fill="CCDBEA"/>
          </w:tcPr>
          <w:p>
            <w:pPr>
              <w:pStyle w:val="TableParagraph"/>
              <w:spacing w:before="68"/>
              <w:ind w:left="2" w:right="3"/>
              <w:jc w:val="center"/>
              <w:rPr>
                <w:sz w:val="18"/>
              </w:rPr>
            </w:pPr>
            <w:r>
              <w:rPr>
                <w:spacing w:val="-2"/>
                <w:sz w:val="18"/>
              </w:rPr>
              <w:t>-</w:t>
            </w:r>
            <w:r>
              <w:rPr>
                <w:spacing w:val="-4"/>
                <w:sz w:val="18"/>
              </w:rPr>
              <w:t>0.23</w:t>
            </w:r>
          </w:p>
          <w:p>
            <w:pPr>
              <w:pStyle w:val="TableParagraph"/>
              <w:spacing w:before="2"/>
              <w:ind w:left="2" w:right="3"/>
              <w:jc w:val="center"/>
              <w:rPr>
                <w:sz w:val="18"/>
              </w:rPr>
            </w:pPr>
            <w:r>
              <w:rPr>
                <w:sz w:val="18"/>
              </w:rPr>
              <w:t>(-0.47,</w:t>
            </w:r>
            <w:r>
              <w:rPr>
                <w:spacing w:val="-6"/>
                <w:sz w:val="18"/>
              </w:rPr>
              <w:t> </w:t>
            </w:r>
            <w:r>
              <w:rPr>
                <w:spacing w:val="-2"/>
                <w:sz w:val="18"/>
              </w:rPr>
              <w:t>0.02)</w:t>
            </w:r>
          </w:p>
        </w:tc>
        <w:tc>
          <w:tcPr>
            <w:tcW w:w="1419" w:type="dxa"/>
            <w:tcBorders>
              <w:top w:val="single" w:sz="4" w:space="0" w:color="000000"/>
              <w:bottom w:val="single" w:sz="4" w:space="0" w:color="000000"/>
            </w:tcBorders>
          </w:tcPr>
          <w:p>
            <w:pPr>
              <w:pStyle w:val="TableParagraph"/>
              <w:spacing w:before="68"/>
              <w:jc w:val="center"/>
              <w:rPr>
                <w:sz w:val="18"/>
              </w:rPr>
            </w:pPr>
            <w:r>
              <w:rPr>
                <w:spacing w:val="-4"/>
                <w:sz w:val="18"/>
              </w:rPr>
              <w:t>0.80</w:t>
            </w:r>
          </w:p>
          <w:p>
            <w:pPr>
              <w:pStyle w:val="TableParagraph"/>
              <w:spacing w:before="2"/>
              <w:jc w:val="center"/>
              <w:rPr>
                <w:sz w:val="18"/>
              </w:rPr>
            </w:pPr>
            <w:r>
              <w:rPr>
                <w:sz w:val="18"/>
              </w:rPr>
              <w:t>(0.63,</w:t>
            </w:r>
            <w:r>
              <w:rPr>
                <w:spacing w:val="-5"/>
                <w:sz w:val="18"/>
              </w:rPr>
              <w:t> </w:t>
            </w:r>
            <w:r>
              <w:rPr>
                <w:spacing w:val="-2"/>
                <w:sz w:val="18"/>
              </w:rPr>
              <w:t>1.02)</w:t>
            </w:r>
          </w:p>
        </w:tc>
        <w:tc>
          <w:tcPr>
            <w:tcW w:w="4253" w:type="dxa"/>
            <w:tcBorders>
              <w:top w:val="single" w:sz="4" w:space="0" w:color="000000"/>
              <w:bottom w:val="single" w:sz="4" w:space="0" w:color="000000"/>
            </w:tcBorders>
            <w:shd w:val="clear" w:color="auto" w:fill="CCDBEA"/>
          </w:tcPr>
          <w:p>
            <w:pPr>
              <w:pStyle w:val="TableParagraph"/>
              <w:spacing w:before="68"/>
              <w:ind w:left="107"/>
              <w:rPr>
                <w:sz w:val="18"/>
              </w:rPr>
            </w:pPr>
            <w:r>
              <w:rPr>
                <w:sz w:val="18"/>
              </w:rPr>
              <w:t>No</w:t>
            </w:r>
            <w:r>
              <w:rPr>
                <w:spacing w:val="-6"/>
                <w:sz w:val="18"/>
              </w:rPr>
              <w:t> </w:t>
            </w:r>
            <w:r>
              <w:rPr>
                <w:sz w:val="18"/>
              </w:rPr>
              <w:t>influence</w:t>
            </w:r>
            <w:r>
              <w:rPr>
                <w:spacing w:val="-6"/>
                <w:sz w:val="18"/>
              </w:rPr>
              <w:t> </w:t>
            </w:r>
            <w:r>
              <w:rPr>
                <w:sz w:val="18"/>
              </w:rPr>
              <w:t>on</w:t>
            </w:r>
            <w:r>
              <w:rPr>
                <w:spacing w:val="-6"/>
                <w:sz w:val="18"/>
              </w:rPr>
              <w:t> </w:t>
            </w:r>
            <w:r>
              <w:rPr>
                <w:sz w:val="18"/>
              </w:rPr>
              <w:t>the</w:t>
            </w:r>
            <w:r>
              <w:rPr>
                <w:spacing w:val="-6"/>
                <w:sz w:val="18"/>
              </w:rPr>
              <w:t> </w:t>
            </w:r>
            <w:r>
              <w:rPr>
                <w:sz w:val="18"/>
              </w:rPr>
              <w:t>probability</w:t>
            </w:r>
            <w:r>
              <w:rPr>
                <w:spacing w:val="-8"/>
                <w:sz w:val="18"/>
              </w:rPr>
              <w:t> </w:t>
            </w:r>
            <w:r>
              <w:rPr>
                <w:sz w:val="18"/>
              </w:rPr>
              <w:t>a</w:t>
            </w:r>
            <w:r>
              <w:rPr>
                <w:spacing w:val="-6"/>
                <w:sz w:val="18"/>
              </w:rPr>
              <w:t> </w:t>
            </w:r>
            <w:r>
              <w:rPr>
                <w:sz w:val="18"/>
              </w:rPr>
              <w:t>site</w:t>
            </w:r>
            <w:r>
              <w:rPr>
                <w:spacing w:val="-6"/>
                <w:sz w:val="18"/>
              </w:rPr>
              <w:t> </w:t>
            </w:r>
            <w:r>
              <w:rPr>
                <w:sz w:val="18"/>
              </w:rPr>
              <w:t>becomes occupied through time</w:t>
            </w:r>
          </w:p>
        </w:tc>
      </w:tr>
      <w:tr>
        <w:trPr>
          <w:trHeight w:val="556" w:hRule="atLeast"/>
        </w:trPr>
        <w:tc>
          <w:tcPr>
            <w:tcW w:w="2710" w:type="dxa"/>
            <w:tcBorders>
              <w:top w:val="single" w:sz="4" w:space="0" w:color="000000"/>
              <w:bottom w:val="single" w:sz="4" w:space="0" w:color="000000"/>
            </w:tcBorders>
          </w:tcPr>
          <w:p>
            <w:pPr>
              <w:pStyle w:val="TableParagraph"/>
              <w:spacing w:before="174"/>
              <w:ind w:left="122"/>
              <w:rPr>
                <w:sz w:val="18"/>
              </w:rPr>
            </w:pPr>
            <w:r>
              <w:rPr>
                <w:sz w:val="18"/>
              </w:rPr>
              <w:t>Tall</w:t>
            </w:r>
            <w:r>
              <w:rPr>
                <w:spacing w:val="-4"/>
                <w:sz w:val="18"/>
              </w:rPr>
              <w:t> </w:t>
            </w:r>
            <w:r>
              <w:rPr>
                <w:sz w:val="18"/>
              </w:rPr>
              <w:t>Mixed</w:t>
            </w:r>
            <w:r>
              <w:rPr>
                <w:spacing w:val="-3"/>
                <w:sz w:val="18"/>
              </w:rPr>
              <w:t> </w:t>
            </w:r>
            <w:r>
              <w:rPr>
                <w:sz w:val="18"/>
              </w:rPr>
              <w:t>Forest</w:t>
            </w:r>
            <w:r>
              <w:rPr>
                <w:spacing w:val="-1"/>
                <w:sz w:val="18"/>
              </w:rPr>
              <w:t> </w:t>
            </w:r>
            <w:r>
              <w:rPr>
                <w:spacing w:val="-2"/>
                <w:sz w:val="18"/>
              </w:rPr>
              <w:t>(Eastern)</w:t>
            </w:r>
          </w:p>
        </w:tc>
        <w:tc>
          <w:tcPr>
            <w:tcW w:w="1417" w:type="dxa"/>
            <w:tcBorders>
              <w:top w:val="single" w:sz="4" w:space="0" w:color="000000"/>
              <w:bottom w:val="single" w:sz="4" w:space="0" w:color="000000"/>
            </w:tcBorders>
            <w:shd w:val="clear" w:color="auto" w:fill="CCDBEA"/>
          </w:tcPr>
          <w:p>
            <w:pPr>
              <w:pStyle w:val="TableParagraph"/>
              <w:spacing w:line="207" w:lineRule="exact" w:before="71"/>
              <w:ind w:left="2" w:right="3"/>
              <w:jc w:val="center"/>
              <w:rPr>
                <w:sz w:val="18"/>
              </w:rPr>
            </w:pPr>
            <w:r>
              <w:rPr>
                <w:spacing w:val="-2"/>
                <w:sz w:val="18"/>
              </w:rPr>
              <w:t>-</w:t>
            </w:r>
            <w:r>
              <w:rPr>
                <w:spacing w:val="-4"/>
                <w:sz w:val="18"/>
              </w:rPr>
              <w:t>0.27</w:t>
            </w:r>
          </w:p>
          <w:p>
            <w:pPr>
              <w:pStyle w:val="TableParagraph"/>
              <w:spacing w:line="207" w:lineRule="exact"/>
              <w:ind w:left="2" w:right="3"/>
              <w:jc w:val="center"/>
              <w:rPr>
                <w:sz w:val="18"/>
              </w:rPr>
            </w:pPr>
            <w:r>
              <w:rPr>
                <w:sz w:val="18"/>
              </w:rPr>
              <w:t>(-0.65,</w:t>
            </w:r>
            <w:r>
              <w:rPr>
                <w:spacing w:val="-6"/>
                <w:sz w:val="18"/>
              </w:rPr>
              <w:t> </w:t>
            </w:r>
            <w:r>
              <w:rPr>
                <w:spacing w:val="-2"/>
                <w:sz w:val="18"/>
              </w:rPr>
              <w:t>0.13)</w:t>
            </w:r>
          </w:p>
        </w:tc>
        <w:tc>
          <w:tcPr>
            <w:tcW w:w="1419" w:type="dxa"/>
            <w:tcBorders>
              <w:top w:val="single" w:sz="4" w:space="0" w:color="000000"/>
              <w:bottom w:val="single" w:sz="4" w:space="0" w:color="000000"/>
            </w:tcBorders>
          </w:tcPr>
          <w:p>
            <w:pPr>
              <w:pStyle w:val="TableParagraph"/>
              <w:spacing w:line="207" w:lineRule="exact" w:before="71"/>
              <w:jc w:val="center"/>
              <w:rPr>
                <w:sz w:val="18"/>
              </w:rPr>
            </w:pPr>
            <w:r>
              <w:rPr>
                <w:spacing w:val="-4"/>
                <w:sz w:val="18"/>
              </w:rPr>
              <w:t>0.76</w:t>
            </w:r>
          </w:p>
          <w:p>
            <w:pPr>
              <w:pStyle w:val="TableParagraph"/>
              <w:spacing w:line="207" w:lineRule="exact"/>
              <w:jc w:val="center"/>
              <w:rPr>
                <w:sz w:val="18"/>
              </w:rPr>
            </w:pPr>
            <w:r>
              <w:rPr>
                <w:sz w:val="18"/>
              </w:rPr>
              <w:t>(0.52,</w:t>
            </w:r>
            <w:r>
              <w:rPr>
                <w:spacing w:val="-5"/>
                <w:sz w:val="18"/>
              </w:rPr>
              <w:t> </w:t>
            </w:r>
            <w:r>
              <w:rPr>
                <w:spacing w:val="-2"/>
                <w:sz w:val="18"/>
              </w:rPr>
              <w:t>1.14)</w:t>
            </w:r>
          </w:p>
        </w:tc>
        <w:tc>
          <w:tcPr>
            <w:tcW w:w="4253" w:type="dxa"/>
            <w:tcBorders>
              <w:top w:val="single" w:sz="4" w:space="0" w:color="000000"/>
              <w:bottom w:val="single" w:sz="4" w:space="0" w:color="000000"/>
            </w:tcBorders>
            <w:shd w:val="clear" w:color="auto" w:fill="CCDBEA"/>
          </w:tcPr>
          <w:p>
            <w:pPr>
              <w:pStyle w:val="TableParagraph"/>
              <w:spacing w:before="71"/>
              <w:ind w:left="107"/>
              <w:rPr>
                <w:sz w:val="18"/>
              </w:rPr>
            </w:pPr>
            <w:r>
              <w:rPr>
                <w:sz w:val="18"/>
              </w:rPr>
              <w:t>No</w:t>
            </w:r>
            <w:r>
              <w:rPr>
                <w:spacing w:val="-6"/>
                <w:sz w:val="18"/>
              </w:rPr>
              <w:t> </w:t>
            </w:r>
            <w:r>
              <w:rPr>
                <w:sz w:val="18"/>
              </w:rPr>
              <w:t>influence</w:t>
            </w:r>
            <w:r>
              <w:rPr>
                <w:spacing w:val="-6"/>
                <w:sz w:val="18"/>
              </w:rPr>
              <w:t> </w:t>
            </w:r>
            <w:r>
              <w:rPr>
                <w:sz w:val="18"/>
              </w:rPr>
              <w:t>on</w:t>
            </w:r>
            <w:r>
              <w:rPr>
                <w:spacing w:val="-6"/>
                <w:sz w:val="18"/>
              </w:rPr>
              <w:t> </w:t>
            </w:r>
            <w:r>
              <w:rPr>
                <w:sz w:val="18"/>
              </w:rPr>
              <w:t>the</w:t>
            </w:r>
            <w:r>
              <w:rPr>
                <w:spacing w:val="-6"/>
                <w:sz w:val="18"/>
              </w:rPr>
              <w:t> </w:t>
            </w:r>
            <w:r>
              <w:rPr>
                <w:sz w:val="18"/>
              </w:rPr>
              <w:t>probability</w:t>
            </w:r>
            <w:r>
              <w:rPr>
                <w:spacing w:val="-8"/>
                <w:sz w:val="18"/>
              </w:rPr>
              <w:t> </w:t>
            </w:r>
            <w:r>
              <w:rPr>
                <w:sz w:val="18"/>
              </w:rPr>
              <w:t>a</w:t>
            </w:r>
            <w:r>
              <w:rPr>
                <w:spacing w:val="-6"/>
                <w:sz w:val="18"/>
              </w:rPr>
              <w:t> </w:t>
            </w:r>
            <w:r>
              <w:rPr>
                <w:sz w:val="18"/>
              </w:rPr>
              <w:t>site</w:t>
            </w:r>
            <w:r>
              <w:rPr>
                <w:spacing w:val="-6"/>
                <w:sz w:val="18"/>
              </w:rPr>
              <w:t> </w:t>
            </w:r>
            <w:r>
              <w:rPr>
                <w:sz w:val="18"/>
              </w:rPr>
              <w:t>becomes occupied through time</w:t>
            </w:r>
          </w:p>
        </w:tc>
      </w:tr>
      <w:tr>
        <w:trPr>
          <w:trHeight w:val="554" w:hRule="atLeast"/>
        </w:trPr>
        <w:tc>
          <w:tcPr>
            <w:tcW w:w="2710" w:type="dxa"/>
            <w:tcBorders>
              <w:top w:val="single" w:sz="4" w:space="0" w:color="000000"/>
              <w:bottom w:val="single" w:sz="4" w:space="0" w:color="000000"/>
            </w:tcBorders>
          </w:tcPr>
          <w:p>
            <w:pPr>
              <w:pStyle w:val="TableParagraph"/>
              <w:spacing w:before="69"/>
              <w:ind w:left="122" w:right="199"/>
              <w:rPr>
                <w:sz w:val="18"/>
              </w:rPr>
            </w:pPr>
            <w:r>
              <w:rPr>
                <w:sz w:val="18"/>
              </w:rPr>
              <w:t>Terrain</w:t>
            </w:r>
            <w:r>
              <w:rPr>
                <w:spacing w:val="-13"/>
                <w:sz w:val="18"/>
              </w:rPr>
              <w:t> </w:t>
            </w:r>
            <w:r>
              <w:rPr>
                <w:sz w:val="18"/>
              </w:rPr>
              <w:t>ruggedness</w:t>
            </w:r>
            <w:r>
              <w:rPr>
                <w:spacing w:val="-11"/>
                <w:sz w:val="18"/>
              </w:rPr>
              <w:t> </w:t>
            </w:r>
            <w:r>
              <w:rPr>
                <w:sz w:val="18"/>
              </w:rPr>
              <w:t>index</w:t>
            </w:r>
            <w:r>
              <w:rPr>
                <w:spacing w:val="-13"/>
                <w:sz w:val="18"/>
              </w:rPr>
              <w:t> </w:t>
            </w:r>
            <w:r>
              <w:rPr>
                <w:sz w:val="18"/>
              </w:rPr>
              <w:t>in fox control area</w:t>
            </w:r>
          </w:p>
        </w:tc>
        <w:tc>
          <w:tcPr>
            <w:tcW w:w="1417" w:type="dxa"/>
            <w:tcBorders>
              <w:top w:val="single" w:sz="4" w:space="0" w:color="000000"/>
              <w:bottom w:val="single" w:sz="4" w:space="0" w:color="000000"/>
            </w:tcBorders>
            <w:shd w:val="clear" w:color="auto" w:fill="CCDBEA"/>
          </w:tcPr>
          <w:p>
            <w:pPr>
              <w:pStyle w:val="TableParagraph"/>
              <w:spacing w:line="207" w:lineRule="exact" w:before="69"/>
              <w:ind w:left="2" w:right="1"/>
              <w:jc w:val="center"/>
              <w:rPr>
                <w:sz w:val="18"/>
              </w:rPr>
            </w:pPr>
            <w:r>
              <w:rPr>
                <w:spacing w:val="-4"/>
                <w:sz w:val="18"/>
              </w:rPr>
              <w:t>0.48</w:t>
            </w:r>
          </w:p>
          <w:p>
            <w:pPr>
              <w:pStyle w:val="TableParagraph"/>
              <w:spacing w:line="207" w:lineRule="exact"/>
              <w:ind w:left="2" w:right="2"/>
              <w:jc w:val="center"/>
              <w:rPr>
                <w:sz w:val="18"/>
              </w:rPr>
            </w:pPr>
            <w:r>
              <w:rPr>
                <w:sz w:val="18"/>
              </w:rPr>
              <w:t>(-0.03,</w:t>
            </w:r>
            <w:r>
              <w:rPr>
                <w:spacing w:val="-6"/>
                <w:sz w:val="18"/>
              </w:rPr>
              <w:t> </w:t>
            </w:r>
            <w:r>
              <w:rPr>
                <w:spacing w:val="-4"/>
                <w:sz w:val="18"/>
              </w:rPr>
              <w:t>1.0)</w:t>
            </w:r>
          </w:p>
        </w:tc>
        <w:tc>
          <w:tcPr>
            <w:tcW w:w="1419" w:type="dxa"/>
            <w:tcBorders>
              <w:top w:val="single" w:sz="4" w:space="0" w:color="000000"/>
              <w:bottom w:val="single" w:sz="4" w:space="0" w:color="000000"/>
            </w:tcBorders>
          </w:tcPr>
          <w:p>
            <w:pPr>
              <w:pStyle w:val="TableParagraph"/>
              <w:spacing w:line="207" w:lineRule="exact" w:before="69"/>
              <w:jc w:val="center"/>
              <w:rPr>
                <w:sz w:val="18"/>
              </w:rPr>
            </w:pPr>
            <w:r>
              <w:rPr>
                <w:spacing w:val="-4"/>
                <w:sz w:val="18"/>
              </w:rPr>
              <w:t>1.61</w:t>
            </w:r>
          </w:p>
          <w:p>
            <w:pPr>
              <w:pStyle w:val="TableParagraph"/>
              <w:spacing w:line="207" w:lineRule="exact"/>
              <w:jc w:val="center"/>
              <w:rPr>
                <w:sz w:val="18"/>
              </w:rPr>
            </w:pPr>
            <w:r>
              <w:rPr>
                <w:sz w:val="18"/>
              </w:rPr>
              <w:t>(0.94,</w:t>
            </w:r>
            <w:r>
              <w:rPr>
                <w:spacing w:val="-5"/>
                <w:sz w:val="18"/>
              </w:rPr>
              <w:t> </w:t>
            </w:r>
            <w:r>
              <w:rPr>
                <w:spacing w:val="-2"/>
                <w:sz w:val="18"/>
              </w:rPr>
              <w:t>2.73)</w:t>
            </w:r>
          </w:p>
        </w:tc>
        <w:tc>
          <w:tcPr>
            <w:tcW w:w="4253" w:type="dxa"/>
            <w:tcBorders>
              <w:top w:val="single" w:sz="4" w:space="0" w:color="000000"/>
              <w:bottom w:val="single" w:sz="4" w:space="0" w:color="000000"/>
            </w:tcBorders>
            <w:shd w:val="clear" w:color="auto" w:fill="CCDBEA"/>
          </w:tcPr>
          <w:p>
            <w:pPr>
              <w:pStyle w:val="TableParagraph"/>
              <w:spacing w:before="69"/>
              <w:ind w:left="107"/>
              <w:rPr>
                <w:sz w:val="18"/>
              </w:rPr>
            </w:pPr>
            <w:r>
              <w:rPr>
                <w:sz w:val="18"/>
              </w:rPr>
              <w:t>No</w:t>
            </w:r>
            <w:r>
              <w:rPr>
                <w:spacing w:val="-6"/>
                <w:sz w:val="18"/>
              </w:rPr>
              <w:t> </w:t>
            </w:r>
            <w:r>
              <w:rPr>
                <w:sz w:val="18"/>
              </w:rPr>
              <w:t>influence</w:t>
            </w:r>
            <w:r>
              <w:rPr>
                <w:spacing w:val="-6"/>
                <w:sz w:val="18"/>
              </w:rPr>
              <w:t> </w:t>
            </w:r>
            <w:r>
              <w:rPr>
                <w:sz w:val="18"/>
              </w:rPr>
              <w:t>on</w:t>
            </w:r>
            <w:r>
              <w:rPr>
                <w:spacing w:val="-6"/>
                <w:sz w:val="18"/>
              </w:rPr>
              <w:t> </w:t>
            </w:r>
            <w:r>
              <w:rPr>
                <w:sz w:val="18"/>
              </w:rPr>
              <w:t>the</w:t>
            </w:r>
            <w:r>
              <w:rPr>
                <w:spacing w:val="-6"/>
                <w:sz w:val="18"/>
              </w:rPr>
              <w:t> </w:t>
            </w:r>
            <w:r>
              <w:rPr>
                <w:sz w:val="18"/>
              </w:rPr>
              <w:t>probability</w:t>
            </w:r>
            <w:r>
              <w:rPr>
                <w:spacing w:val="-8"/>
                <w:sz w:val="18"/>
              </w:rPr>
              <w:t> </w:t>
            </w:r>
            <w:r>
              <w:rPr>
                <w:sz w:val="18"/>
              </w:rPr>
              <w:t>a</w:t>
            </w:r>
            <w:r>
              <w:rPr>
                <w:spacing w:val="-6"/>
                <w:sz w:val="18"/>
              </w:rPr>
              <w:t> </w:t>
            </w:r>
            <w:r>
              <w:rPr>
                <w:sz w:val="18"/>
              </w:rPr>
              <w:t>site</w:t>
            </w:r>
            <w:r>
              <w:rPr>
                <w:spacing w:val="-6"/>
                <w:sz w:val="18"/>
              </w:rPr>
              <w:t> </w:t>
            </w:r>
            <w:r>
              <w:rPr>
                <w:sz w:val="18"/>
              </w:rPr>
              <w:t>becomes occupied through time</w:t>
            </w:r>
          </w:p>
        </w:tc>
      </w:tr>
      <w:tr>
        <w:trPr>
          <w:trHeight w:val="741" w:hRule="atLeast"/>
        </w:trPr>
        <w:tc>
          <w:tcPr>
            <w:tcW w:w="2710" w:type="dxa"/>
            <w:tcBorders>
              <w:top w:val="single" w:sz="4" w:space="0" w:color="000000"/>
              <w:bottom w:val="single" w:sz="4" w:space="0" w:color="000000"/>
            </w:tcBorders>
          </w:tcPr>
          <w:p>
            <w:pPr>
              <w:pStyle w:val="TableParagraph"/>
              <w:spacing w:before="162"/>
              <w:ind w:left="122" w:right="199"/>
              <w:rPr>
                <w:b/>
                <w:sz w:val="18"/>
              </w:rPr>
            </w:pPr>
            <w:r>
              <w:rPr>
                <w:b/>
                <w:sz w:val="18"/>
              </w:rPr>
              <w:t>Tall</w:t>
            </w:r>
            <w:r>
              <w:rPr>
                <w:b/>
                <w:spacing w:val="-11"/>
                <w:sz w:val="18"/>
              </w:rPr>
              <w:t> </w:t>
            </w:r>
            <w:r>
              <w:rPr>
                <w:b/>
                <w:sz w:val="18"/>
              </w:rPr>
              <w:t>Mixed</w:t>
            </w:r>
            <w:r>
              <w:rPr>
                <w:b/>
                <w:spacing w:val="-13"/>
                <w:sz w:val="18"/>
              </w:rPr>
              <w:t> </w:t>
            </w:r>
            <w:r>
              <w:rPr>
                <w:b/>
                <w:sz w:val="18"/>
              </w:rPr>
              <w:t>Forest</w:t>
            </w:r>
            <w:r>
              <w:rPr>
                <w:b/>
                <w:spacing w:val="-12"/>
                <w:sz w:val="18"/>
              </w:rPr>
              <w:t> </w:t>
            </w:r>
            <w:r>
              <w:rPr>
                <w:b/>
                <w:sz w:val="18"/>
              </w:rPr>
              <w:t>(Eastern) in fox control area</w:t>
            </w:r>
          </w:p>
        </w:tc>
        <w:tc>
          <w:tcPr>
            <w:tcW w:w="1417" w:type="dxa"/>
            <w:tcBorders>
              <w:top w:val="single" w:sz="4" w:space="0" w:color="000000"/>
              <w:bottom w:val="single" w:sz="4" w:space="0" w:color="000000"/>
            </w:tcBorders>
            <w:shd w:val="clear" w:color="auto" w:fill="CCDBEA"/>
          </w:tcPr>
          <w:p>
            <w:pPr>
              <w:pStyle w:val="TableParagraph"/>
              <w:spacing w:before="162"/>
              <w:ind w:left="2" w:right="1"/>
              <w:jc w:val="center"/>
              <w:rPr>
                <w:b/>
                <w:sz w:val="18"/>
              </w:rPr>
            </w:pPr>
            <w:r>
              <w:rPr>
                <w:b/>
                <w:spacing w:val="-4"/>
                <w:sz w:val="18"/>
              </w:rPr>
              <w:t>1.20</w:t>
            </w:r>
          </w:p>
          <w:p>
            <w:pPr>
              <w:pStyle w:val="TableParagraph"/>
              <w:spacing w:before="2"/>
              <w:ind w:left="2" w:right="1"/>
              <w:jc w:val="center"/>
              <w:rPr>
                <w:b/>
                <w:sz w:val="18"/>
              </w:rPr>
            </w:pPr>
            <w:r>
              <w:rPr>
                <w:b/>
                <w:sz w:val="18"/>
              </w:rPr>
              <w:t>(0.56,</w:t>
            </w:r>
            <w:r>
              <w:rPr>
                <w:b/>
                <w:spacing w:val="-5"/>
                <w:sz w:val="18"/>
              </w:rPr>
              <w:t> </w:t>
            </w:r>
            <w:r>
              <w:rPr>
                <w:b/>
                <w:spacing w:val="-2"/>
                <w:sz w:val="18"/>
              </w:rPr>
              <w:t>1.91)</w:t>
            </w:r>
          </w:p>
        </w:tc>
        <w:tc>
          <w:tcPr>
            <w:tcW w:w="1419" w:type="dxa"/>
            <w:tcBorders>
              <w:top w:val="single" w:sz="4" w:space="0" w:color="000000"/>
              <w:bottom w:val="single" w:sz="4" w:space="0" w:color="000000"/>
            </w:tcBorders>
          </w:tcPr>
          <w:p>
            <w:pPr>
              <w:pStyle w:val="TableParagraph"/>
              <w:spacing w:before="162"/>
              <w:jc w:val="center"/>
              <w:rPr>
                <w:b/>
                <w:sz w:val="18"/>
              </w:rPr>
            </w:pPr>
            <w:r>
              <w:rPr>
                <w:b/>
                <w:spacing w:val="-4"/>
                <w:sz w:val="18"/>
              </w:rPr>
              <w:t>3.33</w:t>
            </w:r>
          </w:p>
          <w:p>
            <w:pPr>
              <w:pStyle w:val="TableParagraph"/>
              <w:spacing w:before="2"/>
              <w:jc w:val="center"/>
              <w:rPr>
                <w:b/>
                <w:sz w:val="18"/>
              </w:rPr>
            </w:pPr>
            <w:r>
              <w:rPr>
                <w:b/>
                <w:sz w:val="18"/>
              </w:rPr>
              <w:t>(1.76,</w:t>
            </w:r>
            <w:r>
              <w:rPr>
                <w:b/>
                <w:spacing w:val="-5"/>
                <w:sz w:val="18"/>
              </w:rPr>
              <w:t> </w:t>
            </w:r>
            <w:r>
              <w:rPr>
                <w:b/>
                <w:spacing w:val="-2"/>
                <w:sz w:val="18"/>
              </w:rPr>
              <w:t>6.73)</w:t>
            </w:r>
          </w:p>
        </w:tc>
        <w:tc>
          <w:tcPr>
            <w:tcW w:w="4253" w:type="dxa"/>
            <w:tcBorders>
              <w:top w:val="single" w:sz="4" w:space="0" w:color="000000"/>
              <w:bottom w:val="single" w:sz="4" w:space="0" w:color="000000"/>
            </w:tcBorders>
            <w:shd w:val="clear" w:color="auto" w:fill="CCDBEA"/>
          </w:tcPr>
          <w:p>
            <w:pPr>
              <w:pStyle w:val="TableParagraph"/>
              <w:spacing w:before="59"/>
              <w:ind w:left="107" w:right="231"/>
              <w:rPr>
                <w:b/>
                <w:sz w:val="18"/>
              </w:rPr>
            </w:pPr>
            <w:r>
              <w:rPr>
                <w:b/>
                <w:sz w:val="18"/>
              </w:rPr>
              <w:t>A 3.3-fold increase in the odds a site is colonised</w:t>
            </w:r>
            <w:r>
              <w:rPr>
                <w:b/>
                <w:spacing w:val="-5"/>
                <w:sz w:val="18"/>
              </w:rPr>
              <w:t> </w:t>
            </w:r>
            <w:r>
              <w:rPr>
                <w:b/>
                <w:sz w:val="18"/>
              </w:rPr>
              <w:t>in</w:t>
            </w:r>
            <w:r>
              <w:rPr>
                <w:b/>
                <w:spacing w:val="-7"/>
                <w:sz w:val="18"/>
              </w:rPr>
              <w:t> </w:t>
            </w:r>
            <w:r>
              <w:rPr>
                <w:b/>
                <w:sz w:val="18"/>
              </w:rPr>
              <w:t>Tall</w:t>
            </w:r>
            <w:r>
              <w:rPr>
                <w:b/>
                <w:spacing w:val="-7"/>
                <w:sz w:val="18"/>
              </w:rPr>
              <w:t> </w:t>
            </w:r>
            <w:r>
              <w:rPr>
                <w:b/>
                <w:sz w:val="18"/>
              </w:rPr>
              <w:t>Mixed</w:t>
            </w:r>
            <w:r>
              <w:rPr>
                <w:b/>
                <w:spacing w:val="-5"/>
                <w:sz w:val="18"/>
              </w:rPr>
              <w:t> </w:t>
            </w:r>
            <w:r>
              <w:rPr>
                <w:b/>
                <w:sz w:val="18"/>
              </w:rPr>
              <w:t>Forest</w:t>
            </w:r>
            <w:r>
              <w:rPr>
                <w:b/>
                <w:spacing w:val="-3"/>
                <w:sz w:val="18"/>
              </w:rPr>
              <w:t> </w:t>
            </w:r>
            <w:r>
              <w:rPr>
                <w:b/>
                <w:sz w:val="18"/>
                <w:u w:val="single"/>
              </w:rPr>
              <w:t>compared</w:t>
            </w:r>
            <w:r>
              <w:rPr>
                <w:b/>
                <w:spacing w:val="-5"/>
                <w:sz w:val="18"/>
                <w:u w:val="single"/>
              </w:rPr>
              <w:t> </w:t>
            </w:r>
            <w:r>
              <w:rPr>
                <w:b/>
                <w:sz w:val="18"/>
                <w:u w:val="single"/>
              </w:rPr>
              <w:t>to</w:t>
            </w:r>
            <w:r>
              <w:rPr>
                <w:b/>
                <w:spacing w:val="-6"/>
                <w:sz w:val="18"/>
                <w:u w:val="single"/>
              </w:rPr>
              <w:t> </w:t>
            </w:r>
            <w:r>
              <w:rPr>
                <w:b/>
                <w:sz w:val="18"/>
                <w:u w:val="single"/>
              </w:rPr>
              <w:t>at</w:t>
            </w:r>
            <w:r>
              <w:rPr>
                <w:b/>
                <w:sz w:val="18"/>
                <w:u w:val="none"/>
              </w:rPr>
              <w:t> </w:t>
            </w:r>
            <w:r>
              <w:rPr>
                <w:b/>
                <w:sz w:val="18"/>
                <w:u w:val="single"/>
              </w:rPr>
              <w:t>non-fox control sites</w:t>
            </w:r>
          </w:p>
        </w:tc>
      </w:tr>
      <w:tr>
        <w:trPr>
          <w:trHeight w:val="554" w:hRule="atLeast"/>
        </w:trPr>
        <w:tc>
          <w:tcPr>
            <w:tcW w:w="2710" w:type="dxa"/>
            <w:tcBorders>
              <w:top w:val="single" w:sz="4" w:space="0" w:color="000000"/>
              <w:bottom w:val="single" w:sz="4" w:space="0" w:color="000000"/>
            </w:tcBorders>
          </w:tcPr>
          <w:p>
            <w:pPr>
              <w:pStyle w:val="TableParagraph"/>
              <w:spacing w:before="174"/>
              <w:ind w:left="122"/>
              <w:rPr>
                <w:sz w:val="18"/>
              </w:rPr>
            </w:pPr>
            <w:r>
              <w:rPr>
                <w:sz w:val="18"/>
              </w:rPr>
              <w:t>Fox</w:t>
            </w:r>
            <w:r>
              <w:rPr>
                <w:spacing w:val="-2"/>
                <w:sz w:val="18"/>
              </w:rPr>
              <w:t> </w:t>
            </w:r>
            <w:r>
              <w:rPr>
                <w:sz w:val="18"/>
              </w:rPr>
              <w:t>control</w:t>
            </w:r>
            <w:r>
              <w:rPr>
                <w:spacing w:val="-1"/>
                <w:sz w:val="18"/>
              </w:rPr>
              <w:t> </w:t>
            </w:r>
            <w:r>
              <w:rPr>
                <w:spacing w:val="-4"/>
                <w:sz w:val="18"/>
              </w:rPr>
              <w:t>area</w:t>
            </w:r>
          </w:p>
        </w:tc>
        <w:tc>
          <w:tcPr>
            <w:tcW w:w="1417" w:type="dxa"/>
            <w:tcBorders>
              <w:top w:val="single" w:sz="4" w:space="0" w:color="000000"/>
              <w:bottom w:val="single" w:sz="4" w:space="0" w:color="000000"/>
            </w:tcBorders>
            <w:shd w:val="clear" w:color="auto" w:fill="CCDBEA"/>
          </w:tcPr>
          <w:p>
            <w:pPr>
              <w:pStyle w:val="TableParagraph"/>
              <w:spacing w:before="68"/>
              <w:ind w:left="2" w:right="3"/>
              <w:jc w:val="center"/>
              <w:rPr>
                <w:sz w:val="18"/>
              </w:rPr>
            </w:pPr>
            <w:r>
              <w:rPr>
                <w:spacing w:val="-2"/>
                <w:sz w:val="18"/>
              </w:rPr>
              <w:t>-</w:t>
            </w:r>
            <w:r>
              <w:rPr>
                <w:spacing w:val="-4"/>
                <w:sz w:val="18"/>
              </w:rPr>
              <w:t>0.40</w:t>
            </w:r>
          </w:p>
          <w:p>
            <w:pPr>
              <w:pStyle w:val="TableParagraph"/>
              <w:spacing w:before="2"/>
              <w:ind w:left="2" w:right="3"/>
              <w:jc w:val="center"/>
              <w:rPr>
                <w:sz w:val="18"/>
              </w:rPr>
            </w:pPr>
            <w:r>
              <w:rPr>
                <w:sz w:val="18"/>
              </w:rPr>
              <w:t>(-0.91,</w:t>
            </w:r>
            <w:r>
              <w:rPr>
                <w:spacing w:val="-6"/>
                <w:sz w:val="18"/>
              </w:rPr>
              <w:t> </w:t>
            </w:r>
            <w:r>
              <w:rPr>
                <w:spacing w:val="-2"/>
                <w:sz w:val="18"/>
              </w:rPr>
              <w:t>0.06)</w:t>
            </w:r>
          </w:p>
        </w:tc>
        <w:tc>
          <w:tcPr>
            <w:tcW w:w="1419" w:type="dxa"/>
            <w:tcBorders>
              <w:top w:val="single" w:sz="4" w:space="0" w:color="000000"/>
              <w:bottom w:val="single" w:sz="4" w:space="0" w:color="001F5F"/>
            </w:tcBorders>
          </w:tcPr>
          <w:p>
            <w:pPr>
              <w:pStyle w:val="TableParagraph"/>
              <w:spacing w:before="68"/>
              <w:jc w:val="center"/>
              <w:rPr>
                <w:sz w:val="18"/>
              </w:rPr>
            </w:pPr>
            <w:r>
              <w:rPr>
                <w:spacing w:val="-4"/>
                <w:sz w:val="18"/>
              </w:rPr>
              <w:t>0.67</w:t>
            </w:r>
          </w:p>
          <w:p>
            <w:pPr>
              <w:pStyle w:val="TableParagraph"/>
              <w:spacing w:before="2"/>
              <w:jc w:val="center"/>
              <w:rPr>
                <w:sz w:val="18"/>
              </w:rPr>
            </w:pPr>
            <w:r>
              <w:rPr>
                <w:sz w:val="18"/>
              </w:rPr>
              <w:t>(0.40,</w:t>
            </w:r>
            <w:r>
              <w:rPr>
                <w:spacing w:val="-5"/>
                <w:sz w:val="18"/>
              </w:rPr>
              <w:t> </w:t>
            </w:r>
            <w:r>
              <w:rPr>
                <w:spacing w:val="-2"/>
                <w:sz w:val="18"/>
              </w:rPr>
              <w:t>1.06)</w:t>
            </w:r>
          </w:p>
        </w:tc>
        <w:tc>
          <w:tcPr>
            <w:tcW w:w="4253" w:type="dxa"/>
            <w:tcBorders>
              <w:top w:val="single" w:sz="4" w:space="0" w:color="000000"/>
              <w:bottom w:val="single" w:sz="4" w:space="0" w:color="001F5F"/>
            </w:tcBorders>
            <w:shd w:val="clear" w:color="auto" w:fill="CCDBEA"/>
          </w:tcPr>
          <w:p>
            <w:pPr>
              <w:pStyle w:val="TableParagraph"/>
              <w:spacing w:before="68"/>
              <w:ind w:left="107"/>
              <w:rPr>
                <w:sz w:val="18"/>
              </w:rPr>
            </w:pPr>
            <w:r>
              <w:rPr>
                <w:sz w:val="18"/>
              </w:rPr>
              <w:t>No</w:t>
            </w:r>
            <w:r>
              <w:rPr>
                <w:spacing w:val="-6"/>
                <w:sz w:val="18"/>
              </w:rPr>
              <w:t> </w:t>
            </w:r>
            <w:r>
              <w:rPr>
                <w:sz w:val="18"/>
              </w:rPr>
              <w:t>influence</w:t>
            </w:r>
            <w:r>
              <w:rPr>
                <w:spacing w:val="-6"/>
                <w:sz w:val="18"/>
              </w:rPr>
              <w:t> </w:t>
            </w:r>
            <w:r>
              <w:rPr>
                <w:sz w:val="18"/>
              </w:rPr>
              <w:t>on</w:t>
            </w:r>
            <w:r>
              <w:rPr>
                <w:spacing w:val="-6"/>
                <w:sz w:val="18"/>
              </w:rPr>
              <w:t> </w:t>
            </w:r>
            <w:r>
              <w:rPr>
                <w:sz w:val="18"/>
              </w:rPr>
              <w:t>the</w:t>
            </w:r>
            <w:r>
              <w:rPr>
                <w:spacing w:val="-6"/>
                <w:sz w:val="18"/>
              </w:rPr>
              <w:t> </w:t>
            </w:r>
            <w:r>
              <w:rPr>
                <w:sz w:val="18"/>
              </w:rPr>
              <w:t>probability</w:t>
            </w:r>
            <w:r>
              <w:rPr>
                <w:spacing w:val="-8"/>
                <w:sz w:val="18"/>
              </w:rPr>
              <w:t> </w:t>
            </w:r>
            <w:r>
              <w:rPr>
                <w:sz w:val="18"/>
              </w:rPr>
              <w:t>a</w:t>
            </w:r>
            <w:r>
              <w:rPr>
                <w:spacing w:val="-6"/>
                <w:sz w:val="18"/>
              </w:rPr>
              <w:t> </w:t>
            </w:r>
            <w:r>
              <w:rPr>
                <w:sz w:val="18"/>
              </w:rPr>
              <w:t>site</w:t>
            </w:r>
            <w:r>
              <w:rPr>
                <w:spacing w:val="-6"/>
                <w:sz w:val="18"/>
              </w:rPr>
              <w:t> </w:t>
            </w:r>
            <w:r>
              <w:rPr>
                <w:sz w:val="18"/>
              </w:rPr>
              <w:t>becomes occupied through time</w:t>
            </w:r>
          </w:p>
        </w:tc>
      </w:tr>
    </w:tbl>
    <w:p>
      <w:pPr>
        <w:spacing w:line="276" w:lineRule="auto" w:before="96"/>
        <w:ind w:left="140" w:right="507" w:firstLine="0"/>
        <w:jc w:val="left"/>
        <w:rPr>
          <w:sz w:val="18"/>
        </w:rPr>
      </w:pPr>
      <w:r>
        <w:rPr>
          <w:b/>
          <w:sz w:val="18"/>
        </w:rPr>
        <w:t>Bold</w:t>
      </w:r>
      <w:r>
        <w:rPr>
          <w:b/>
          <w:spacing w:val="-1"/>
          <w:sz w:val="18"/>
        </w:rPr>
        <w:t> </w:t>
      </w:r>
      <w:r>
        <w:rPr>
          <w:sz w:val="18"/>
        </w:rPr>
        <w:t>type</w:t>
      </w:r>
      <w:r>
        <w:rPr>
          <w:spacing w:val="-2"/>
          <w:sz w:val="18"/>
        </w:rPr>
        <w:t> </w:t>
      </w:r>
      <w:r>
        <w:rPr>
          <w:sz w:val="18"/>
        </w:rPr>
        <w:t>indicates</w:t>
      </w:r>
      <w:r>
        <w:rPr>
          <w:spacing w:val="-1"/>
          <w:sz w:val="18"/>
        </w:rPr>
        <w:t> </w:t>
      </w:r>
      <w:r>
        <w:rPr>
          <w:sz w:val="18"/>
        </w:rPr>
        <w:t>evidence</w:t>
      </w:r>
      <w:r>
        <w:rPr>
          <w:spacing w:val="-2"/>
          <w:sz w:val="18"/>
        </w:rPr>
        <w:t> </w:t>
      </w:r>
      <w:r>
        <w:rPr>
          <w:sz w:val="18"/>
        </w:rPr>
        <w:t>that</w:t>
      </w:r>
      <w:r>
        <w:rPr>
          <w:spacing w:val="-2"/>
          <w:sz w:val="18"/>
        </w:rPr>
        <w:t> </w:t>
      </w:r>
      <w:r>
        <w:rPr>
          <w:sz w:val="18"/>
        </w:rPr>
        <w:t>the</w:t>
      </w:r>
      <w:r>
        <w:rPr>
          <w:spacing w:val="-2"/>
          <w:sz w:val="18"/>
        </w:rPr>
        <w:t> </w:t>
      </w:r>
      <w:r>
        <w:rPr>
          <w:sz w:val="18"/>
        </w:rPr>
        <w:t>covariate</w:t>
      </w:r>
      <w:r>
        <w:rPr>
          <w:spacing w:val="-4"/>
          <w:sz w:val="18"/>
        </w:rPr>
        <w:t> </w:t>
      </w:r>
      <w:r>
        <w:rPr>
          <w:sz w:val="18"/>
        </w:rPr>
        <w:t>was</w:t>
      </w:r>
      <w:r>
        <w:rPr>
          <w:spacing w:val="-3"/>
          <w:sz w:val="18"/>
        </w:rPr>
        <w:t> </w:t>
      </w:r>
      <w:r>
        <w:rPr>
          <w:sz w:val="18"/>
        </w:rPr>
        <w:t>important.</w:t>
      </w:r>
      <w:r>
        <w:rPr>
          <w:spacing w:val="-2"/>
          <w:sz w:val="18"/>
        </w:rPr>
        <w:t> </w:t>
      </w:r>
      <w:r>
        <w:rPr>
          <w:sz w:val="18"/>
        </w:rPr>
        <w:t>All</w:t>
      </w:r>
      <w:r>
        <w:rPr>
          <w:spacing w:val="-4"/>
          <w:sz w:val="18"/>
        </w:rPr>
        <w:t> </w:t>
      </w:r>
      <w:r>
        <w:rPr>
          <w:sz w:val="18"/>
        </w:rPr>
        <w:t>estimates</w:t>
      </w:r>
      <w:r>
        <w:rPr>
          <w:spacing w:val="-3"/>
          <w:sz w:val="18"/>
        </w:rPr>
        <w:t> </w:t>
      </w:r>
      <w:r>
        <w:rPr>
          <w:sz w:val="18"/>
        </w:rPr>
        <w:t>are</w:t>
      </w:r>
      <w:r>
        <w:rPr>
          <w:spacing w:val="-4"/>
          <w:sz w:val="18"/>
        </w:rPr>
        <w:t> </w:t>
      </w:r>
      <w:r>
        <w:rPr>
          <w:sz w:val="18"/>
        </w:rPr>
        <w:t>on</w:t>
      </w:r>
      <w:r>
        <w:rPr>
          <w:spacing w:val="-2"/>
          <w:sz w:val="18"/>
        </w:rPr>
        <w:t> </w:t>
      </w:r>
      <w:r>
        <w:rPr>
          <w:sz w:val="18"/>
        </w:rPr>
        <w:t>the</w:t>
      </w:r>
      <w:r>
        <w:rPr>
          <w:spacing w:val="-2"/>
          <w:sz w:val="18"/>
        </w:rPr>
        <w:t> </w:t>
      </w:r>
      <w:r>
        <w:rPr>
          <w:sz w:val="18"/>
        </w:rPr>
        <w:t>logit</w:t>
      </w:r>
      <w:r>
        <w:rPr>
          <w:spacing w:val="-4"/>
          <w:sz w:val="18"/>
        </w:rPr>
        <w:t> </w:t>
      </w:r>
      <w:r>
        <w:rPr>
          <w:sz w:val="18"/>
        </w:rPr>
        <w:t>scale.</w:t>
      </w:r>
      <w:r>
        <w:rPr>
          <w:spacing w:val="-2"/>
          <w:sz w:val="18"/>
        </w:rPr>
        <w:t> </w:t>
      </w:r>
      <w:r>
        <w:rPr>
          <w:sz w:val="18"/>
        </w:rPr>
        <w:t>CI =</w:t>
      </w:r>
      <w:r>
        <w:rPr>
          <w:spacing w:val="-1"/>
          <w:sz w:val="18"/>
        </w:rPr>
        <w:t> </w:t>
      </w:r>
      <w:r>
        <w:rPr>
          <w:sz w:val="18"/>
        </w:rPr>
        <w:t>credible </w:t>
      </w:r>
      <w:r>
        <w:rPr>
          <w:spacing w:val="-2"/>
          <w:sz w:val="18"/>
        </w:rPr>
        <w:t>interval.</w:t>
      </w:r>
    </w:p>
    <w:p>
      <w:pPr>
        <w:spacing w:after="0" w:line="276" w:lineRule="auto"/>
        <w:jc w:val="left"/>
        <w:rPr>
          <w:sz w:val="18"/>
        </w:rPr>
        <w:sectPr>
          <w:footerReference w:type="default" r:id="rId90"/>
          <w:pgSz w:w="11910" w:h="16850"/>
          <w:pgMar w:header="0" w:footer="688" w:top="1060" w:bottom="880" w:left="992" w:right="850"/>
        </w:sectPr>
      </w:pPr>
    </w:p>
    <w:p>
      <w:pPr>
        <w:spacing w:before="71"/>
        <w:ind w:left="140" w:right="507" w:firstLine="0"/>
        <w:jc w:val="left"/>
        <w:rPr>
          <w:b/>
          <w:sz w:val="20"/>
        </w:rPr>
      </w:pPr>
      <w:r>
        <w:rPr>
          <w:b/>
          <w:sz w:val="20"/>
        </w:rPr>
        <w:t>Table</w:t>
      </w:r>
      <w:r>
        <w:rPr>
          <w:b/>
          <w:spacing w:val="-4"/>
          <w:sz w:val="20"/>
        </w:rPr>
        <w:t> </w:t>
      </w:r>
      <w:r>
        <w:rPr>
          <w:b/>
          <w:sz w:val="20"/>
        </w:rPr>
        <w:t>A4.</w:t>
      </w:r>
      <w:r>
        <w:rPr>
          <w:b/>
          <w:spacing w:val="-3"/>
          <w:sz w:val="20"/>
        </w:rPr>
        <w:t> </w:t>
      </w:r>
      <w:r>
        <w:rPr>
          <w:b/>
          <w:sz w:val="20"/>
        </w:rPr>
        <w:t>Parameter</w:t>
      </w:r>
      <w:r>
        <w:rPr>
          <w:b/>
          <w:spacing w:val="-3"/>
          <w:sz w:val="20"/>
        </w:rPr>
        <w:t> </w:t>
      </w:r>
      <w:r>
        <w:rPr>
          <w:b/>
          <w:sz w:val="20"/>
        </w:rPr>
        <w:t>estimates</w:t>
      </w:r>
      <w:r>
        <w:rPr>
          <w:b/>
          <w:spacing w:val="-5"/>
          <w:sz w:val="20"/>
        </w:rPr>
        <w:t> </w:t>
      </w:r>
      <w:r>
        <w:rPr>
          <w:b/>
          <w:sz w:val="20"/>
        </w:rPr>
        <w:t>(posterior</w:t>
      </w:r>
      <w:r>
        <w:rPr>
          <w:b/>
          <w:spacing w:val="-4"/>
          <w:sz w:val="20"/>
        </w:rPr>
        <w:t> </w:t>
      </w:r>
      <w:r>
        <w:rPr>
          <w:b/>
          <w:sz w:val="20"/>
        </w:rPr>
        <w:t>median</w:t>
      </w:r>
      <w:r>
        <w:rPr>
          <w:b/>
          <w:spacing w:val="-2"/>
          <w:sz w:val="20"/>
        </w:rPr>
        <w:t> </w:t>
      </w:r>
      <w:r>
        <w:rPr>
          <w:b/>
          <w:sz w:val="20"/>
        </w:rPr>
        <w:t>and</w:t>
      </w:r>
      <w:r>
        <w:rPr>
          <w:b/>
          <w:spacing w:val="-3"/>
          <w:sz w:val="20"/>
        </w:rPr>
        <w:t> </w:t>
      </w:r>
      <w:r>
        <w:rPr>
          <w:b/>
          <w:sz w:val="20"/>
        </w:rPr>
        <w:t>95%</w:t>
      </w:r>
      <w:r>
        <w:rPr>
          <w:b/>
          <w:spacing w:val="-3"/>
          <w:sz w:val="20"/>
        </w:rPr>
        <w:t> </w:t>
      </w:r>
      <w:r>
        <w:rPr>
          <w:b/>
          <w:sz w:val="20"/>
        </w:rPr>
        <w:t>credible</w:t>
      </w:r>
      <w:r>
        <w:rPr>
          <w:b/>
          <w:spacing w:val="-5"/>
          <w:sz w:val="20"/>
        </w:rPr>
        <w:t> </w:t>
      </w:r>
      <w:r>
        <w:rPr>
          <w:b/>
          <w:sz w:val="20"/>
        </w:rPr>
        <w:t>limits)</w:t>
      </w:r>
      <w:r>
        <w:rPr>
          <w:b/>
          <w:spacing w:val="-4"/>
          <w:sz w:val="20"/>
        </w:rPr>
        <w:t> </w:t>
      </w:r>
      <w:r>
        <w:rPr>
          <w:b/>
          <w:sz w:val="20"/>
        </w:rPr>
        <w:t>and</w:t>
      </w:r>
      <w:r>
        <w:rPr>
          <w:b/>
          <w:spacing w:val="-3"/>
          <w:sz w:val="20"/>
        </w:rPr>
        <w:t> </w:t>
      </w:r>
      <w:r>
        <w:rPr>
          <w:b/>
          <w:sz w:val="20"/>
        </w:rPr>
        <w:t>corresponding</w:t>
      </w:r>
      <w:r>
        <w:rPr>
          <w:b/>
          <w:spacing w:val="-3"/>
          <w:sz w:val="20"/>
        </w:rPr>
        <w:t> </w:t>
      </w:r>
      <w:r>
        <w:rPr>
          <w:b/>
          <w:sz w:val="20"/>
        </w:rPr>
        <w:t>odds ratios for initial occupancy, local survival and colonisation for the Long-nosed Potoroo.</w:t>
      </w:r>
    </w:p>
    <w:p>
      <w:pPr>
        <w:pStyle w:val="BodyText"/>
        <w:spacing w:before="8"/>
        <w:rPr>
          <w:b/>
          <w:sz w:val="9"/>
        </w:rPr>
      </w:pPr>
    </w:p>
    <w:tbl>
      <w:tblPr>
        <w:tblW w:w="0" w:type="auto"/>
        <w:jc w:val="left"/>
        <w:tblInd w:w="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10"/>
        <w:gridCol w:w="1560"/>
        <w:gridCol w:w="1416"/>
        <w:gridCol w:w="4111"/>
      </w:tblGrid>
      <w:tr>
        <w:trPr>
          <w:trHeight w:val="619" w:hRule="atLeast"/>
        </w:trPr>
        <w:tc>
          <w:tcPr>
            <w:tcW w:w="2710" w:type="dxa"/>
            <w:shd w:val="clear" w:color="auto" w:fill="004B96"/>
          </w:tcPr>
          <w:p>
            <w:pPr>
              <w:pStyle w:val="TableParagraph"/>
              <w:spacing w:before="199"/>
              <w:ind w:left="122"/>
              <w:rPr>
                <w:b/>
                <w:sz w:val="20"/>
              </w:rPr>
            </w:pPr>
            <w:r>
              <w:rPr>
                <w:b/>
                <w:color w:val="FFFFFF"/>
                <w:spacing w:val="-2"/>
                <w:sz w:val="20"/>
              </w:rPr>
              <w:t>Parameter</w:t>
            </w:r>
          </w:p>
        </w:tc>
        <w:tc>
          <w:tcPr>
            <w:tcW w:w="1560" w:type="dxa"/>
            <w:shd w:val="clear" w:color="auto" w:fill="004B96"/>
          </w:tcPr>
          <w:p>
            <w:pPr>
              <w:pStyle w:val="TableParagraph"/>
              <w:spacing w:line="249" w:lineRule="auto" w:before="79"/>
              <w:ind w:left="384" w:right="2" w:firstLine="50"/>
              <w:rPr>
                <w:b/>
                <w:sz w:val="20"/>
              </w:rPr>
            </w:pPr>
            <w:r>
              <w:rPr>
                <w:b/>
                <w:color w:val="FFFFFF"/>
                <w:spacing w:val="-2"/>
                <w:sz w:val="20"/>
              </w:rPr>
              <w:t>Median </w:t>
            </w:r>
            <w:r>
              <w:rPr>
                <w:b/>
                <w:color w:val="FFFFFF"/>
                <w:sz w:val="20"/>
              </w:rPr>
              <w:t>(95%</w:t>
            </w:r>
            <w:r>
              <w:rPr>
                <w:b/>
                <w:color w:val="FFFFFF"/>
                <w:spacing w:val="-6"/>
                <w:sz w:val="20"/>
              </w:rPr>
              <w:t> </w:t>
            </w:r>
            <w:r>
              <w:rPr>
                <w:b/>
                <w:color w:val="FFFFFF"/>
                <w:spacing w:val="-5"/>
                <w:sz w:val="20"/>
              </w:rPr>
              <w:t>CI)</w:t>
            </w:r>
          </w:p>
        </w:tc>
        <w:tc>
          <w:tcPr>
            <w:tcW w:w="1416" w:type="dxa"/>
            <w:shd w:val="clear" w:color="auto" w:fill="004B96"/>
          </w:tcPr>
          <w:p>
            <w:pPr>
              <w:pStyle w:val="TableParagraph"/>
              <w:spacing w:line="249" w:lineRule="auto" w:before="79"/>
              <w:ind w:left="312" w:right="257" w:hanging="48"/>
              <w:rPr>
                <w:b/>
                <w:sz w:val="20"/>
              </w:rPr>
            </w:pPr>
            <w:r>
              <w:rPr>
                <w:b/>
                <w:color w:val="FFFFFF"/>
                <w:sz w:val="20"/>
              </w:rPr>
              <w:t>Odd</w:t>
            </w:r>
            <w:r>
              <w:rPr>
                <w:b/>
                <w:color w:val="FFFFFF"/>
                <w:spacing w:val="-14"/>
                <w:sz w:val="20"/>
              </w:rPr>
              <w:t> </w:t>
            </w:r>
            <w:r>
              <w:rPr>
                <w:b/>
                <w:color w:val="FFFFFF"/>
                <w:sz w:val="20"/>
              </w:rPr>
              <w:t>ratio (95%</w:t>
            </w:r>
            <w:r>
              <w:rPr>
                <w:b/>
                <w:color w:val="FFFFFF"/>
                <w:spacing w:val="-6"/>
                <w:sz w:val="20"/>
              </w:rPr>
              <w:t> </w:t>
            </w:r>
            <w:r>
              <w:rPr>
                <w:b/>
                <w:color w:val="FFFFFF"/>
                <w:spacing w:val="-5"/>
                <w:sz w:val="20"/>
              </w:rPr>
              <w:t>CI)</w:t>
            </w:r>
          </w:p>
        </w:tc>
        <w:tc>
          <w:tcPr>
            <w:tcW w:w="4111" w:type="dxa"/>
            <w:shd w:val="clear" w:color="auto" w:fill="004B96"/>
          </w:tcPr>
          <w:p>
            <w:pPr>
              <w:pStyle w:val="TableParagraph"/>
              <w:spacing w:before="199"/>
              <w:ind w:right="1"/>
              <w:jc w:val="center"/>
              <w:rPr>
                <w:b/>
                <w:sz w:val="20"/>
              </w:rPr>
            </w:pPr>
            <w:r>
              <w:rPr>
                <w:b/>
                <w:color w:val="FFFFFF"/>
                <w:spacing w:val="-2"/>
                <w:sz w:val="20"/>
              </w:rPr>
              <w:t>Interpretation</w:t>
            </w:r>
          </w:p>
        </w:tc>
      </w:tr>
      <w:tr>
        <w:trPr>
          <w:trHeight w:val="330" w:hRule="atLeast"/>
        </w:trPr>
        <w:tc>
          <w:tcPr>
            <w:tcW w:w="9797" w:type="dxa"/>
            <w:gridSpan w:val="4"/>
            <w:tcBorders>
              <w:bottom w:val="single" w:sz="12" w:space="0" w:color="004B96"/>
            </w:tcBorders>
          </w:tcPr>
          <w:p>
            <w:pPr>
              <w:pStyle w:val="TableParagraph"/>
              <w:spacing w:before="61"/>
              <w:ind w:left="122"/>
              <w:rPr>
                <w:b/>
                <w:sz w:val="18"/>
              </w:rPr>
            </w:pPr>
            <w:r>
              <w:rPr>
                <w:b/>
                <w:sz w:val="18"/>
              </w:rPr>
              <w:t>A:</w:t>
            </w:r>
            <w:r>
              <w:rPr>
                <w:b/>
                <w:spacing w:val="-1"/>
                <w:sz w:val="18"/>
              </w:rPr>
              <w:t> </w:t>
            </w:r>
            <w:r>
              <w:rPr>
                <w:b/>
                <w:sz w:val="18"/>
              </w:rPr>
              <w:t>Initial</w:t>
            </w:r>
            <w:r>
              <w:rPr>
                <w:b/>
                <w:spacing w:val="-1"/>
                <w:sz w:val="18"/>
              </w:rPr>
              <w:t> </w:t>
            </w:r>
            <w:r>
              <w:rPr>
                <w:b/>
                <w:spacing w:val="-2"/>
                <w:sz w:val="18"/>
              </w:rPr>
              <w:t>occupancy</w:t>
            </w:r>
          </w:p>
        </w:tc>
      </w:tr>
      <w:tr>
        <w:trPr>
          <w:trHeight w:val="534" w:hRule="atLeast"/>
        </w:trPr>
        <w:tc>
          <w:tcPr>
            <w:tcW w:w="2710" w:type="dxa"/>
            <w:tcBorders>
              <w:top w:val="single" w:sz="12" w:space="0" w:color="004B96"/>
              <w:bottom w:val="single" w:sz="4" w:space="0" w:color="004B96"/>
            </w:tcBorders>
          </w:tcPr>
          <w:p>
            <w:pPr>
              <w:pStyle w:val="TableParagraph"/>
              <w:spacing w:before="164"/>
              <w:ind w:left="122"/>
              <w:rPr>
                <w:sz w:val="18"/>
              </w:rPr>
            </w:pPr>
            <w:r>
              <w:rPr>
                <w:sz w:val="18"/>
              </w:rPr>
              <w:t>Tall</w:t>
            </w:r>
            <w:r>
              <w:rPr>
                <w:spacing w:val="-3"/>
                <w:sz w:val="18"/>
              </w:rPr>
              <w:t> </w:t>
            </w:r>
            <w:r>
              <w:rPr>
                <w:sz w:val="18"/>
              </w:rPr>
              <w:t>Mixed</w:t>
            </w:r>
            <w:r>
              <w:rPr>
                <w:spacing w:val="-3"/>
                <w:sz w:val="18"/>
              </w:rPr>
              <w:t> </w:t>
            </w:r>
            <w:r>
              <w:rPr>
                <w:sz w:val="18"/>
              </w:rPr>
              <w:t>Forest</w:t>
            </w:r>
            <w:r>
              <w:rPr>
                <w:spacing w:val="-1"/>
                <w:sz w:val="18"/>
              </w:rPr>
              <w:t> </w:t>
            </w:r>
            <w:r>
              <w:rPr>
                <w:spacing w:val="-2"/>
                <w:sz w:val="18"/>
              </w:rPr>
              <w:t>(Eastern)</w:t>
            </w:r>
          </w:p>
        </w:tc>
        <w:tc>
          <w:tcPr>
            <w:tcW w:w="1560" w:type="dxa"/>
            <w:tcBorders>
              <w:top w:val="single" w:sz="12" w:space="0" w:color="004B96"/>
              <w:bottom w:val="single" w:sz="4" w:space="0" w:color="004B96"/>
            </w:tcBorders>
            <w:shd w:val="clear" w:color="auto" w:fill="CCDBEA"/>
          </w:tcPr>
          <w:p>
            <w:pPr>
              <w:pStyle w:val="TableParagraph"/>
              <w:spacing w:before="58"/>
              <w:ind w:left="5" w:right="3"/>
              <w:jc w:val="center"/>
              <w:rPr>
                <w:sz w:val="18"/>
              </w:rPr>
            </w:pPr>
            <w:r>
              <w:rPr>
                <w:spacing w:val="-4"/>
                <w:sz w:val="18"/>
              </w:rPr>
              <w:t>1.46</w:t>
            </w:r>
          </w:p>
          <w:p>
            <w:pPr>
              <w:pStyle w:val="TableParagraph"/>
              <w:spacing w:before="2"/>
              <w:ind w:left="3" w:right="3"/>
              <w:jc w:val="center"/>
              <w:rPr>
                <w:sz w:val="18"/>
              </w:rPr>
            </w:pPr>
            <w:r>
              <w:rPr>
                <w:sz w:val="18"/>
              </w:rPr>
              <w:t>(-1.10,</w:t>
            </w:r>
            <w:r>
              <w:rPr>
                <w:spacing w:val="-6"/>
                <w:sz w:val="18"/>
              </w:rPr>
              <w:t> </w:t>
            </w:r>
            <w:r>
              <w:rPr>
                <w:spacing w:val="-2"/>
                <w:sz w:val="18"/>
              </w:rPr>
              <w:t>5.25)</w:t>
            </w:r>
          </w:p>
        </w:tc>
        <w:tc>
          <w:tcPr>
            <w:tcW w:w="1416" w:type="dxa"/>
            <w:tcBorders>
              <w:top w:val="single" w:sz="12" w:space="0" w:color="004B96"/>
              <w:bottom w:val="single" w:sz="4" w:space="0" w:color="004B96"/>
            </w:tcBorders>
          </w:tcPr>
          <w:p>
            <w:pPr>
              <w:pStyle w:val="TableParagraph"/>
              <w:spacing w:before="58"/>
              <w:ind w:left="2"/>
              <w:jc w:val="center"/>
              <w:rPr>
                <w:sz w:val="18"/>
              </w:rPr>
            </w:pPr>
            <w:r>
              <w:rPr>
                <w:spacing w:val="-4"/>
                <w:sz w:val="18"/>
              </w:rPr>
              <w:t>4.31</w:t>
            </w:r>
          </w:p>
          <w:p>
            <w:pPr>
              <w:pStyle w:val="TableParagraph"/>
              <w:spacing w:before="2"/>
              <w:ind w:left="2" w:right="2"/>
              <w:jc w:val="center"/>
              <w:rPr>
                <w:sz w:val="18"/>
              </w:rPr>
            </w:pPr>
            <w:r>
              <w:rPr>
                <w:sz w:val="18"/>
              </w:rPr>
              <w:t>(0.33,</w:t>
            </w:r>
            <w:r>
              <w:rPr>
                <w:spacing w:val="-5"/>
                <w:sz w:val="18"/>
              </w:rPr>
              <w:t> </w:t>
            </w:r>
            <w:r>
              <w:rPr>
                <w:spacing w:val="-2"/>
                <w:sz w:val="18"/>
              </w:rPr>
              <w:t>189.81)</w:t>
            </w:r>
          </w:p>
        </w:tc>
        <w:tc>
          <w:tcPr>
            <w:tcW w:w="4111" w:type="dxa"/>
            <w:tcBorders>
              <w:top w:val="single" w:sz="12" w:space="0" w:color="004B96"/>
              <w:bottom w:val="single" w:sz="4" w:space="0" w:color="004B96"/>
            </w:tcBorders>
            <w:shd w:val="clear" w:color="auto" w:fill="CCDBEA"/>
          </w:tcPr>
          <w:p>
            <w:pPr>
              <w:pStyle w:val="TableParagraph"/>
              <w:spacing w:before="58"/>
              <w:ind w:left="108"/>
              <w:rPr>
                <w:sz w:val="18"/>
              </w:rPr>
            </w:pPr>
            <w:r>
              <w:rPr>
                <w:sz w:val="18"/>
              </w:rPr>
              <w:t>No</w:t>
            </w:r>
            <w:r>
              <w:rPr>
                <w:spacing w:val="-5"/>
                <w:sz w:val="18"/>
              </w:rPr>
              <w:t> </w:t>
            </w:r>
            <w:r>
              <w:rPr>
                <w:sz w:val="18"/>
              </w:rPr>
              <w:t>relationship</w:t>
            </w:r>
            <w:r>
              <w:rPr>
                <w:spacing w:val="-5"/>
                <w:sz w:val="18"/>
              </w:rPr>
              <w:t> </w:t>
            </w:r>
            <w:r>
              <w:rPr>
                <w:sz w:val="18"/>
              </w:rPr>
              <w:t>with</w:t>
            </w:r>
            <w:r>
              <w:rPr>
                <w:spacing w:val="-7"/>
                <w:sz w:val="18"/>
              </w:rPr>
              <w:t> </w:t>
            </w:r>
            <w:r>
              <w:rPr>
                <w:sz w:val="18"/>
              </w:rPr>
              <w:t>sites</w:t>
            </w:r>
            <w:r>
              <w:rPr>
                <w:spacing w:val="-7"/>
                <w:sz w:val="18"/>
              </w:rPr>
              <w:t> </w:t>
            </w:r>
            <w:r>
              <w:rPr>
                <w:sz w:val="18"/>
              </w:rPr>
              <w:t>in</w:t>
            </w:r>
            <w:r>
              <w:rPr>
                <w:spacing w:val="-7"/>
                <w:sz w:val="18"/>
              </w:rPr>
              <w:t> </w:t>
            </w:r>
            <w:r>
              <w:rPr>
                <w:sz w:val="18"/>
              </w:rPr>
              <w:t>Tall</w:t>
            </w:r>
            <w:r>
              <w:rPr>
                <w:spacing w:val="-5"/>
                <w:sz w:val="18"/>
              </w:rPr>
              <w:t> </w:t>
            </w:r>
            <w:r>
              <w:rPr>
                <w:sz w:val="18"/>
              </w:rPr>
              <w:t>Mixed</w:t>
            </w:r>
            <w:r>
              <w:rPr>
                <w:spacing w:val="-1"/>
                <w:sz w:val="18"/>
              </w:rPr>
              <w:t> </w:t>
            </w:r>
            <w:r>
              <w:rPr>
                <w:sz w:val="18"/>
              </w:rPr>
              <w:t>Forest </w:t>
            </w:r>
            <w:r>
              <w:rPr>
                <w:spacing w:val="-2"/>
                <w:sz w:val="18"/>
              </w:rPr>
              <w:t>(Eastern)</w:t>
            </w:r>
          </w:p>
        </w:tc>
      </w:tr>
      <w:tr>
        <w:trPr>
          <w:trHeight w:val="534" w:hRule="atLeast"/>
        </w:trPr>
        <w:tc>
          <w:tcPr>
            <w:tcW w:w="2710" w:type="dxa"/>
            <w:tcBorders>
              <w:top w:val="single" w:sz="4" w:space="0" w:color="004B96"/>
              <w:bottom w:val="single" w:sz="4" w:space="0" w:color="004B96"/>
            </w:tcBorders>
          </w:tcPr>
          <w:p>
            <w:pPr>
              <w:pStyle w:val="TableParagraph"/>
              <w:spacing w:before="59"/>
              <w:ind w:left="122" w:right="199"/>
              <w:rPr>
                <w:sz w:val="18"/>
              </w:rPr>
            </w:pPr>
            <w:r>
              <w:rPr>
                <w:sz w:val="18"/>
              </w:rPr>
              <w:t>Tall</w:t>
            </w:r>
            <w:r>
              <w:rPr>
                <w:spacing w:val="-10"/>
                <w:sz w:val="18"/>
              </w:rPr>
              <w:t> </w:t>
            </w:r>
            <w:r>
              <w:rPr>
                <w:sz w:val="18"/>
              </w:rPr>
              <w:t>Mixed</w:t>
            </w:r>
            <w:r>
              <w:rPr>
                <w:spacing w:val="-10"/>
                <w:sz w:val="18"/>
              </w:rPr>
              <w:t> </w:t>
            </w:r>
            <w:r>
              <w:rPr>
                <w:sz w:val="18"/>
              </w:rPr>
              <w:t>Forest</w:t>
            </w:r>
            <w:r>
              <w:rPr>
                <w:spacing w:val="-9"/>
                <w:sz w:val="18"/>
              </w:rPr>
              <w:t> </w:t>
            </w:r>
            <w:r>
              <w:rPr>
                <w:sz w:val="18"/>
              </w:rPr>
              <w:t>(Eastern)</w:t>
            </w:r>
            <w:r>
              <w:rPr>
                <w:spacing w:val="-9"/>
                <w:sz w:val="18"/>
              </w:rPr>
              <w:t> </w:t>
            </w:r>
            <w:r>
              <w:rPr>
                <w:sz w:val="18"/>
              </w:rPr>
              <w:t>in fox control area</w:t>
            </w:r>
          </w:p>
        </w:tc>
        <w:tc>
          <w:tcPr>
            <w:tcW w:w="1560" w:type="dxa"/>
            <w:tcBorders>
              <w:top w:val="single" w:sz="4" w:space="0" w:color="004B96"/>
              <w:bottom w:val="single" w:sz="4" w:space="0" w:color="004B96"/>
            </w:tcBorders>
            <w:shd w:val="clear" w:color="auto" w:fill="CCDBEA"/>
          </w:tcPr>
          <w:p>
            <w:pPr>
              <w:pStyle w:val="TableParagraph"/>
              <w:spacing w:before="162"/>
              <w:ind w:left="209"/>
              <w:rPr>
                <w:sz w:val="18"/>
              </w:rPr>
            </w:pPr>
            <w:r>
              <w:rPr>
                <w:sz w:val="18"/>
              </w:rPr>
              <w:t>(-10.00,</w:t>
            </w:r>
            <w:r>
              <w:rPr>
                <w:spacing w:val="-6"/>
                <w:sz w:val="18"/>
              </w:rPr>
              <w:t> </w:t>
            </w:r>
            <w:r>
              <w:rPr>
                <w:sz w:val="18"/>
              </w:rPr>
              <w:t>-</w:t>
            </w:r>
            <w:r>
              <w:rPr>
                <w:spacing w:val="-2"/>
                <w:sz w:val="18"/>
              </w:rPr>
              <w:t>4.15)</w:t>
            </w:r>
          </w:p>
        </w:tc>
        <w:tc>
          <w:tcPr>
            <w:tcW w:w="1416" w:type="dxa"/>
            <w:tcBorders>
              <w:top w:val="single" w:sz="4" w:space="0" w:color="004B96"/>
              <w:bottom w:val="single" w:sz="4" w:space="0" w:color="004B96"/>
            </w:tcBorders>
          </w:tcPr>
          <w:p>
            <w:pPr>
              <w:pStyle w:val="TableParagraph"/>
              <w:spacing w:line="207" w:lineRule="exact" w:before="59"/>
              <w:ind w:left="2"/>
              <w:jc w:val="center"/>
              <w:rPr>
                <w:sz w:val="18"/>
              </w:rPr>
            </w:pPr>
            <w:r>
              <w:rPr>
                <w:spacing w:val="-4"/>
                <w:sz w:val="18"/>
              </w:rPr>
              <w:t>0.00</w:t>
            </w:r>
          </w:p>
          <w:p>
            <w:pPr>
              <w:pStyle w:val="TableParagraph"/>
              <w:spacing w:line="207" w:lineRule="exact"/>
              <w:ind w:left="2"/>
              <w:jc w:val="center"/>
              <w:rPr>
                <w:sz w:val="18"/>
              </w:rPr>
            </w:pPr>
            <w:r>
              <w:rPr>
                <w:sz w:val="18"/>
              </w:rPr>
              <w:t>(0.00,</w:t>
            </w:r>
            <w:r>
              <w:rPr>
                <w:spacing w:val="-5"/>
                <w:sz w:val="18"/>
              </w:rPr>
              <w:t> </w:t>
            </w:r>
            <w:r>
              <w:rPr>
                <w:spacing w:val="-2"/>
                <w:sz w:val="18"/>
              </w:rPr>
              <w:t>0.02)</w:t>
            </w:r>
          </w:p>
        </w:tc>
        <w:tc>
          <w:tcPr>
            <w:tcW w:w="4111" w:type="dxa"/>
            <w:tcBorders>
              <w:top w:val="single" w:sz="4" w:space="0" w:color="004B96"/>
              <w:bottom w:val="single" w:sz="4" w:space="0" w:color="004B96"/>
            </w:tcBorders>
            <w:shd w:val="clear" w:color="auto" w:fill="CCDBEA"/>
          </w:tcPr>
          <w:p>
            <w:pPr>
              <w:pStyle w:val="TableParagraph"/>
              <w:spacing w:before="162"/>
              <w:ind w:left="108"/>
              <w:rPr>
                <w:sz w:val="18"/>
              </w:rPr>
            </w:pPr>
            <w:r>
              <w:rPr>
                <w:sz w:val="18"/>
              </w:rPr>
              <w:t>No</w:t>
            </w:r>
            <w:r>
              <w:rPr>
                <w:spacing w:val="-3"/>
                <w:sz w:val="18"/>
              </w:rPr>
              <w:t> </w:t>
            </w:r>
            <w:r>
              <w:rPr>
                <w:sz w:val="18"/>
              </w:rPr>
              <w:t>relationship</w:t>
            </w:r>
            <w:r>
              <w:rPr>
                <w:spacing w:val="-2"/>
                <w:sz w:val="18"/>
              </w:rPr>
              <w:t> </w:t>
            </w:r>
            <w:r>
              <w:rPr>
                <w:sz w:val="18"/>
              </w:rPr>
              <w:t>with</w:t>
            </w:r>
            <w:r>
              <w:rPr>
                <w:spacing w:val="-4"/>
                <w:sz w:val="18"/>
              </w:rPr>
              <w:t> </w:t>
            </w:r>
            <w:r>
              <w:rPr>
                <w:sz w:val="18"/>
              </w:rPr>
              <w:t>EVD</w:t>
            </w:r>
            <w:r>
              <w:rPr>
                <w:spacing w:val="-2"/>
                <w:sz w:val="18"/>
              </w:rPr>
              <w:t> </w:t>
            </w:r>
            <w:r>
              <w:rPr>
                <w:sz w:val="18"/>
              </w:rPr>
              <w:t>and</w:t>
            </w:r>
            <w:r>
              <w:rPr>
                <w:spacing w:val="-5"/>
                <w:sz w:val="18"/>
              </w:rPr>
              <w:t> </w:t>
            </w:r>
            <w:r>
              <w:rPr>
                <w:sz w:val="18"/>
              </w:rPr>
              <w:t>fox</w:t>
            </w:r>
            <w:r>
              <w:rPr>
                <w:spacing w:val="-1"/>
                <w:sz w:val="18"/>
              </w:rPr>
              <w:t> </w:t>
            </w:r>
            <w:r>
              <w:rPr>
                <w:spacing w:val="-2"/>
                <w:sz w:val="18"/>
              </w:rPr>
              <w:t>control</w:t>
            </w:r>
          </w:p>
        </w:tc>
      </w:tr>
      <w:tr>
        <w:trPr>
          <w:trHeight w:val="531" w:hRule="atLeast"/>
        </w:trPr>
        <w:tc>
          <w:tcPr>
            <w:tcW w:w="2710" w:type="dxa"/>
            <w:tcBorders>
              <w:top w:val="single" w:sz="4" w:space="0" w:color="004B96"/>
              <w:bottom w:val="single" w:sz="12" w:space="0" w:color="004B96"/>
            </w:tcBorders>
          </w:tcPr>
          <w:p>
            <w:pPr>
              <w:pStyle w:val="TableParagraph"/>
              <w:spacing w:before="162"/>
              <w:ind w:left="122"/>
              <w:rPr>
                <w:sz w:val="18"/>
              </w:rPr>
            </w:pPr>
            <w:r>
              <w:rPr>
                <w:sz w:val="18"/>
              </w:rPr>
              <w:t>Fox</w:t>
            </w:r>
            <w:r>
              <w:rPr>
                <w:spacing w:val="-2"/>
                <w:sz w:val="18"/>
              </w:rPr>
              <w:t> </w:t>
            </w:r>
            <w:r>
              <w:rPr>
                <w:sz w:val="18"/>
              </w:rPr>
              <w:t>control</w:t>
            </w:r>
            <w:r>
              <w:rPr>
                <w:spacing w:val="-1"/>
                <w:sz w:val="18"/>
              </w:rPr>
              <w:t> </w:t>
            </w:r>
            <w:r>
              <w:rPr>
                <w:spacing w:val="-4"/>
                <w:sz w:val="18"/>
              </w:rPr>
              <w:t>area</w:t>
            </w:r>
          </w:p>
        </w:tc>
        <w:tc>
          <w:tcPr>
            <w:tcW w:w="1560" w:type="dxa"/>
            <w:tcBorders>
              <w:top w:val="single" w:sz="4" w:space="0" w:color="004B96"/>
              <w:bottom w:val="single" w:sz="12" w:space="0" w:color="004B96"/>
            </w:tcBorders>
            <w:shd w:val="clear" w:color="auto" w:fill="CCDBEA"/>
          </w:tcPr>
          <w:p>
            <w:pPr>
              <w:pStyle w:val="TableParagraph"/>
              <w:spacing w:line="207" w:lineRule="exact" w:before="59"/>
              <w:ind w:left="3" w:right="3"/>
              <w:jc w:val="center"/>
              <w:rPr>
                <w:sz w:val="18"/>
              </w:rPr>
            </w:pPr>
            <w:r>
              <w:rPr>
                <w:spacing w:val="-2"/>
                <w:sz w:val="18"/>
              </w:rPr>
              <w:t>-</w:t>
            </w:r>
            <w:r>
              <w:rPr>
                <w:spacing w:val="-4"/>
                <w:sz w:val="18"/>
              </w:rPr>
              <w:t>7.29</w:t>
            </w:r>
          </w:p>
          <w:p>
            <w:pPr>
              <w:pStyle w:val="TableParagraph"/>
              <w:spacing w:line="207" w:lineRule="exact"/>
              <w:ind w:left="5" w:right="3"/>
              <w:jc w:val="center"/>
              <w:rPr>
                <w:sz w:val="18"/>
              </w:rPr>
            </w:pPr>
            <w:r>
              <w:rPr>
                <w:sz w:val="18"/>
              </w:rPr>
              <w:t>(-23.49,</w:t>
            </w:r>
            <w:r>
              <w:rPr>
                <w:spacing w:val="-7"/>
                <w:sz w:val="18"/>
              </w:rPr>
              <w:t> </w:t>
            </w:r>
            <w:r>
              <w:rPr>
                <w:spacing w:val="-2"/>
                <w:sz w:val="18"/>
              </w:rPr>
              <w:t>2.01)</w:t>
            </w:r>
          </w:p>
        </w:tc>
        <w:tc>
          <w:tcPr>
            <w:tcW w:w="1416" w:type="dxa"/>
            <w:tcBorders>
              <w:top w:val="single" w:sz="4" w:space="0" w:color="004B96"/>
              <w:bottom w:val="single" w:sz="12" w:space="0" w:color="004B96"/>
            </w:tcBorders>
          </w:tcPr>
          <w:p>
            <w:pPr>
              <w:pStyle w:val="TableParagraph"/>
              <w:spacing w:line="207" w:lineRule="exact" w:before="59"/>
              <w:ind w:left="2"/>
              <w:jc w:val="center"/>
              <w:rPr>
                <w:sz w:val="18"/>
              </w:rPr>
            </w:pPr>
            <w:r>
              <w:rPr>
                <w:spacing w:val="-4"/>
                <w:sz w:val="18"/>
              </w:rPr>
              <w:t>0.00</w:t>
            </w:r>
          </w:p>
          <w:p>
            <w:pPr>
              <w:pStyle w:val="TableParagraph"/>
              <w:spacing w:line="207" w:lineRule="exact"/>
              <w:ind w:left="2"/>
              <w:jc w:val="center"/>
              <w:rPr>
                <w:sz w:val="18"/>
              </w:rPr>
            </w:pPr>
            <w:r>
              <w:rPr>
                <w:sz w:val="18"/>
              </w:rPr>
              <w:t>(0.00,</w:t>
            </w:r>
            <w:r>
              <w:rPr>
                <w:spacing w:val="-5"/>
                <w:sz w:val="18"/>
              </w:rPr>
              <w:t> </w:t>
            </w:r>
            <w:r>
              <w:rPr>
                <w:spacing w:val="-2"/>
                <w:sz w:val="18"/>
              </w:rPr>
              <w:t>7.47)</w:t>
            </w:r>
          </w:p>
        </w:tc>
        <w:tc>
          <w:tcPr>
            <w:tcW w:w="4111" w:type="dxa"/>
            <w:tcBorders>
              <w:top w:val="single" w:sz="4" w:space="0" w:color="004B96"/>
              <w:bottom w:val="single" w:sz="12" w:space="0" w:color="004B96"/>
            </w:tcBorders>
            <w:shd w:val="clear" w:color="auto" w:fill="CCDBEA"/>
          </w:tcPr>
          <w:p>
            <w:pPr>
              <w:pStyle w:val="TableParagraph"/>
              <w:spacing w:before="162"/>
              <w:ind w:left="108"/>
              <w:rPr>
                <w:sz w:val="18"/>
              </w:rPr>
            </w:pPr>
            <w:r>
              <w:rPr>
                <w:sz w:val="18"/>
              </w:rPr>
              <w:t>No</w:t>
            </w:r>
            <w:r>
              <w:rPr>
                <w:spacing w:val="-4"/>
                <w:sz w:val="18"/>
              </w:rPr>
              <w:t> </w:t>
            </w:r>
            <w:r>
              <w:rPr>
                <w:sz w:val="18"/>
              </w:rPr>
              <w:t>relationship</w:t>
            </w:r>
            <w:r>
              <w:rPr>
                <w:spacing w:val="-4"/>
                <w:sz w:val="18"/>
              </w:rPr>
              <w:t> </w:t>
            </w:r>
            <w:r>
              <w:rPr>
                <w:sz w:val="18"/>
              </w:rPr>
              <w:t>with</w:t>
            </w:r>
            <w:r>
              <w:rPr>
                <w:spacing w:val="-5"/>
                <w:sz w:val="18"/>
              </w:rPr>
              <w:t> </w:t>
            </w:r>
            <w:r>
              <w:rPr>
                <w:sz w:val="18"/>
              </w:rPr>
              <w:t>fox</w:t>
            </w:r>
            <w:r>
              <w:rPr>
                <w:spacing w:val="-3"/>
                <w:sz w:val="18"/>
              </w:rPr>
              <w:t> </w:t>
            </w:r>
            <w:r>
              <w:rPr>
                <w:sz w:val="18"/>
              </w:rPr>
              <w:t>control</w:t>
            </w:r>
            <w:r>
              <w:rPr>
                <w:spacing w:val="-6"/>
                <w:sz w:val="18"/>
              </w:rPr>
              <w:t> </w:t>
            </w:r>
            <w:r>
              <w:rPr>
                <w:spacing w:val="-2"/>
                <w:sz w:val="18"/>
              </w:rPr>
              <w:t>locations</w:t>
            </w:r>
          </w:p>
        </w:tc>
      </w:tr>
      <w:tr>
        <w:trPr>
          <w:trHeight w:val="330" w:hRule="atLeast"/>
        </w:trPr>
        <w:tc>
          <w:tcPr>
            <w:tcW w:w="9797" w:type="dxa"/>
            <w:gridSpan w:val="4"/>
            <w:tcBorders>
              <w:top w:val="single" w:sz="12" w:space="0" w:color="004B96"/>
              <w:bottom w:val="single" w:sz="12" w:space="0" w:color="004B96"/>
            </w:tcBorders>
          </w:tcPr>
          <w:p>
            <w:pPr>
              <w:pStyle w:val="TableParagraph"/>
              <w:spacing w:before="61"/>
              <w:ind w:left="122"/>
              <w:rPr>
                <w:b/>
                <w:sz w:val="18"/>
              </w:rPr>
            </w:pPr>
            <w:r>
              <w:rPr>
                <w:b/>
                <w:sz w:val="18"/>
              </w:rPr>
              <w:t>B:</w:t>
            </w:r>
            <w:r>
              <w:rPr>
                <w:b/>
                <w:spacing w:val="-1"/>
                <w:sz w:val="18"/>
              </w:rPr>
              <w:t> </w:t>
            </w:r>
            <w:r>
              <w:rPr>
                <w:b/>
                <w:sz w:val="18"/>
              </w:rPr>
              <w:t>Local</w:t>
            </w:r>
            <w:r>
              <w:rPr>
                <w:b/>
                <w:spacing w:val="-3"/>
                <w:sz w:val="18"/>
              </w:rPr>
              <w:t> </w:t>
            </w:r>
            <w:r>
              <w:rPr>
                <w:b/>
                <w:spacing w:val="-2"/>
                <w:sz w:val="18"/>
              </w:rPr>
              <w:t>survival</w:t>
            </w:r>
          </w:p>
        </w:tc>
      </w:tr>
      <w:tr>
        <w:trPr>
          <w:trHeight w:val="534" w:hRule="atLeast"/>
        </w:trPr>
        <w:tc>
          <w:tcPr>
            <w:tcW w:w="2710" w:type="dxa"/>
            <w:tcBorders>
              <w:top w:val="single" w:sz="12" w:space="0" w:color="004B96"/>
              <w:bottom w:val="single" w:sz="4" w:space="0" w:color="004B96"/>
            </w:tcBorders>
          </w:tcPr>
          <w:p>
            <w:pPr>
              <w:pStyle w:val="TableParagraph"/>
              <w:spacing w:before="164"/>
              <w:ind w:left="122"/>
              <w:rPr>
                <w:b/>
                <w:sz w:val="18"/>
              </w:rPr>
            </w:pPr>
            <w:r>
              <w:rPr>
                <w:b/>
                <w:sz w:val="18"/>
              </w:rPr>
              <w:t>Distance</w:t>
            </w:r>
            <w:r>
              <w:rPr>
                <w:b/>
                <w:spacing w:val="-6"/>
                <w:sz w:val="18"/>
              </w:rPr>
              <w:t> </w:t>
            </w:r>
            <w:r>
              <w:rPr>
                <w:b/>
                <w:sz w:val="18"/>
              </w:rPr>
              <w:t>to</w:t>
            </w:r>
            <w:r>
              <w:rPr>
                <w:b/>
                <w:spacing w:val="-5"/>
                <w:sz w:val="18"/>
              </w:rPr>
              <w:t> </w:t>
            </w:r>
            <w:r>
              <w:rPr>
                <w:b/>
                <w:spacing w:val="-2"/>
                <w:sz w:val="18"/>
              </w:rPr>
              <w:t>water</w:t>
            </w:r>
          </w:p>
        </w:tc>
        <w:tc>
          <w:tcPr>
            <w:tcW w:w="1560" w:type="dxa"/>
            <w:tcBorders>
              <w:top w:val="single" w:sz="12" w:space="0" w:color="004B96"/>
              <w:bottom w:val="single" w:sz="4" w:space="0" w:color="004B96"/>
            </w:tcBorders>
            <w:shd w:val="clear" w:color="auto" w:fill="CCDBEA"/>
          </w:tcPr>
          <w:p>
            <w:pPr>
              <w:pStyle w:val="TableParagraph"/>
              <w:spacing w:line="207" w:lineRule="exact" w:before="61"/>
              <w:ind w:left="3" w:right="3"/>
              <w:jc w:val="center"/>
              <w:rPr>
                <w:b/>
                <w:sz w:val="18"/>
              </w:rPr>
            </w:pPr>
            <w:r>
              <w:rPr>
                <w:b/>
                <w:spacing w:val="-2"/>
                <w:sz w:val="18"/>
              </w:rPr>
              <w:t>-</w:t>
            </w:r>
            <w:r>
              <w:rPr>
                <w:b/>
                <w:spacing w:val="-4"/>
                <w:sz w:val="18"/>
              </w:rPr>
              <w:t>1.22</w:t>
            </w:r>
          </w:p>
          <w:p>
            <w:pPr>
              <w:pStyle w:val="TableParagraph"/>
              <w:spacing w:line="207" w:lineRule="exact"/>
              <w:ind w:left="6" w:right="3"/>
              <w:jc w:val="center"/>
              <w:rPr>
                <w:b/>
                <w:sz w:val="18"/>
              </w:rPr>
            </w:pPr>
            <w:r>
              <w:rPr>
                <w:b/>
                <w:sz w:val="18"/>
              </w:rPr>
              <w:t>(-2.10,</w:t>
            </w:r>
            <w:r>
              <w:rPr>
                <w:b/>
                <w:spacing w:val="-6"/>
                <w:sz w:val="18"/>
              </w:rPr>
              <w:t> </w:t>
            </w:r>
            <w:r>
              <w:rPr>
                <w:b/>
                <w:sz w:val="18"/>
              </w:rPr>
              <w:t>-</w:t>
            </w:r>
            <w:r>
              <w:rPr>
                <w:b/>
                <w:spacing w:val="-2"/>
                <w:sz w:val="18"/>
              </w:rPr>
              <w:t>0.32)</w:t>
            </w:r>
          </w:p>
        </w:tc>
        <w:tc>
          <w:tcPr>
            <w:tcW w:w="1416" w:type="dxa"/>
            <w:tcBorders>
              <w:top w:val="single" w:sz="12" w:space="0" w:color="004B96"/>
              <w:bottom w:val="single" w:sz="4" w:space="0" w:color="004B96"/>
            </w:tcBorders>
          </w:tcPr>
          <w:p>
            <w:pPr>
              <w:pStyle w:val="TableParagraph"/>
              <w:spacing w:line="207" w:lineRule="exact" w:before="61"/>
              <w:ind w:left="2"/>
              <w:jc w:val="center"/>
              <w:rPr>
                <w:b/>
                <w:sz w:val="18"/>
              </w:rPr>
            </w:pPr>
            <w:r>
              <w:rPr>
                <w:b/>
                <w:spacing w:val="-4"/>
                <w:sz w:val="18"/>
              </w:rPr>
              <w:t>0.30</w:t>
            </w:r>
          </w:p>
          <w:p>
            <w:pPr>
              <w:pStyle w:val="TableParagraph"/>
              <w:spacing w:line="207" w:lineRule="exact"/>
              <w:ind w:left="2"/>
              <w:jc w:val="center"/>
              <w:rPr>
                <w:b/>
                <w:sz w:val="18"/>
              </w:rPr>
            </w:pPr>
            <w:r>
              <w:rPr>
                <w:b/>
                <w:sz w:val="18"/>
              </w:rPr>
              <w:t>(0.12,</w:t>
            </w:r>
            <w:r>
              <w:rPr>
                <w:b/>
                <w:spacing w:val="-5"/>
                <w:sz w:val="18"/>
              </w:rPr>
              <w:t> </w:t>
            </w:r>
            <w:r>
              <w:rPr>
                <w:b/>
                <w:spacing w:val="-2"/>
                <w:sz w:val="18"/>
              </w:rPr>
              <w:t>0.73)</w:t>
            </w:r>
          </w:p>
        </w:tc>
        <w:tc>
          <w:tcPr>
            <w:tcW w:w="4111" w:type="dxa"/>
            <w:tcBorders>
              <w:top w:val="single" w:sz="12" w:space="0" w:color="004B96"/>
              <w:bottom w:val="single" w:sz="4" w:space="0" w:color="004B96"/>
            </w:tcBorders>
            <w:shd w:val="clear" w:color="auto" w:fill="CCDBEA"/>
          </w:tcPr>
          <w:p>
            <w:pPr>
              <w:pStyle w:val="TableParagraph"/>
              <w:spacing w:before="61"/>
              <w:ind w:left="108" w:right="192"/>
              <w:rPr>
                <w:b/>
                <w:sz w:val="18"/>
              </w:rPr>
            </w:pPr>
            <w:r>
              <w:rPr>
                <w:b/>
                <w:sz w:val="18"/>
              </w:rPr>
              <w:t>Local</w:t>
            </w:r>
            <w:r>
              <w:rPr>
                <w:b/>
                <w:spacing w:val="-8"/>
                <w:sz w:val="18"/>
              </w:rPr>
              <w:t> </w:t>
            </w:r>
            <w:r>
              <w:rPr>
                <w:b/>
                <w:sz w:val="18"/>
              </w:rPr>
              <w:t>survival</w:t>
            </w:r>
            <w:r>
              <w:rPr>
                <w:b/>
                <w:spacing w:val="-6"/>
                <w:sz w:val="18"/>
              </w:rPr>
              <w:t> </w:t>
            </w:r>
            <w:r>
              <w:rPr>
                <w:b/>
                <w:sz w:val="18"/>
              </w:rPr>
              <w:t>declines</w:t>
            </w:r>
            <w:r>
              <w:rPr>
                <w:b/>
                <w:spacing w:val="-6"/>
                <w:sz w:val="18"/>
              </w:rPr>
              <w:t> </w:t>
            </w:r>
            <w:r>
              <w:rPr>
                <w:b/>
                <w:sz w:val="18"/>
              </w:rPr>
              <w:t>by</w:t>
            </w:r>
            <w:r>
              <w:rPr>
                <w:b/>
                <w:spacing w:val="-8"/>
                <w:sz w:val="18"/>
              </w:rPr>
              <w:t> </w:t>
            </w:r>
            <w:r>
              <w:rPr>
                <w:b/>
                <w:sz w:val="18"/>
              </w:rPr>
              <w:t>70%</w:t>
            </w:r>
            <w:r>
              <w:rPr>
                <w:b/>
                <w:spacing w:val="-8"/>
                <w:sz w:val="18"/>
              </w:rPr>
              <w:t> </w:t>
            </w:r>
            <w:r>
              <w:rPr>
                <w:b/>
                <w:sz w:val="18"/>
              </w:rPr>
              <w:t>with</w:t>
            </w:r>
            <w:r>
              <w:rPr>
                <w:b/>
                <w:spacing w:val="-6"/>
                <w:sz w:val="18"/>
              </w:rPr>
              <w:t> </w:t>
            </w:r>
            <w:r>
              <w:rPr>
                <w:b/>
                <w:sz w:val="18"/>
              </w:rPr>
              <w:t>every 500 m from water</w:t>
            </w:r>
          </w:p>
        </w:tc>
      </w:tr>
      <w:tr>
        <w:trPr>
          <w:trHeight w:val="535" w:hRule="atLeast"/>
        </w:trPr>
        <w:tc>
          <w:tcPr>
            <w:tcW w:w="2710" w:type="dxa"/>
            <w:tcBorders>
              <w:top w:val="single" w:sz="4" w:space="0" w:color="004B96"/>
              <w:bottom w:val="single" w:sz="4" w:space="0" w:color="004B96"/>
            </w:tcBorders>
          </w:tcPr>
          <w:p>
            <w:pPr>
              <w:pStyle w:val="TableParagraph"/>
              <w:spacing w:before="165"/>
              <w:ind w:left="122"/>
              <w:rPr>
                <w:b/>
                <w:sz w:val="18"/>
              </w:rPr>
            </w:pPr>
            <w:r>
              <w:rPr>
                <w:b/>
                <w:sz w:val="18"/>
              </w:rPr>
              <w:t>Topographic</w:t>
            </w:r>
            <w:r>
              <w:rPr>
                <w:b/>
                <w:spacing w:val="-8"/>
                <w:sz w:val="18"/>
              </w:rPr>
              <w:t> </w:t>
            </w:r>
            <w:r>
              <w:rPr>
                <w:b/>
                <w:sz w:val="18"/>
              </w:rPr>
              <w:t>wetness</w:t>
            </w:r>
            <w:r>
              <w:rPr>
                <w:b/>
                <w:spacing w:val="-4"/>
                <w:sz w:val="18"/>
              </w:rPr>
              <w:t> index</w:t>
            </w:r>
          </w:p>
        </w:tc>
        <w:tc>
          <w:tcPr>
            <w:tcW w:w="1560" w:type="dxa"/>
            <w:tcBorders>
              <w:top w:val="single" w:sz="4" w:space="0" w:color="004B96"/>
              <w:bottom w:val="single" w:sz="4" w:space="0" w:color="004B96"/>
            </w:tcBorders>
            <w:shd w:val="clear" w:color="auto" w:fill="CCDBEA"/>
          </w:tcPr>
          <w:p>
            <w:pPr>
              <w:pStyle w:val="TableParagraph"/>
              <w:spacing w:before="59"/>
              <w:ind w:left="5" w:right="3"/>
              <w:jc w:val="center"/>
              <w:rPr>
                <w:b/>
                <w:sz w:val="18"/>
              </w:rPr>
            </w:pPr>
            <w:r>
              <w:rPr>
                <w:b/>
                <w:spacing w:val="-4"/>
                <w:sz w:val="18"/>
              </w:rPr>
              <w:t>0.81</w:t>
            </w:r>
          </w:p>
          <w:p>
            <w:pPr>
              <w:pStyle w:val="TableParagraph"/>
              <w:spacing w:before="2"/>
              <w:ind w:left="5" w:right="3"/>
              <w:jc w:val="center"/>
              <w:rPr>
                <w:b/>
                <w:sz w:val="18"/>
              </w:rPr>
            </w:pPr>
            <w:r>
              <w:rPr>
                <w:b/>
                <w:sz w:val="18"/>
              </w:rPr>
              <w:t>(0.01,</w:t>
            </w:r>
            <w:r>
              <w:rPr>
                <w:b/>
                <w:spacing w:val="-5"/>
                <w:sz w:val="18"/>
              </w:rPr>
              <w:t> </w:t>
            </w:r>
            <w:r>
              <w:rPr>
                <w:b/>
                <w:spacing w:val="-2"/>
                <w:sz w:val="18"/>
              </w:rPr>
              <w:t>1.62)</w:t>
            </w:r>
          </w:p>
        </w:tc>
        <w:tc>
          <w:tcPr>
            <w:tcW w:w="1416" w:type="dxa"/>
            <w:tcBorders>
              <w:top w:val="single" w:sz="4" w:space="0" w:color="004B96"/>
              <w:bottom w:val="single" w:sz="4" w:space="0" w:color="004B96"/>
            </w:tcBorders>
          </w:tcPr>
          <w:p>
            <w:pPr>
              <w:pStyle w:val="TableParagraph"/>
              <w:spacing w:before="59"/>
              <w:ind w:left="2"/>
              <w:jc w:val="center"/>
              <w:rPr>
                <w:b/>
                <w:sz w:val="18"/>
              </w:rPr>
            </w:pPr>
            <w:r>
              <w:rPr>
                <w:b/>
                <w:spacing w:val="-4"/>
                <w:sz w:val="18"/>
              </w:rPr>
              <w:t>2.25</w:t>
            </w:r>
          </w:p>
          <w:p>
            <w:pPr>
              <w:pStyle w:val="TableParagraph"/>
              <w:spacing w:before="2"/>
              <w:ind w:left="2"/>
              <w:jc w:val="center"/>
              <w:rPr>
                <w:b/>
                <w:sz w:val="18"/>
              </w:rPr>
            </w:pPr>
            <w:r>
              <w:rPr>
                <w:b/>
                <w:sz w:val="18"/>
              </w:rPr>
              <w:t>(1.01,</w:t>
            </w:r>
            <w:r>
              <w:rPr>
                <w:b/>
                <w:spacing w:val="-5"/>
                <w:sz w:val="18"/>
              </w:rPr>
              <w:t> </w:t>
            </w:r>
            <w:r>
              <w:rPr>
                <w:b/>
                <w:spacing w:val="-2"/>
                <w:sz w:val="18"/>
              </w:rPr>
              <w:t>5.05)</w:t>
            </w:r>
          </w:p>
        </w:tc>
        <w:tc>
          <w:tcPr>
            <w:tcW w:w="4111" w:type="dxa"/>
            <w:tcBorders>
              <w:top w:val="single" w:sz="4" w:space="0" w:color="004B96"/>
              <w:bottom w:val="single" w:sz="4" w:space="0" w:color="004B96"/>
            </w:tcBorders>
            <w:shd w:val="clear" w:color="auto" w:fill="CCDBEA"/>
          </w:tcPr>
          <w:p>
            <w:pPr>
              <w:pStyle w:val="TableParagraph"/>
              <w:spacing w:before="59"/>
              <w:ind w:left="108"/>
              <w:rPr>
                <w:b/>
                <w:sz w:val="18"/>
              </w:rPr>
            </w:pPr>
            <w:r>
              <w:rPr>
                <w:b/>
                <w:sz w:val="18"/>
              </w:rPr>
              <w:t>With</w:t>
            </w:r>
            <w:r>
              <w:rPr>
                <w:b/>
                <w:spacing w:val="-4"/>
                <w:sz w:val="18"/>
              </w:rPr>
              <w:t> </w:t>
            </w:r>
            <w:r>
              <w:rPr>
                <w:b/>
                <w:sz w:val="18"/>
              </w:rPr>
              <w:t>every</w:t>
            </w:r>
            <w:r>
              <w:rPr>
                <w:b/>
                <w:spacing w:val="-4"/>
                <w:sz w:val="18"/>
              </w:rPr>
              <w:t> </w:t>
            </w:r>
            <w:r>
              <w:rPr>
                <w:b/>
                <w:sz w:val="18"/>
              </w:rPr>
              <w:t>2</w:t>
            </w:r>
            <w:r>
              <w:rPr>
                <w:b/>
                <w:spacing w:val="-4"/>
                <w:sz w:val="18"/>
              </w:rPr>
              <w:t> </w:t>
            </w:r>
            <w:r>
              <w:rPr>
                <w:b/>
                <w:sz w:val="18"/>
              </w:rPr>
              <w:t>units</w:t>
            </w:r>
            <w:r>
              <w:rPr>
                <w:b/>
                <w:spacing w:val="-4"/>
                <w:sz w:val="18"/>
              </w:rPr>
              <w:t> </w:t>
            </w:r>
            <w:r>
              <w:rPr>
                <w:b/>
                <w:sz w:val="18"/>
              </w:rPr>
              <w:t>of</w:t>
            </w:r>
            <w:r>
              <w:rPr>
                <w:b/>
                <w:spacing w:val="-7"/>
                <w:sz w:val="18"/>
              </w:rPr>
              <w:t> </w:t>
            </w:r>
            <w:r>
              <w:rPr>
                <w:b/>
                <w:sz w:val="18"/>
              </w:rPr>
              <w:t>TWI</w:t>
            </w:r>
            <w:r>
              <w:rPr>
                <w:b/>
                <w:spacing w:val="-4"/>
                <w:sz w:val="18"/>
              </w:rPr>
              <w:t> </w:t>
            </w:r>
            <w:r>
              <w:rPr>
                <w:b/>
                <w:sz w:val="18"/>
              </w:rPr>
              <w:t>there</w:t>
            </w:r>
            <w:r>
              <w:rPr>
                <w:b/>
                <w:spacing w:val="-4"/>
                <w:sz w:val="18"/>
              </w:rPr>
              <w:t> </w:t>
            </w:r>
            <w:r>
              <w:rPr>
                <w:b/>
                <w:sz w:val="18"/>
              </w:rPr>
              <w:t>is</w:t>
            </w:r>
            <w:r>
              <w:rPr>
                <w:b/>
                <w:spacing w:val="-4"/>
                <w:sz w:val="18"/>
              </w:rPr>
              <w:t> </w:t>
            </w:r>
            <w:r>
              <w:rPr>
                <w:b/>
                <w:sz w:val="18"/>
              </w:rPr>
              <w:t>a</w:t>
            </w:r>
            <w:r>
              <w:rPr>
                <w:b/>
                <w:spacing w:val="-6"/>
                <w:sz w:val="18"/>
              </w:rPr>
              <w:t> </w:t>
            </w:r>
            <w:r>
              <w:rPr>
                <w:b/>
                <w:sz w:val="18"/>
              </w:rPr>
              <w:t>2.25-fold increase in local survival</w:t>
            </w:r>
          </w:p>
        </w:tc>
      </w:tr>
      <w:tr>
        <w:trPr>
          <w:trHeight w:val="534" w:hRule="atLeast"/>
        </w:trPr>
        <w:tc>
          <w:tcPr>
            <w:tcW w:w="2710" w:type="dxa"/>
            <w:tcBorders>
              <w:top w:val="single" w:sz="4" w:space="0" w:color="004B96"/>
              <w:bottom w:val="single" w:sz="4" w:space="0" w:color="004B96"/>
            </w:tcBorders>
          </w:tcPr>
          <w:p>
            <w:pPr>
              <w:pStyle w:val="TableParagraph"/>
              <w:spacing w:before="162"/>
              <w:ind w:left="122"/>
              <w:rPr>
                <w:sz w:val="18"/>
              </w:rPr>
            </w:pPr>
            <w:r>
              <w:rPr>
                <w:sz w:val="18"/>
              </w:rPr>
              <w:t>Tall</w:t>
            </w:r>
            <w:r>
              <w:rPr>
                <w:spacing w:val="-4"/>
                <w:sz w:val="18"/>
              </w:rPr>
              <w:t> </w:t>
            </w:r>
            <w:r>
              <w:rPr>
                <w:sz w:val="18"/>
              </w:rPr>
              <w:t>Mixed</w:t>
            </w:r>
            <w:r>
              <w:rPr>
                <w:spacing w:val="-3"/>
                <w:sz w:val="18"/>
              </w:rPr>
              <w:t> </w:t>
            </w:r>
            <w:r>
              <w:rPr>
                <w:sz w:val="18"/>
              </w:rPr>
              <w:t>Forest</w:t>
            </w:r>
            <w:r>
              <w:rPr>
                <w:spacing w:val="-1"/>
                <w:sz w:val="18"/>
              </w:rPr>
              <w:t> </w:t>
            </w:r>
            <w:r>
              <w:rPr>
                <w:spacing w:val="-2"/>
                <w:sz w:val="18"/>
              </w:rPr>
              <w:t>(Eastern)</w:t>
            </w:r>
          </w:p>
        </w:tc>
        <w:tc>
          <w:tcPr>
            <w:tcW w:w="1560" w:type="dxa"/>
            <w:tcBorders>
              <w:top w:val="single" w:sz="4" w:space="0" w:color="004B96"/>
              <w:bottom w:val="single" w:sz="4" w:space="0" w:color="004B96"/>
            </w:tcBorders>
            <w:shd w:val="clear" w:color="auto" w:fill="CCDBEA"/>
          </w:tcPr>
          <w:p>
            <w:pPr>
              <w:pStyle w:val="TableParagraph"/>
              <w:spacing w:line="207" w:lineRule="exact" w:before="59"/>
              <w:ind w:left="3" w:right="3"/>
              <w:jc w:val="center"/>
              <w:rPr>
                <w:sz w:val="18"/>
              </w:rPr>
            </w:pPr>
            <w:r>
              <w:rPr>
                <w:spacing w:val="-2"/>
                <w:sz w:val="18"/>
              </w:rPr>
              <w:t>-</w:t>
            </w:r>
            <w:r>
              <w:rPr>
                <w:spacing w:val="-4"/>
                <w:sz w:val="18"/>
              </w:rPr>
              <w:t>0.32</w:t>
            </w:r>
          </w:p>
          <w:p>
            <w:pPr>
              <w:pStyle w:val="TableParagraph"/>
              <w:spacing w:line="207" w:lineRule="exact"/>
              <w:ind w:left="3" w:right="3"/>
              <w:jc w:val="center"/>
              <w:rPr>
                <w:sz w:val="18"/>
              </w:rPr>
            </w:pPr>
            <w:r>
              <w:rPr>
                <w:sz w:val="18"/>
              </w:rPr>
              <w:t>(-2.10,</w:t>
            </w:r>
            <w:r>
              <w:rPr>
                <w:spacing w:val="-6"/>
                <w:sz w:val="18"/>
              </w:rPr>
              <w:t> </w:t>
            </w:r>
            <w:r>
              <w:rPr>
                <w:spacing w:val="-2"/>
                <w:sz w:val="18"/>
              </w:rPr>
              <w:t>1.56)</w:t>
            </w:r>
          </w:p>
        </w:tc>
        <w:tc>
          <w:tcPr>
            <w:tcW w:w="1416" w:type="dxa"/>
            <w:tcBorders>
              <w:top w:val="single" w:sz="4" w:space="0" w:color="004B96"/>
              <w:bottom w:val="single" w:sz="4" w:space="0" w:color="004B96"/>
            </w:tcBorders>
          </w:tcPr>
          <w:p>
            <w:pPr>
              <w:pStyle w:val="TableParagraph"/>
              <w:spacing w:line="207" w:lineRule="exact" w:before="59"/>
              <w:ind w:left="2"/>
              <w:jc w:val="center"/>
              <w:rPr>
                <w:sz w:val="18"/>
              </w:rPr>
            </w:pPr>
            <w:r>
              <w:rPr>
                <w:spacing w:val="-4"/>
                <w:sz w:val="18"/>
              </w:rPr>
              <w:t>0.73</w:t>
            </w:r>
          </w:p>
          <w:p>
            <w:pPr>
              <w:pStyle w:val="TableParagraph"/>
              <w:spacing w:line="207" w:lineRule="exact"/>
              <w:ind w:left="2"/>
              <w:jc w:val="center"/>
              <w:rPr>
                <w:sz w:val="18"/>
              </w:rPr>
            </w:pPr>
            <w:r>
              <w:rPr>
                <w:sz w:val="18"/>
              </w:rPr>
              <w:t>(0.12,</w:t>
            </w:r>
            <w:r>
              <w:rPr>
                <w:spacing w:val="-5"/>
                <w:sz w:val="18"/>
              </w:rPr>
              <w:t> </w:t>
            </w:r>
            <w:r>
              <w:rPr>
                <w:spacing w:val="-2"/>
                <w:sz w:val="18"/>
              </w:rPr>
              <w:t>4.76)</w:t>
            </w:r>
          </w:p>
        </w:tc>
        <w:tc>
          <w:tcPr>
            <w:tcW w:w="4111" w:type="dxa"/>
            <w:tcBorders>
              <w:top w:val="single" w:sz="4" w:space="0" w:color="004B96"/>
              <w:bottom w:val="single" w:sz="4" w:space="0" w:color="004B96"/>
            </w:tcBorders>
            <w:shd w:val="clear" w:color="auto" w:fill="CCDBEA"/>
          </w:tcPr>
          <w:p>
            <w:pPr>
              <w:pStyle w:val="TableParagraph"/>
              <w:spacing w:before="162"/>
              <w:ind w:left="108"/>
              <w:rPr>
                <w:sz w:val="18"/>
              </w:rPr>
            </w:pPr>
            <w:r>
              <w:rPr>
                <w:sz w:val="18"/>
              </w:rPr>
              <w:t>No</w:t>
            </w:r>
            <w:r>
              <w:rPr>
                <w:spacing w:val="-4"/>
                <w:sz w:val="18"/>
              </w:rPr>
              <w:t> </w:t>
            </w:r>
            <w:r>
              <w:rPr>
                <w:sz w:val="18"/>
              </w:rPr>
              <w:t>relationship</w:t>
            </w:r>
            <w:r>
              <w:rPr>
                <w:spacing w:val="-3"/>
                <w:sz w:val="18"/>
              </w:rPr>
              <w:t> </w:t>
            </w:r>
            <w:r>
              <w:rPr>
                <w:sz w:val="18"/>
              </w:rPr>
              <w:t>with</w:t>
            </w:r>
            <w:r>
              <w:rPr>
                <w:spacing w:val="-5"/>
                <w:sz w:val="18"/>
              </w:rPr>
              <w:t> </w:t>
            </w:r>
            <w:r>
              <w:rPr>
                <w:sz w:val="18"/>
              </w:rPr>
              <w:t>Tall</w:t>
            </w:r>
            <w:r>
              <w:rPr>
                <w:spacing w:val="-3"/>
                <w:sz w:val="18"/>
              </w:rPr>
              <w:t> </w:t>
            </w:r>
            <w:r>
              <w:rPr>
                <w:sz w:val="18"/>
              </w:rPr>
              <w:t>Mixed</w:t>
            </w:r>
            <w:r>
              <w:rPr>
                <w:spacing w:val="-6"/>
                <w:sz w:val="18"/>
              </w:rPr>
              <w:t> </w:t>
            </w:r>
            <w:r>
              <w:rPr>
                <w:sz w:val="18"/>
              </w:rPr>
              <w:t>Forest</w:t>
            </w:r>
            <w:r>
              <w:rPr>
                <w:spacing w:val="-3"/>
                <w:sz w:val="18"/>
              </w:rPr>
              <w:t> </w:t>
            </w:r>
            <w:r>
              <w:rPr>
                <w:spacing w:val="-2"/>
                <w:sz w:val="18"/>
              </w:rPr>
              <w:t>(Eastern)</w:t>
            </w:r>
          </w:p>
        </w:tc>
      </w:tr>
      <w:tr>
        <w:trPr>
          <w:trHeight w:val="532" w:hRule="atLeast"/>
        </w:trPr>
        <w:tc>
          <w:tcPr>
            <w:tcW w:w="2710" w:type="dxa"/>
            <w:tcBorders>
              <w:top w:val="single" w:sz="4" w:space="0" w:color="004B96"/>
              <w:bottom w:val="single" w:sz="4" w:space="0" w:color="004B96"/>
            </w:tcBorders>
          </w:tcPr>
          <w:p>
            <w:pPr>
              <w:pStyle w:val="TableParagraph"/>
              <w:spacing w:before="162"/>
              <w:ind w:left="122"/>
              <w:rPr>
                <w:sz w:val="18"/>
              </w:rPr>
            </w:pPr>
            <w:r>
              <w:rPr>
                <w:spacing w:val="-2"/>
                <w:sz w:val="18"/>
              </w:rPr>
              <w:t>Time-since-</w:t>
            </w:r>
            <w:r>
              <w:rPr>
                <w:spacing w:val="-4"/>
                <w:sz w:val="18"/>
              </w:rPr>
              <w:t>fire</w:t>
            </w:r>
          </w:p>
        </w:tc>
        <w:tc>
          <w:tcPr>
            <w:tcW w:w="1560" w:type="dxa"/>
            <w:tcBorders>
              <w:top w:val="single" w:sz="4" w:space="0" w:color="004B96"/>
              <w:bottom w:val="single" w:sz="4" w:space="0" w:color="004B96"/>
            </w:tcBorders>
            <w:shd w:val="clear" w:color="auto" w:fill="CCDBEA"/>
          </w:tcPr>
          <w:p>
            <w:pPr>
              <w:pStyle w:val="TableParagraph"/>
              <w:spacing w:line="207" w:lineRule="exact" w:before="59"/>
              <w:ind w:left="5" w:right="3"/>
              <w:jc w:val="center"/>
              <w:rPr>
                <w:sz w:val="18"/>
              </w:rPr>
            </w:pPr>
            <w:r>
              <w:rPr>
                <w:spacing w:val="-4"/>
                <w:sz w:val="18"/>
              </w:rPr>
              <w:t>0.33</w:t>
            </w:r>
          </w:p>
          <w:p>
            <w:pPr>
              <w:pStyle w:val="TableParagraph"/>
              <w:spacing w:line="207" w:lineRule="exact"/>
              <w:ind w:left="3" w:right="3"/>
              <w:jc w:val="center"/>
              <w:rPr>
                <w:sz w:val="18"/>
              </w:rPr>
            </w:pPr>
            <w:r>
              <w:rPr>
                <w:sz w:val="18"/>
              </w:rPr>
              <w:t>(-0.23,</w:t>
            </w:r>
            <w:r>
              <w:rPr>
                <w:spacing w:val="-6"/>
                <w:sz w:val="18"/>
              </w:rPr>
              <w:t> </w:t>
            </w:r>
            <w:r>
              <w:rPr>
                <w:spacing w:val="-2"/>
                <w:sz w:val="18"/>
              </w:rPr>
              <w:t>0.86)</w:t>
            </w:r>
          </w:p>
        </w:tc>
        <w:tc>
          <w:tcPr>
            <w:tcW w:w="1416" w:type="dxa"/>
            <w:tcBorders>
              <w:top w:val="single" w:sz="4" w:space="0" w:color="004B96"/>
              <w:bottom w:val="single" w:sz="4" w:space="0" w:color="004B96"/>
            </w:tcBorders>
          </w:tcPr>
          <w:p>
            <w:pPr>
              <w:pStyle w:val="TableParagraph"/>
              <w:spacing w:line="207" w:lineRule="exact" w:before="59"/>
              <w:ind w:left="2"/>
              <w:jc w:val="center"/>
              <w:rPr>
                <w:sz w:val="18"/>
              </w:rPr>
            </w:pPr>
            <w:r>
              <w:rPr>
                <w:spacing w:val="-4"/>
                <w:sz w:val="18"/>
              </w:rPr>
              <w:t>1.39</w:t>
            </w:r>
          </w:p>
          <w:p>
            <w:pPr>
              <w:pStyle w:val="TableParagraph"/>
              <w:spacing w:line="207" w:lineRule="exact"/>
              <w:ind w:left="2"/>
              <w:jc w:val="center"/>
              <w:rPr>
                <w:sz w:val="18"/>
              </w:rPr>
            </w:pPr>
            <w:r>
              <w:rPr>
                <w:sz w:val="18"/>
              </w:rPr>
              <w:t>(0.79,</w:t>
            </w:r>
            <w:r>
              <w:rPr>
                <w:spacing w:val="-5"/>
                <w:sz w:val="18"/>
              </w:rPr>
              <w:t> </w:t>
            </w:r>
            <w:r>
              <w:rPr>
                <w:spacing w:val="-2"/>
                <w:sz w:val="18"/>
              </w:rPr>
              <w:t>2.36)</w:t>
            </w:r>
          </w:p>
        </w:tc>
        <w:tc>
          <w:tcPr>
            <w:tcW w:w="4111" w:type="dxa"/>
            <w:tcBorders>
              <w:top w:val="single" w:sz="4" w:space="0" w:color="004B96"/>
              <w:bottom w:val="single" w:sz="4" w:space="0" w:color="004B96"/>
            </w:tcBorders>
            <w:shd w:val="clear" w:color="auto" w:fill="CCDBEA"/>
          </w:tcPr>
          <w:p>
            <w:pPr>
              <w:pStyle w:val="TableParagraph"/>
              <w:spacing w:before="162"/>
              <w:ind w:left="108"/>
              <w:rPr>
                <w:sz w:val="18"/>
              </w:rPr>
            </w:pPr>
            <w:r>
              <w:rPr>
                <w:sz w:val="18"/>
              </w:rPr>
              <w:t>No</w:t>
            </w:r>
            <w:r>
              <w:rPr>
                <w:spacing w:val="-5"/>
                <w:sz w:val="18"/>
              </w:rPr>
              <w:t> </w:t>
            </w:r>
            <w:r>
              <w:rPr>
                <w:sz w:val="18"/>
              </w:rPr>
              <w:t>relationship</w:t>
            </w:r>
            <w:r>
              <w:rPr>
                <w:spacing w:val="-5"/>
                <w:sz w:val="18"/>
              </w:rPr>
              <w:t> </w:t>
            </w:r>
            <w:r>
              <w:rPr>
                <w:sz w:val="18"/>
              </w:rPr>
              <w:t>with</w:t>
            </w:r>
            <w:r>
              <w:rPr>
                <w:spacing w:val="-7"/>
                <w:sz w:val="18"/>
              </w:rPr>
              <w:t> </w:t>
            </w:r>
            <w:r>
              <w:rPr>
                <w:sz w:val="18"/>
              </w:rPr>
              <w:t>time-since-</w:t>
            </w:r>
            <w:r>
              <w:rPr>
                <w:spacing w:val="-4"/>
                <w:sz w:val="18"/>
              </w:rPr>
              <w:t>fire</w:t>
            </w:r>
          </w:p>
        </w:tc>
      </w:tr>
      <w:tr>
        <w:trPr>
          <w:trHeight w:val="741" w:hRule="atLeast"/>
        </w:trPr>
        <w:tc>
          <w:tcPr>
            <w:tcW w:w="2710" w:type="dxa"/>
            <w:tcBorders>
              <w:top w:val="single" w:sz="4" w:space="0" w:color="004B96"/>
              <w:bottom w:val="single" w:sz="4" w:space="0" w:color="004B96"/>
            </w:tcBorders>
          </w:tcPr>
          <w:p>
            <w:pPr>
              <w:pStyle w:val="TableParagraph"/>
              <w:spacing w:before="164"/>
              <w:ind w:left="122" w:right="199"/>
              <w:rPr>
                <w:b/>
                <w:sz w:val="18"/>
              </w:rPr>
            </w:pPr>
            <w:r>
              <w:rPr>
                <w:b/>
                <w:sz w:val="18"/>
              </w:rPr>
              <w:t>Distance</w:t>
            </w:r>
            <w:r>
              <w:rPr>
                <w:b/>
                <w:spacing w:val="-10"/>
                <w:sz w:val="18"/>
              </w:rPr>
              <w:t> </w:t>
            </w:r>
            <w:r>
              <w:rPr>
                <w:b/>
                <w:sz w:val="18"/>
              </w:rPr>
              <w:t>to</w:t>
            </w:r>
            <w:r>
              <w:rPr>
                <w:b/>
                <w:spacing w:val="-10"/>
                <w:sz w:val="18"/>
              </w:rPr>
              <w:t> </w:t>
            </w:r>
            <w:r>
              <w:rPr>
                <w:b/>
                <w:sz w:val="18"/>
              </w:rPr>
              <w:t>water</w:t>
            </w:r>
            <w:r>
              <w:rPr>
                <w:b/>
                <w:spacing w:val="-8"/>
                <w:sz w:val="18"/>
              </w:rPr>
              <w:t> </w:t>
            </w:r>
            <w:r>
              <w:rPr>
                <w:b/>
                <w:sz w:val="18"/>
              </w:rPr>
              <w:t>in</w:t>
            </w:r>
            <w:r>
              <w:rPr>
                <w:b/>
                <w:spacing w:val="-10"/>
                <w:sz w:val="18"/>
              </w:rPr>
              <w:t> </w:t>
            </w:r>
            <w:r>
              <w:rPr>
                <w:b/>
                <w:sz w:val="18"/>
              </w:rPr>
              <w:t>fox control area</w:t>
            </w:r>
          </w:p>
        </w:tc>
        <w:tc>
          <w:tcPr>
            <w:tcW w:w="1560" w:type="dxa"/>
            <w:tcBorders>
              <w:top w:val="single" w:sz="4" w:space="0" w:color="004B96"/>
              <w:bottom w:val="single" w:sz="4" w:space="0" w:color="004B96"/>
            </w:tcBorders>
            <w:shd w:val="clear" w:color="auto" w:fill="CCDBEA"/>
          </w:tcPr>
          <w:p>
            <w:pPr>
              <w:pStyle w:val="TableParagraph"/>
              <w:spacing w:line="207" w:lineRule="exact" w:before="164"/>
              <w:ind w:left="5" w:right="3"/>
              <w:jc w:val="center"/>
              <w:rPr>
                <w:b/>
                <w:sz w:val="18"/>
              </w:rPr>
            </w:pPr>
            <w:r>
              <w:rPr>
                <w:b/>
                <w:spacing w:val="-4"/>
                <w:sz w:val="18"/>
              </w:rPr>
              <w:t>1.07</w:t>
            </w:r>
          </w:p>
          <w:p>
            <w:pPr>
              <w:pStyle w:val="TableParagraph"/>
              <w:spacing w:line="207" w:lineRule="exact"/>
              <w:ind w:left="5" w:right="3"/>
              <w:jc w:val="center"/>
              <w:rPr>
                <w:b/>
                <w:sz w:val="18"/>
              </w:rPr>
            </w:pPr>
            <w:r>
              <w:rPr>
                <w:b/>
                <w:sz w:val="18"/>
              </w:rPr>
              <w:t>(0.18,</w:t>
            </w:r>
            <w:r>
              <w:rPr>
                <w:b/>
                <w:spacing w:val="-5"/>
                <w:sz w:val="18"/>
              </w:rPr>
              <w:t> </w:t>
            </w:r>
            <w:r>
              <w:rPr>
                <w:b/>
                <w:spacing w:val="-2"/>
                <w:sz w:val="18"/>
              </w:rPr>
              <w:t>2.05)</w:t>
            </w:r>
          </w:p>
        </w:tc>
        <w:tc>
          <w:tcPr>
            <w:tcW w:w="1416" w:type="dxa"/>
            <w:tcBorders>
              <w:top w:val="single" w:sz="4" w:space="0" w:color="004B96"/>
              <w:bottom w:val="single" w:sz="4" w:space="0" w:color="004B96"/>
            </w:tcBorders>
          </w:tcPr>
          <w:p>
            <w:pPr>
              <w:pStyle w:val="TableParagraph"/>
              <w:spacing w:line="207" w:lineRule="exact" w:before="164"/>
              <w:ind w:left="2"/>
              <w:jc w:val="center"/>
              <w:rPr>
                <w:b/>
                <w:sz w:val="18"/>
              </w:rPr>
            </w:pPr>
            <w:r>
              <w:rPr>
                <w:b/>
                <w:spacing w:val="-4"/>
                <w:sz w:val="18"/>
              </w:rPr>
              <w:t>2.92</w:t>
            </w:r>
          </w:p>
          <w:p>
            <w:pPr>
              <w:pStyle w:val="TableParagraph"/>
              <w:spacing w:line="207" w:lineRule="exact"/>
              <w:ind w:left="2"/>
              <w:jc w:val="center"/>
              <w:rPr>
                <w:b/>
                <w:sz w:val="18"/>
              </w:rPr>
            </w:pPr>
            <w:r>
              <w:rPr>
                <w:b/>
                <w:sz w:val="18"/>
              </w:rPr>
              <w:t>(1.20,</w:t>
            </w:r>
            <w:r>
              <w:rPr>
                <w:b/>
                <w:spacing w:val="-5"/>
                <w:sz w:val="18"/>
              </w:rPr>
              <w:t> </w:t>
            </w:r>
            <w:r>
              <w:rPr>
                <w:b/>
                <w:spacing w:val="-2"/>
                <w:sz w:val="18"/>
              </w:rPr>
              <w:t>7.77)</w:t>
            </w:r>
          </w:p>
        </w:tc>
        <w:tc>
          <w:tcPr>
            <w:tcW w:w="4111" w:type="dxa"/>
            <w:tcBorders>
              <w:top w:val="single" w:sz="4" w:space="0" w:color="004B96"/>
              <w:bottom w:val="single" w:sz="4" w:space="0" w:color="004B96"/>
            </w:tcBorders>
            <w:shd w:val="clear" w:color="auto" w:fill="CCDBEA"/>
          </w:tcPr>
          <w:p>
            <w:pPr>
              <w:pStyle w:val="TableParagraph"/>
              <w:spacing w:before="59"/>
              <w:ind w:left="108" w:right="288"/>
              <w:jc w:val="both"/>
              <w:rPr>
                <w:b/>
                <w:sz w:val="18"/>
              </w:rPr>
            </w:pPr>
            <w:r>
              <w:rPr>
                <w:b/>
                <w:sz w:val="18"/>
              </w:rPr>
              <w:t>Nearly</w:t>
            </w:r>
            <w:r>
              <w:rPr>
                <w:b/>
                <w:spacing w:val="-1"/>
                <w:sz w:val="18"/>
              </w:rPr>
              <w:t> </w:t>
            </w:r>
            <w:r>
              <w:rPr>
                <w:b/>
                <w:sz w:val="18"/>
              </w:rPr>
              <w:t>3-fold</w:t>
            </w:r>
            <w:r>
              <w:rPr>
                <w:b/>
                <w:spacing w:val="-1"/>
                <w:sz w:val="18"/>
              </w:rPr>
              <w:t> </w:t>
            </w:r>
            <w:r>
              <w:rPr>
                <w:b/>
                <w:sz w:val="18"/>
              </w:rPr>
              <w:t>increase</w:t>
            </w:r>
            <w:r>
              <w:rPr>
                <w:b/>
                <w:spacing w:val="-3"/>
                <w:sz w:val="18"/>
              </w:rPr>
              <w:t> </w:t>
            </w:r>
            <w:r>
              <w:rPr>
                <w:b/>
                <w:sz w:val="18"/>
              </w:rPr>
              <w:t>in</w:t>
            </w:r>
            <w:r>
              <w:rPr>
                <w:b/>
                <w:spacing w:val="-1"/>
                <w:sz w:val="18"/>
              </w:rPr>
              <w:t> </w:t>
            </w:r>
            <w:r>
              <w:rPr>
                <w:b/>
                <w:sz w:val="18"/>
              </w:rPr>
              <w:t>local</w:t>
            </w:r>
            <w:r>
              <w:rPr>
                <w:b/>
                <w:spacing w:val="-1"/>
                <w:sz w:val="18"/>
              </w:rPr>
              <w:t> </w:t>
            </w:r>
            <w:r>
              <w:rPr>
                <w:b/>
                <w:sz w:val="18"/>
              </w:rPr>
              <w:t>survival</w:t>
            </w:r>
            <w:r>
              <w:rPr>
                <w:b/>
                <w:spacing w:val="-3"/>
                <w:sz w:val="18"/>
              </w:rPr>
              <w:t> </w:t>
            </w:r>
            <w:r>
              <w:rPr>
                <w:b/>
                <w:sz w:val="18"/>
              </w:rPr>
              <w:t>with every</w:t>
            </w:r>
            <w:r>
              <w:rPr>
                <w:b/>
                <w:spacing w:val="-5"/>
                <w:sz w:val="18"/>
              </w:rPr>
              <w:t> </w:t>
            </w:r>
            <w:r>
              <w:rPr>
                <w:b/>
                <w:sz w:val="18"/>
              </w:rPr>
              <w:t>500</w:t>
            </w:r>
            <w:r>
              <w:rPr>
                <w:b/>
                <w:spacing w:val="-4"/>
                <w:sz w:val="18"/>
              </w:rPr>
              <w:t> </w:t>
            </w:r>
            <w:r>
              <w:rPr>
                <w:b/>
                <w:sz w:val="18"/>
              </w:rPr>
              <w:t>m</w:t>
            </w:r>
            <w:r>
              <w:rPr>
                <w:b/>
                <w:spacing w:val="-6"/>
                <w:sz w:val="18"/>
              </w:rPr>
              <w:t> </w:t>
            </w:r>
            <w:r>
              <w:rPr>
                <w:b/>
                <w:sz w:val="18"/>
              </w:rPr>
              <w:t>from</w:t>
            </w:r>
            <w:r>
              <w:rPr>
                <w:b/>
                <w:spacing w:val="-5"/>
                <w:sz w:val="18"/>
              </w:rPr>
              <w:t> </w:t>
            </w:r>
            <w:r>
              <w:rPr>
                <w:b/>
                <w:sz w:val="18"/>
              </w:rPr>
              <w:t>water</w:t>
            </w:r>
            <w:r>
              <w:rPr>
                <w:b/>
                <w:spacing w:val="-4"/>
                <w:sz w:val="18"/>
              </w:rPr>
              <w:t> </w:t>
            </w:r>
            <w:r>
              <w:rPr>
                <w:b/>
                <w:sz w:val="18"/>
              </w:rPr>
              <w:t>in</w:t>
            </w:r>
            <w:r>
              <w:rPr>
                <w:b/>
                <w:spacing w:val="-4"/>
                <w:sz w:val="18"/>
              </w:rPr>
              <w:t> </w:t>
            </w:r>
            <w:r>
              <w:rPr>
                <w:b/>
                <w:sz w:val="18"/>
              </w:rPr>
              <w:t>fox</w:t>
            </w:r>
            <w:r>
              <w:rPr>
                <w:b/>
                <w:spacing w:val="-4"/>
                <w:sz w:val="18"/>
              </w:rPr>
              <w:t> </w:t>
            </w:r>
            <w:r>
              <w:rPr>
                <w:b/>
                <w:sz w:val="18"/>
              </w:rPr>
              <w:t>control</w:t>
            </w:r>
            <w:r>
              <w:rPr>
                <w:b/>
                <w:spacing w:val="-6"/>
                <w:sz w:val="18"/>
              </w:rPr>
              <w:t> </w:t>
            </w:r>
            <w:r>
              <w:rPr>
                <w:b/>
                <w:sz w:val="18"/>
              </w:rPr>
              <w:t>areas compared with in non-fox control areas</w:t>
            </w:r>
          </w:p>
        </w:tc>
      </w:tr>
      <w:tr>
        <w:trPr>
          <w:trHeight w:val="534" w:hRule="atLeast"/>
        </w:trPr>
        <w:tc>
          <w:tcPr>
            <w:tcW w:w="2710" w:type="dxa"/>
            <w:tcBorders>
              <w:top w:val="single" w:sz="4" w:space="0" w:color="004B96"/>
              <w:bottom w:val="single" w:sz="4" w:space="0" w:color="004B96"/>
            </w:tcBorders>
          </w:tcPr>
          <w:p>
            <w:pPr>
              <w:pStyle w:val="TableParagraph"/>
              <w:spacing w:before="59"/>
              <w:ind w:left="122" w:right="199"/>
              <w:rPr>
                <w:sz w:val="18"/>
              </w:rPr>
            </w:pPr>
            <w:r>
              <w:rPr>
                <w:sz w:val="18"/>
              </w:rPr>
              <w:t>Topographic</w:t>
            </w:r>
            <w:r>
              <w:rPr>
                <w:spacing w:val="-13"/>
                <w:sz w:val="18"/>
              </w:rPr>
              <w:t> </w:t>
            </w:r>
            <w:r>
              <w:rPr>
                <w:sz w:val="18"/>
              </w:rPr>
              <w:t>wetness</w:t>
            </w:r>
            <w:r>
              <w:rPr>
                <w:spacing w:val="-12"/>
                <w:sz w:val="18"/>
              </w:rPr>
              <w:t> </w:t>
            </w:r>
            <w:r>
              <w:rPr>
                <w:sz w:val="18"/>
              </w:rPr>
              <w:t>index</w:t>
            </w:r>
            <w:r>
              <w:rPr>
                <w:spacing w:val="-13"/>
                <w:sz w:val="18"/>
              </w:rPr>
              <w:t> </w:t>
            </w:r>
            <w:r>
              <w:rPr>
                <w:sz w:val="18"/>
              </w:rPr>
              <w:t>in fox control area</w:t>
            </w:r>
          </w:p>
        </w:tc>
        <w:tc>
          <w:tcPr>
            <w:tcW w:w="1560" w:type="dxa"/>
            <w:tcBorders>
              <w:top w:val="single" w:sz="4" w:space="0" w:color="004B96"/>
              <w:bottom w:val="single" w:sz="4" w:space="0" w:color="004B96"/>
            </w:tcBorders>
            <w:shd w:val="clear" w:color="auto" w:fill="CCDBEA"/>
          </w:tcPr>
          <w:p>
            <w:pPr>
              <w:pStyle w:val="TableParagraph"/>
              <w:spacing w:before="59"/>
              <w:ind w:left="3" w:right="3"/>
              <w:jc w:val="center"/>
              <w:rPr>
                <w:sz w:val="18"/>
              </w:rPr>
            </w:pPr>
            <w:r>
              <w:rPr>
                <w:spacing w:val="-2"/>
                <w:sz w:val="18"/>
              </w:rPr>
              <w:t>-</w:t>
            </w:r>
            <w:r>
              <w:rPr>
                <w:spacing w:val="-4"/>
                <w:sz w:val="18"/>
              </w:rPr>
              <w:t>0.41</w:t>
            </w:r>
          </w:p>
          <w:p>
            <w:pPr>
              <w:pStyle w:val="TableParagraph"/>
              <w:spacing w:before="1"/>
              <w:ind w:left="3" w:right="3"/>
              <w:jc w:val="center"/>
              <w:rPr>
                <w:sz w:val="18"/>
              </w:rPr>
            </w:pPr>
            <w:r>
              <w:rPr>
                <w:sz w:val="18"/>
              </w:rPr>
              <w:t>(-1.37,</w:t>
            </w:r>
            <w:r>
              <w:rPr>
                <w:spacing w:val="-6"/>
                <w:sz w:val="18"/>
              </w:rPr>
              <w:t> </w:t>
            </w:r>
            <w:r>
              <w:rPr>
                <w:spacing w:val="-2"/>
                <w:sz w:val="18"/>
              </w:rPr>
              <w:t>0.41)</w:t>
            </w:r>
          </w:p>
        </w:tc>
        <w:tc>
          <w:tcPr>
            <w:tcW w:w="1416" w:type="dxa"/>
            <w:tcBorders>
              <w:top w:val="single" w:sz="4" w:space="0" w:color="004B96"/>
              <w:bottom w:val="single" w:sz="4" w:space="0" w:color="004B96"/>
            </w:tcBorders>
          </w:tcPr>
          <w:p>
            <w:pPr>
              <w:pStyle w:val="TableParagraph"/>
              <w:spacing w:before="59"/>
              <w:ind w:left="2"/>
              <w:jc w:val="center"/>
              <w:rPr>
                <w:sz w:val="18"/>
              </w:rPr>
            </w:pPr>
            <w:r>
              <w:rPr>
                <w:spacing w:val="-4"/>
                <w:sz w:val="18"/>
              </w:rPr>
              <w:t>0.66</w:t>
            </w:r>
          </w:p>
          <w:p>
            <w:pPr>
              <w:pStyle w:val="TableParagraph"/>
              <w:spacing w:before="1"/>
              <w:ind w:left="2"/>
              <w:jc w:val="center"/>
              <w:rPr>
                <w:sz w:val="18"/>
              </w:rPr>
            </w:pPr>
            <w:r>
              <w:rPr>
                <w:sz w:val="18"/>
              </w:rPr>
              <w:t>(0.25,</w:t>
            </w:r>
            <w:r>
              <w:rPr>
                <w:spacing w:val="-5"/>
                <w:sz w:val="18"/>
              </w:rPr>
              <w:t> </w:t>
            </w:r>
            <w:r>
              <w:rPr>
                <w:spacing w:val="-2"/>
                <w:sz w:val="18"/>
              </w:rPr>
              <w:t>1.51)</w:t>
            </w:r>
          </w:p>
        </w:tc>
        <w:tc>
          <w:tcPr>
            <w:tcW w:w="4111" w:type="dxa"/>
            <w:tcBorders>
              <w:top w:val="single" w:sz="4" w:space="0" w:color="004B96"/>
              <w:bottom w:val="single" w:sz="4" w:space="0" w:color="004B96"/>
            </w:tcBorders>
            <w:shd w:val="clear" w:color="auto" w:fill="CCDBEA"/>
          </w:tcPr>
          <w:p>
            <w:pPr>
              <w:pStyle w:val="TableParagraph"/>
              <w:spacing w:before="162"/>
              <w:ind w:left="108"/>
              <w:rPr>
                <w:sz w:val="18"/>
              </w:rPr>
            </w:pPr>
            <w:r>
              <w:rPr>
                <w:sz w:val="18"/>
              </w:rPr>
              <w:t>No</w:t>
            </w:r>
            <w:r>
              <w:rPr>
                <w:spacing w:val="-4"/>
                <w:sz w:val="18"/>
              </w:rPr>
              <w:t> </w:t>
            </w:r>
            <w:r>
              <w:rPr>
                <w:sz w:val="18"/>
              </w:rPr>
              <w:t>relationship</w:t>
            </w:r>
            <w:r>
              <w:rPr>
                <w:spacing w:val="-4"/>
                <w:sz w:val="18"/>
              </w:rPr>
              <w:t> </w:t>
            </w:r>
            <w:r>
              <w:rPr>
                <w:sz w:val="18"/>
              </w:rPr>
              <w:t>with</w:t>
            </w:r>
            <w:r>
              <w:rPr>
                <w:spacing w:val="-6"/>
                <w:sz w:val="18"/>
              </w:rPr>
              <w:t> </w:t>
            </w:r>
            <w:r>
              <w:rPr>
                <w:spacing w:val="-5"/>
                <w:sz w:val="18"/>
              </w:rPr>
              <w:t>TWI</w:t>
            </w:r>
          </w:p>
        </w:tc>
      </w:tr>
      <w:tr>
        <w:trPr>
          <w:trHeight w:val="532" w:hRule="atLeast"/>
        </w:trPr>
        <w:tc>
          <w:tcPr>
            <w:tcW w:w="2710" w:type="dxa"/>
            <w:tcBorders>
              <w:top w:val="single" w:sz="4" w:space="0" w:color="004B96"/>
              <w:bottom w:val="single" w:sz="4" w:space="0" w:color="004B96"/>
            </w:tcBorders>
          </w:tcPr>
          <w:p>
            <w:pPr>
              <w:pStyle w:val="TableParagraph"/>
              <w:spacing w:before="59"/>
              <w:ind w:left="122" w:right="199"/>
              <w:rPr>
                <w:sz w:val="18"/>
              </w:rPr>
            </w:pPr>
            <w:r>
              <w:rPr>
                <w:sz w:val="18"/>
              </w:rPr>
              <w:t>Tall</w:t>
            </w:r>
            <w:r>
              <w:rPr>
                <w:spacing w:val="-10"/>
                <w:sz w:val="18"/>
              </w:rPr>
              <w:t> </w:t>
            </w:r>
            <w:r>
              <w:rPr>
                <w:sz w:val="18"/>
              </w:rPr>
              <w:t>Mixed</w:t>
            </w:r>
            <w:r>
              <w:rPr>
                <w:spacing w:val="-10"/>
                <w:sz w:val="18"/>
              </w:rPr>
              <w:t> </w:t>
            </w:r>
            <w:r>
              <w:rPr>
                <w:sz w:val="18"/>
              </w:rPr>
              <w:t>Forest</w:t>
            </w:r>
            <w:r>
              <w:rPr>
                <w:spacing w:val="-9"/>
                <w:sz w:val="18"/>
              </w:rPr>
              <w:t> </w:t>
            </w:r>
            <w:r>
              <w:rPr>
                <w:sz w:val="18"/>
              </w:rPr>
              <w:t>(Eastern)</w:t>
            </w:r>
            <w:r>
              <w:rPr>
                <w:spacing w:val="-9"/>
                <w:sz w:val="18"/>
              </w:rPr>
              <w:t> </w:t>
            </w:r>
            <w:r>
              <w:rPr>
                <w:sz w:val="18"/>
              </w:rPr>
              <w:t>in fox control area</w:t>
            </w:r>
          </w:p>
        </w:tc>
        <w:tc>
          <w:tcPr>
            <w:tcW w:w="1560" w:type="dxa"/>
            <w:tcBorders>
              <w:top w:val="single" w:sz="4" w:space="0" w:color="004B96"/>
              <w:bottom w:val="single" w:sz="4" w:space="0" w:color="004B96"/>
            </w:tcBorders>
            <w:shd w:val="clear" w:color="auto" w:fill="CCDBEA"/>
          </w:tcPr>
          <w:p>
            <w:pPr>
              <w:pStyle w:val="TableParagraph"/>
              <w:spacing w:line="207" w:lineRule="exact" w:before="59"/>
              <w:ind w:left="3" w:right="3"/>
              <w:jc w:val="center"/>
              <w:rPr>
                <w:sz w:val="18"/>
              </w:rPr>
            </w:pPr>
            <w:r>
              <w:rPr>
                <w:spacing w:val="-2"/>
                <w:sz w:val="18"/>
              </w:rPr>
              <w:t>-</w:t>
            </w:r>
            <w:r>
              <w:rPr>
                <w:spacing w:val="-4"/>
                <w:sz w:val="18"/>
              </w:rPr>
              <w:t>0.70</w:t>
            </w:r>
          </w:p>
          <w:p>
            <w:pPr>
              <w:pStyle w:val="TableParagraph"/>
              <w:spacing w:line="207" w:lineRule="exact"/>
              <w:ind w:left="3" w:right="3"/>
              <w:jc w:val="center"/>
              <w:rPr>
                <w:sz w:val="18"/>
              </w:rPr>
            </w:pPr>
            <w:r>
              <w:rPr>
                <w:sz w:val="18"/>
              </w:rPr>
              <w:t>(-2.63,</w:t>
            </w:r>
            <w:r>
              <w:rPr>
                <w:spacing w:val="-6"/>
                <w:sz w:val="18"/>
              </w:rPr>
              <w:t> </w:t>
            </w:r>
            <w:r>
              <w:rPr>
                <w:spacing w:val="-2"/>
                <w:sz w:val="18"/>
              </w:rPr>
              <w:t>1.21)</w:t>
            </w:r>
          </w:p>
        </w:tc>
        <w:tc>
          <w:tcPr>
            <w:tcW w:w="1416" w:type="dxa"/>
            <w:tcBorders>
              <w:top w:val="single" w:sz="4" w:space="0" w:color="004B96"/>
              <w:bottom w:val="single" w:sz="4" w:space="0" w:color="004B96"/>
            </w:tcBorders>
          </w:tcPr>
          <w:p>
            <w:pPr>
              <w:pStyle w:val="TableParagraph"/>
              <w:spacing w:line="207" w:lineRule="exact" w:before="59"/>
              <w:ind w:left="2"/>
              <w:jc w:val="center"/>
              <w:rPr>
                <w:sz w:val="18"/>
              </w:rPr>
            </w:pPr>
            <w:r>
              <w:rPr>
                <w:spacing w:val="-4"/>
                <w:sz w:val="18"/>
              </w:rPr>
              <w:t>0.50</w:t>
            </w:r>
          </w:p>
          <w:p>
            <w:pPr>
              <w:pStyle w:val="TableParagraph"/>
              <w:spacing w:line="207" w:lineRule="exact"/>
              <w:ind w:left="2"/>
              <w:jc w:val="center"/>
              <w:rPr>
                <w:sz w:val="18"/>
              </w:rPr>
            </w:pPr>
            <w:r>
              <w:rPr>
                <w:sz w:val="18"/>
              </w:rPr>
              <w:t>(0.07,</w:t>
            </w:r>
            <w:r>
              <w:rPr>
                <w:spacing w:val="-5"/>
                <w:sz w:val="18"/>
              </w:rPr>
              <w:t> </w:t>
            </w:r>
            <w:r>
              <w:rPr>
                <w:spacing w:val="-2"/>
                <w:sz w:val="18"/>
              </w:rPr>
              <w:t>3.35)</w:t>
            </w:r>
          </w:p>
        </w:tc>
        <w:tc>
          <w:tcPr>
            <w:tcW w:w="4111" w:type="dxa"/>
            <w:tcBorders>
              <w:top w:val="single" w:sz="4" w:space="0" w:color="004B96"/>
              <w:bottom w:val="single" w:sz="4" w:space="0" w:color="004B96"/>
            </w:tcBorders>
            <w:shd w:val="clear" w:color="auto" w:fill="CCDBEA"/>
          </w:tcPr>
          <w:p>
            <w:pPr>
              <w:pStyle w:val="TableParagraph"/>
              <w:spacing w:before="162"/>
              <w:ind w:left="108"/>
              <w:rPr>
                <w:sz w:val="18"/>
              </w:rPr>
            </w:pPr>
            <w:r>
              <w:rPr>
                <w:sz w:val="18"/>
              </w:rPr>
              <w:t>No</w:t>
            </w:r>
            <w:r>
              <w:rPr>
                <w:spacing w:val="-4"/>
                <w:sz w:val="18"/>
              </w:rPr>
              <w:t> </w:t>
            </w:r>
            <w:r>
              <w:rPr>
                <w:sz w:val="18"/>
              </w:rPr>
              <w:t>relationship</w:t>
            </w:r>
            <w:r>
              <w:rPr>
                <w:spacing w:val="-4"/>
                <w:sz w:val="18"/>
              </w:rPr>
              <w:t> </w:t>
            </w:r>
            <w:r>
              <w:rPr>
                <w:sz w:val="18"/>
              </w:rPr>
              <w:t>with</w:t>
            </w:r>
            <w:r>
              <w:rPr>
                <w:spacing w:val="-6"/>
                <w:sz w:val="18"/>
              </w:rPr>
              <w:t> </w:t>
            </w:r>
            <w:r>
              <w:rPr>
                <w:spacing w:val="-5"/>
                <w:sz w:val="18"/>
              </w:rPr>
              <w:t>EVD</w:t>
            </w:r>
          </w:p>
        </w:tc>
      </w:tr>
      <w:tr>
        <w:trPr>
          <w:trHeight w:val="535" w:hRule="atLeast"/>
        </w:trPr>
        <w:tc>
          <w:tcPr>
            <w:tcW w:w="2710" w:type="dxa"/>
            <w:tcBorders>
              <w:top w:val="single" w:sz="4" w:space="0" w:color="004B96"/>
              <w:bottom w:val="single" w:sz="4" w:space="0" w:color="004B96"/>
            </w:tcBorders>
          </w:tcPr>
          <w:p>
            <w:pPr>
              <w:pStyle w:val="TableParagraph"/>
              <w:spacing w:before="61"/>
              <w:ind w:left="122" w:right="199"/>
              <w:rPr>
                <w:sz w:val="18"/>
              </w:rPr>
            </w:pPr>
            <w:r>
              <w:rPr>
                <w:sz w:val="18"/>
              </w:rPr>
              <w:t>Time-since-fire</w:t>
            </w:r>
            <w:r>
              <w:rPr>
                <w:spacing w:val="-13"/>
                <w:sz w:val="18"/>
              </w:rPr>
              <w:t> </w:t>
            </w:r>
            <w:r>
              <w:rPr>
                <w:sz w:val="18"/>
              </w:rPr>
              <w:t>in</w:t>
            </w:r>
            <w:r>
              <w:rPr>
                <w:spacing w:val="-12"/>
                <w:sz w:val="18"/>
              </w:rPr>
              <w:t> </w:t>
            </w:r>
            <w:r>
              <w:rPr>
                <w:sz w:val="18"/>
              </w:rPr>
              <w:t>fox</w:t>
            </w:r>
            <w:r>
              <w:rPr>
                <w:spacing w:val="-12"/>
                <w:sz w:val="18"/>
              </w:rPr>
              <w:t> </w:t>
            </w:r>
            <w:r>
              <w:rPr>
                <w:sz w:val="18"/>
              </w:rPr>
              <w:t>control </w:t>
            </w:r>
            <w:r>
              <w:rPr>
                <w:spacing w:val="-4"/>
                <w:sz w:val="18"/>
              </w:rPr>
              <w:t>area</w:t>
            </w:r>
          </w:p>
        </w:tc>
        <w:tc>
          <w:tcPr>
            <w:tcW w:w="1560" w:type="dxa"/>
            <w:tcBorders>
              <w:top w:val="single" w:sz="4" w:space="0" w:color="004B96"/>
              <w:bottom w:val="single" w:sz="4" w:space="0" w:color="004B96"/>
            </w:tcBorders>
            <w:shd w:val="clear" w:color="auto" w:fill="CCDBEA"/>
          </w:tcPr>
          <w:p>
            <w:pPr>
              <w:pStyle w:val="TableParagraph"/>
              <w:spacing w:line="207" w:lineRule="exact" w:before="61"/>
              <w:ind w:left="3" w:right="3"/>
              <w:jc w:val="center"/>
              <w:rPr>
                <w:sz w:val="18"/>
              </w:rPr>
            </w:pPr>
            <w:r>
              <w:rPr>
                <w:spacing w:val="-2"/>
                <w:sz w:val="18"/>
              </w:rPr>
              <w:t>-</w:t>
            </w:r>
            <w:r>
              <w:rPr>
                <w:spacing w:val="-4"/>
                <w:sz w:val="18"/>
              </w:rPr>
              <w:t>0.22</w:t>
            </w:r>
          </w:p>
          <w:p>
            <w:pPr>
              <w:pStyle w:val="TableParagraph"/>
              <w:spacing w:line="207" w:lineRule="exact"/>
              <w:ind w:left="3" w:right="3"/>
              <w:jc w:val="center"/>
              <w:rPr>
                <w:sz w:val="18"/>
              </w:rPr>
            </w:pPr>
            <w:r>
              <w:rPr>
                <w:sz w:val="18"/>
              </w:rPr>
              <w:t>(-0.92,</w:t>
            </w:r>
            <w:r>
              <w:rPr>
                <w:spacing w:val="-6"/>
                <w:sz w:val="18"/>
              </w:rPr>
              <w:t> </w:t>
            </w:r>
            <w:r>
              <w:rPr>
                <w:spacing w:val="-2"/>
                <w:sz w:val="18"/>
              </w:rPr>
              <w:t>0.48)</w:t>
            </w:r>
          </w:p>
        </w:tc>
        <w:tc>
          <w:tcPr>
            <w:tcW w:w="1416" w:type="dxa"/>
            <w:tcBorders>
              <w:top w:val="single" w:sz="4" w:space="0" w:color="004B96"/>
              <w:bottom w:val="single" w:sz="4" w:space="0" w:color="004B96"/>
            </w:tcBorders>
          </w:tcPr>
          <w:p>
            <w:pPr>
              <w:pStyle w:val="TableParagraph"/>
              <w:spacing w:line="207" w:lineRule="exact" w:before="61"/>
              <w:ind w:left="2"/>
              <w:jc w:val="center"/>
              <w:rPr>
                <w:sz w:val="18"/>
              </w:rPr>
            </w:pPr>
            <w:r>
              <w:rPr>
                <w:spacing w:val="-4"/>
                <w:sz w:val="18"/>
              </w:rPr>
              <w:t>0.80</w:t>
            </w:r>
          </w:p>
          <w:p>
            <w:pPr>
              <w:pStyle w:val="TableParagraph"/>
              <w:spacing w:line="207" w:lineRule="exact"/>
              <w:ind w:left="2"/>
              <w:jc w:val="center"/>
              <w:rPr>
                <w:sz w:val="18"/>
              </w:rPr>
            </w:pPr>
            <w:r>
              <w:rPr>
                <w:sz w:val="18"/>
              </w:rPr>
              <w:t>(0.40,</w:t>
            </w:r>
            <w:r>
              <w:rPr>
                <w:spacing w:val="-5"/>
                <w:sz w:val="18"/>
              </w:rPr>
              <w:t> </w:t>
            </w:r>
            <w:r>
              <w:rPr>
                <w:spacing w:val="-2"/>
                <w:sz w:val="18"/>
              </w:rPr>
              <w:t>1.62)</w:t>
            </w:r>
          </w:p>
        </w:tc>
        <w:tc>
          <w:tcPr>
            <w:tcW w:w="4111" w:type="dxa"/>
            <w:tcBorders>
              <w:top w:val="single" w:sz="4" w:space="0" w:color="004B96"/>
              <w:bottom w:val="single" w:sz="4" w:space="0" w:color="004B96"/>
            </w:tcBorders>
            <w:shd w:val="clear" w:color="auto" w:fill="CCDBEA"/>
          </w:tcPr>
          <w:p>
            <w:pPr>
              <w:pStyle w:val="TableParagraph"/>
              <w:spacing w:before="165"/>
              <w:ind w:left="108"/>
              <w:rPr>
                <w:sz w:val="18"/>
              </w:rPr>
            </w:pPr>
            <w:r>
              <w:rPr>
                <w:sz w:val="18"/>
              </w:rPr>
              <w:t>No</w:t>
            </w:r>
            <w:r>
              <w:rPr>
                <w:spacing w:val="-4"/>
                <w:sz w:val="18"/>
              </w:rPr>
              <w:t> </w:t>
            </w:r>
            <w:r>
              <w:rPr>
                <w:sz w:val="18"/>
              </w:rPr>
              <w:t>relationship</w:t>
            </w:r>
            <w:r>
              <w:rPr>
                <w:spacing w:val="-4"/>
                <w:sz w:val="18"/>
              </w:rPr>
              <w:t> </w:t>
            </w:r>
            <w:r>
              <w:rPr>
                <w:sz w:val="18"/>
              </w:rPr>
              <w:t>with</w:t>
            </w:r>
            <w:r>
              <w:rPr>
                <w:spacing w:val="-6"/>
                <w:sz w:val="18"/>
              </w:rPr>
              <w:t> </w:t>
            </w:r>
            <w:r>
              <w:rPr>
                <w:spacing w:val="-5"/>
                <w:sz w:val="18"/>
              </w:rPr>
              <w:t>TSF</w:t>
            </w:r>
          </w:p>
        </w:tc>
      </w:tr>
      <w:tr>
        <w:trPr>
          <w:trHeight w:val="534" w:hRule="atLeast"/>
        </w:trPr>
        <w:tc>
          <w:tcPr>
            <w:tcW w:w="2710" w:type="dxa"/>
            <w:tcBorders>
              <w:top w:val="single" w:sz="4" w:space="0" w:color="004B96"/>
              <w:bottom w:val="single" w:sz="12" w:space="0" w:color="004B96"/>
            </w:tcBorders>
          </w:tcPr>
          <w:p>
            <w:pPr>
              <w:pStyle w:val="TableParagraph"/>
              <w:spacing w:before="162"/>
              <w:ind w:left="122"/>
              <w:rPr>
                <w:b/>
                <w:sz w:val="18"/>
              </w:rPr>
            </w:pPr>
            <w:r>
              <w:rPr>
                <w:b/>
                <w:sz w:val="18"/>
              </w:rPr>
              <w:t>Fox</w:t>
            </w:r>
            <w:r>
              <w:rPr>
                <w:b/>
                <w:spacing w:val="-4"/>
                <w:sz w:val="18"/>
              </w:rPr>
              <w:t> </w:t>
            </w:r>
            <w:r>
              <w:rPr>
                <w:b/>
                <w:sz w:val="18"/>
              </w:rPr>
              <w:t>control</w:t>
            </w:r>
            <w:r>
              <w:rPr>
                <w:b/>
                <w:spacing w:val="-1"/>
                <w:sz w:val="18"/>
              </w:rPr>
              <w:t> </w:t>
            </w:r>
            <w:r>
              <w:rPr>
                <w:b/>
                <w:spacing w:val="-4"/>
                <w:sz w:val="18"/>
              </w:rPr>
              <w:t>area</w:t>
            </w:r>
          </w:p>
        </w:tc>
        <w:tc>
          <w:tcPr>
            <w:tcW w:w="1560" w:type="dxa"/>
            <w:tcBorders>
              <w:top w:val="single" w:sz="4" w:space="0" w:color="004B96"/>
              <w:bottom w:val="single" w:sz="12" w:space="0" w:color="004B96"/>
            </w:tcBorders>
            <w:shd w:val="clear" w:color="auto" w:fill="CCDBEA"/>
          </w:tcPr>
          <w:p>
            <w:pPr>
              <w:pStyle w:val="TableParagraph"/>
              <w:spacing w:line="207" w:lineRule="exact" w:before="59"/>
              <w:ind w:left="5" w:right="3"/>
              <w:jc w:val="center"/>
              <w:rPr>
                <w:b/>
                <w:sz w:val="18"/>
              </w:rPr>
            </w:pPr>
            <w:r>
              <w:rPr>
                <w:b/>
                <w:spacing w:val="-4"/>
                <w:sz w:val="18"/>
              </w:rPr>
              <w:t>1.06</w:t>
            </w:r>
          </w:p>
          <w:p>
            <w:pPr>
              <w:pStyle w:val="TableParagraph"/>
              <w:spacing w:line="207" w:lineRule="exact"/>
              <w:ind w:left="5" w:right="3"/>
              <w:jc w:val="center"/>
              <w:rPr>
                <w:b/>
                <w:sz w:val="18"/>
              </w:rPr>
            </w:pPr>
            <w:r>
              <w:rPr>
                <w:b/>
                <w:sz w:val="18"/>
              </w:rPr>
              <w:t>(0.04,</w:t>
            </w:r>
            <w:r>
              <w:rPr>
                <w:b/>
                <w:spacing w:val="-5"/>
                <w:sz w:val="18"/>
              </w:rPr>
              <w:t> </w:t>
            </w:r>
            <w:r>
              <w:rPr>
                <w:b/>
                <w:spacing w:val="-2"/>
                <w:sz w:val="18"/>
              </w:rPr>
              <w:t>2.16)</w:t>
            </w:r>
          </w:p>
        </w:tc>
        <w:tc>
          <w:tcPr>
            <w:tcW w:w="1416" w:type="dxa"/>
            <w:tcBorders>
              <w:top w:val="single" w:sz="4" w:space="0" w:color="004B96"/>
              <w:bottom w:val="single" w:sz="12" w:space="0" w:color="004B96"/>
            </w:tcBorders>
          </w:tcPr>
          <w:p>
            <w:pPr>
              <w:pStyle w:val="TableParagraph"/>
              <w:spacing w:line="207" w:lineRule="exact" w:before="59"/>
              <w:ind w:left="2"/>
              <w:jc w:val="center"/>
              <w:rPr>
                <w:b/>
                <w:sz w:val="18"/>
              </w:rPr>
            </w:pPr>
            <w:r>
              <w:rPr>
                <w:b/>
                <w:spacing w:val="-4"/>
                <w:sz w:val="18"/>
              </w:rPr>
              <w:t>2.89</w:t>
            </w:r>
          </w:p>
          <w:p>
            <w:pPr>
              <w:pStyle w:val="TableParagraph"/>
              <w:spacing w:line="207" w:lineRule="exact"/>
              <w:ind w:left="2"/>
              <w:jc w:val="center"/>
              <w:rPr>
                <w:b/>
                <w:sz w:val="18"/>
              </w:rPr>
            </w:pPr>
            <w:r>
              <w:rPr>
                <w:b/>
                <w:sz w:val="18"/>
              </w:rPr>
              <w:t>(1.04,</w:t>
            </w:r>
            <w:r>
              <w:rPr>
                <w:b/>
                <w:spacing w:val="-5"/>
                <w:sz w:val="18"/>
              </w:rPr>
              <w:t> </w:t>
            </w:r>
            <w:r>
              <w:rPr>
                <w:b/>
                <w:spacing w:val="-2"/>
                <w:sz w:val="18"/>
              </w:rPr>
              <w:t>8.67)</w:t>
            </w:r>
          </w:p>
        </w:tc>
        <w:tc>
          <w:tcPr>
            <w:tcW w:w="4111" w:type="dxa"/>
            <w:tcBorders>
              <w:top w:val="single" w:sz="4" w:space="0" w:color="004B96"/>
              <w:bottom w:val="single" w:sz="12" w:space="0" w:color="004B96"/>
            </w:tcBorders>
            <w:shd w:val="clear" w:color="auto" w:fill="CCDBEA"/>
          </w:tcPr>
          <w:p>
            <w:pPr>
              <w:pStyle w:val="TableParagraph"/>
              <w:spacing w:before="59"/>
              <w:ind w:left="108" w:right="192"/>
              <w:rPr>
                <w:b/>
                <w:sz w:val="18"/>
              </w:rPr>
            </w:pPr>
            <w:r>
              <w:rPr>
                <w:b/>
                <w:sz w:val="18"/>
              </w:rPr>
              <w:t>A</w:t>
            </w:r>
            <w:r>
              <w:rPr>
                <w:b/>
                <w:spacing w:val="-5"/>
                <w:sz w:val="18"/>
              </w:rPr>
              <w:t> </w:t>
            </w:r>
            <w:r>
              <w:rPr>
                <w:b/>
                <w:sz w:val="18"/>
              </w:rPr>
              <w:t>nearly</w:t>
            </w:r>
            <w:r>
              <w:rPr>
                <w:b/>
                <w:spacing w:val="-5"/>
                <w:sz w:val="18"/>
              </w:rPr>
              <w:t> </w:t>
            </w:r>
            <w:r>
              <w:rPr>
                <w:b/>
                <w:sz w:val="18"/>
              </w:rPr>
              <w:t>3-fold</w:t>
            </w:r>
            <w:r>
              <w:rPr>
                <w:b/>
                <w:spacing w:val="-5"/>
                <w:sz w:val="18"/>
              </w:rPr>
              <w:t> </w:t>
            </w:r>
            <w:r>
              <w:rPr>
                <w:b/>
                <w:sz w:val="18"/>
              </w:rPr>
              <w:t>increase</w:t>
            </w:r>
            <w:r>
              <w:rPr>
                <w:b/>
                <w:spacing w:val="-5"/>
                <w:sz w:val="18"/>
              </w:rPr>
              <w:t> </w:t>
            </w:r>
            <w:r>
              <w:rPr>
                <w:b/>
                <w:sz w:val="18"/>
              </w:rPr>
              <w:t>in</w:t>
            </w:r>
            <w:r>
              <w:rPr>
                <w:b/>
                <w:spacing w:val="-7"/>
                <w:sz w:val="18"/>
              </w:rPr>
              <w:t> </w:t>
            </w:r>
            <w:r>
              <w:rPr>
                <w:b/>
                <w:sz w:val="18"/>
              </w:rPr>
              <w:t>local</w:t>
            </w:r>
            <w:r>
              <w:rPr>
                <w:b/>
                <w:spacing w:val="-5"/>
                <w:sz w:val="18"/>
              </w:rPr>
              <w:t> </w:t>
            </w:r>
            <w:r>
              <w:rPr>
                <w:b/>
                <w:sz w:val="18"/>
              </w:rPr>
              <w:t>survival</w:t>
            </w:r>
            <w:r>
              <w:rPr>
                <w:b/>
                <w:spacing w:val="-7"/>
                <w:sz w:val="18"/>
              </w:rPr>
              <w:t> </w:t>
            </w:r>
            <w:r>
              <w:rPr>
                <w:b/>
                <w:sz w:val="18"/>
              </w:rPr>
              <w:t>in fox control areas</w:t>
            </w:r>
          </w:p>
        </w:tc>
      </w:tr>
      <w:tr>
        <w:trPr>
          <w:trHeight w:val="330" w:hRule="atLeast"/>
        </w:trPr>
        <w:tc>
          <w:tcPr>
            <w:tcW w:w="9797" w:type="dxa"/>
            <w:gridSpan w:val="4"/>
            <w:tcBorders>
              <w:top w:val="single" w:sz="12" w:space="0" w:color="004B96"/>
              <w:bottom w:val="single" w:sz="12" w:space="0" w:color="004B96"/>
            </w:tcBorders>
          </w:tcPr>
          <w:p>
            <w:pPr>
              <w:pStyle w:val="TableParagraph"/>
              <w:spacing w:before="61"/>
              <w:ind w:left="122"/>
              <w:rPr>
                <w:b/>
                <w:sz w:val="18"/>
              </w:rPr>
            </w:pPr>
            <w:r>
              <w:rPr>
                <w:b/>
                <w:sz w:val="18"/>
              </w:rPr>
              <w:t>C:</w:t>
            </w:r>
            <w:r>
              <w:rPr>
                <w:b/>
                <w:spacing w:val="-1"/>
                <w:sz w:val="18"/>
              </w:rPr>
              <w:t> </w:t>
            </w:r>
            <w:r>
              <w:rPr>
                <w:b/>
                <w:sz w:val="18"/>
              </w:rPr>
              <w:t>Local</w:t>
            </w:r>
            <w:r>
              <w:rPr>
                <w:b/>
                <w:spacing w:val="-3"/>
                <w:sz w:val="18"/>
              </w:rPr>
              <w:t> </w:t>
            </w:r>
            <w:r>
              <w:rPr>
                <w:b/>
                <w:spacing w:val="-2"/>
                <w:sz w:val="18"/>
              </w:rPr>
              <w:t>colonisation</w:t>
            </w:r>
          </w:p>
        </w:tc>
      </w:tr>
      <w:tr>
        <w:trPr>
          <w:trHeight w:val="534" w:hRule="atLeast"/>
        </w:trPr>
        <w:tc>
          <w:tcPr>
            <w:tcW w:w="2710" w:type="dxa"/>
            <w:tcBorders>
              <w:top w:val="single" w:sz="12" w:space="0" w:color="004B96"/>
              <w:bottom w:val="single" w:sz="4" w:space="0" w:color="004B96"/>
            </w:tcBorders>
          </w:tcPr>
          <w:p>
            <w:pPr>
              <w:pStyle w:val="TableParagraph"/>
              <w:spacing w:before="161"/>
              <w:ind w:left="122"/>
              <w:rPr>
                <w:sz w:val="18"/>
              </w:rPr>
            </w:pPr>
            <w:r>
              <w:rPr>
                <w:spacing w:val="-2"/>
                <w:sz w:val="18"/>
              </w:rPr>
              <w:t>Elevation</w:t>
            </w:r>
          </w:p>
        </w:tc>
        <w:tc>
          <w:tcPr>
            <w:tcW w:w="1560" w:type="dxa"/>
            <w:tcBorders>
              <w:top w:val="single" w:sz="12" w:space="0" w:color="004B96"/>
              <w:bottom w:val="single" w:sz="4" w:space="0" w:color="004B96"/>
            </w:tcBorders>
            <w:shd w:val="clear" w:color="auto" w:fill="CCDBEA"/>
          </w:tcPr>
          <w:p>
            <w:pPr>
              <w:pStyle w:val="TableParagraph"/>
              <w:spacing w:line="207" w:lineRule="exact" w:before="58"/>
              <w:ind w:left="5" w:right="3"/>
              <w:jc w:val="center"/>
              <w:rPr>
                <w:sz w:val="18"/>
              </w:rPr>
            </w:pPr>
            <w:r>
              <w:rPr>
                <w:spacing w:val="-4"/>
                <w:sz w:val="18"/>
              </w:rPr>
              <w:t>0.14</w:t>
            </w:r>
          </w:p>
          <w:p>
            <w:pPr>
              <w:pStyle w:val="TableParagraph"/>
              <w:spacing w:line="207" w:lineRule="exact"/>
              <w:ind w:left="3" w:right="3"/>
              <w:jc w:val="center"/>
              <w:rPr>
                <w:sz w:val="18"/>
              </w:rPr>
            </w:pPr>
            <w:r>
              <w:rPr>
                <w:sz w:val="18"/>
              </w:rPr>
              <w:t>(-0.51,</w:t>
            </w:r>
            <w:r>
              <w:rPr>
                <w:spacing w:val="-6"/>
                <w:sz w:val="18"/>
              </w:rPr>
              <w:t> </w:t>
            </w:r>
            <w:r>
              <w:rPr>
                <w:spacing w:val="-2"/>
                <w:sz w:val="18"/>
              </w:rPr>
              <w:t>0.84)</w:t>
            </w:r>
          </w:p>
        </w:tc>
        <w:tc>
          <w:tcPr>
            <w:tcW w:w="1416" w:type="dxa"/>
            <w:tcBorders>
              <w:top w:val="single" w:sz="12" w:space="0" w:color="004B96"/>
              <w:bottom w:val="single" w:sz="4" w:space="0" w:color="004B96"/>
            </w:tcBorders>
          </w:tcPr>
          <w:p>
            <w:pPr>
              <w:pStyle w:val="TableParagraph"/>
              <w:spacing w:line="207" w:lineRule="exact" w:before="58"/>
              <w:ind w:left="2"/>
              <w:jc w:val="center"/>
              <w:rPr>
                <w:sz w:val="18"/>
              </w:rPr>
            </w:pPr>
            <w:r>
              <w:rPr>
                <w:spacing w:val="-4"/>
                <w:sz w:val="18"/>
              </w:rPr>
              <w:t>1.15</w:t>
            </w:r>
          </w:p>
          <w:p>
            <w:pPr>
              <w:pStyle w:val="TableParagraph"/>
              <w:spacing w:line="207" w:lineRule="exact"/>
              <w:ind w:left="2"/>
              <w:jc w:val="center"/>
              <w:rPr>
                <w:sz w:val="18"/>
              </w:rPr>
            </w:pPr>
            <w:r>
              <w:rPr>
                <w:sz w:val="18"/>
              </w:rPr>
              <w:t>(0.60,</w:t>
            </w:r>
            <w:r>
              <w:rPr>
                <w:spacing w:val="-5"/>
                <w:sz w:val="18"/>
              </w:rPr>
              <w:t> </w:t>
            </w:r>
            <w:r>
              <w:rPr>
                <w:spacing w:val="-2"/>
                <w:sz w:val="18"/>
              </w:rPr>
              <w:t>2.32)</w:t>
            </w:r>
          </w:p>
        </w:tc>
        <w:tc>
          <w:tcPr>
            <w:tcW w:w="4111" w:type="dxa"/>
            <w:tcBorders>
              <w:top w:val="single" w:sz="12" w:space="0" w:color="004B96"/>
              <w:bottom w:val="single" w:sz="4" w:space="0" w:color="004B96"/>
            </w:tcBorders>
            <w:shd w:val="clear" w:color="auto" w:fill="CCDBEA"/>
          </w:tcPr>
          <w:p>
            <w:pPr>
              <w:pStyle w:val="TableParagraph"/>
              <w:spacing w:before="161"/>
              <w:ind w:left="108"/>
              <w:rPr>
                <w:sz w:val="18"/>
              </w:rPr>
            </w:pPr>
            <w:r>
              <w:rPr>
                <w:sz w:val="18"/>
              </w:rPr>
              <w:t>No</w:t>
            </w:r>
            <w:r>
              <w:rPr>
                <w:spacing w:val="-3"/>
                <w:sz w:val="18"/>
              </w:rPr>
              <w:t> </w:t>
            </w:r>
            <w:r>
              <w:rPr>
                <w:sz w:val="18"/>
              </w:rPr>
              <w:t>relationship</w:t>
            </w:r>
            <w:r>
              <w:rPr>
                <w:spacing w:val="-3"/>
                <w:sz w:val="18"/>
              </w:rPr>
              <w:t> </w:t>
            </w:r>
            <w:r>
              <w:rPr>
                <w:sz w:val="18"/>
              </w:rPr>
              <w:t>with</w:t>
            </w:r>
            <w:r>
              <w:rPr>
                <w:spacing w:val="-4"/>
                <w:sz w:val="18"/>
              </w:rPr>
              <w:t> </w:t>
            </w:r>
            <w:r>
              <w:rPr>
                <w:sz w:val="18"/>
              </w:rPr>
              <w:t>change</w:t>
            </w:r>
            <w:r>
              <w:rPr>
                <w:spacing w:val="-3"/>
                <w:sz w:val="18"/>
              </w:rPr>
              <w:t> </w:t>
            </w:r>
            <w:r>
              <w:rPr>
                <w:sz w:val="18"/>
              </w:rPr>
              <w:t>in</w:t>
            </w:r>
            <w:r>
              <w:rPr>
                <w:spacing w:val="-5"/>
                <w:sz w:val="18"/>
              </w:rPr>
              <w:t> </w:t>
            </w:r>
            <w:r>
              <w:rPr>
                <w:spacing w:val="-2"/>
                <w:sz w:val="18"/>
              </w:rPr>
              <w:t>elevation</w:t>
            </w:r>
          </w:p>
        </w:tc>
      </w:tr>
      <w:tr>
        <w:trPr>
          <w:trHeight w:val="532" w:hRule="atLeast"/>
        </w:trPr>
        <w:tc>
          <w:tcPr>
            <w:tcW w:w="2710" w:type="dxa"/>
            <w:tcBorders>
              <w:top w:val="single" w:sz="4" w:space="0" w:color="004B96"/>
              <w:bottom w:val="single" w:sz="4" w:space="0" w:color="004B96"/>
            </w:tcBorders>
          </w:tcPr>
          <w:p>
            <w:pPr>
              <w:pStyle w:val="TableParagraph"/>
              <w:spacing w:before="162"/>
              <w:ind w:left="122"/>
              <w:rPr>
                <w:sz w:val="18"/>
              </w:rPr>
            </w:pPr>
            <w:r>
              <w:rPr>
                <w:sz w:val="18"/>
              </w:rPr>
              <w:t>Tall</w:t>
            </w:r>
            <w:r>
              <w:rPr>
                <w:spacing w:val="-3"/>
                <w:sz w:val="18"/>
              </w:rPr>
              <w:t> </w:t>
            </w:r>
            <w:r>
              <w:rPr>
                <w:sz w:val="18"/>
              </w:rPr>
              <w:t>Mixed</w:t>
            </w:r>
            <w:r>
              <w:rPr>
                <w:spacing w:val="-3"/>
                <w:sz w:val="18"/>
              </w:rPr>
              <w:t> </w:t>
            </w:r>
            <w:r>
              <w:rPr>
                <w:sz w:val="18"/>
              </w:rPr>
              <w:t>Forest </w:t>
            </w:r>
            <w:r>
              <w:rPr>
                <w:spacing w:val="-2"/>
                <w:sz w:val="18"/>
              </w:rPr>
              <w:t>(Eastern)</w:t>
            </w:r>
          </w:p>
        </w:tc>
        <w:tc>
          <w:tcPr>
            <w:tcW w:w="1560" w:type="dxa"/>
            <w:tcBorders>
              <w:top w:val="single" w:sz="4" w:space="0" w:color="004B96"/>
              <w:bottom w:val="single" w:sz="4" w:space="0" w:color="004B96"/>
            </w:tcBorders>
            <w:shd w:val="clear" w:color="auto" w:fill="CCDBEA"/>
          </w:tcPr>
          <w:p>
            <w:pPr>
              <w:pStyle w:val="TableParagraph"/>
              <w:spacing w:line="207" w:lineRule="exact" w:before="59"/>
              <w:ind w:left="5" w:right="3"/>
              <w:jc w:val="center"/>
              <w:rPr>
                <w:sz w:val="18"/>
              </w:rPr>
            </w:pPr>
            <w:r>
              <w:rPr>
                <w:spacing w:val="-4"/>
                <w:sz w:val="18"/>
              </w:rPr>
              <w:t>0.51</w:t>
            </w:r>
          </w:p>
          <w:p>
            <w:pPr>
              <w:pStyle w:val="TableParagraph"/>
              <w:spacing w:line="207" w:lineRule="exact"/>
              <w:ind w:left="3" w:right="3"/>
              <w:jc w:val="center"/>
              <w:rPr>
                <w:sz w:val="18"/>
              </w:rPr>
            </w:pPr>
            <w:r>
              <w:rPr>
                <w:sz w:val="18"/>
              </w:rPr>
              <w:t>(-0.50,</w:t>
            </w:r>
            <w:r>
              <w:rPr>
                <w:spacing w:val="-6"/>
                <w:sz w:val="18"/>
              </w:rPr>
              <w:t> </w:t>
            </w:r>
            <w:r>
              <w:rPr>
                <w:spacing w:val="-2"/>
                <w:sz w:val="18"/>
              </w:rPr>
              <w:t>1.64)</w:t>
            </w:r>
          </w:p>
        </w:tc>
        <w:tc>
          <w:tcPr>
            <w:tcW w:w="1416" w:type="dxa"/>
            <w:tcBorders>
              <w:top w:val="single" w:sz="4" w:space="0" w:color="004B96"/>
              <w:bottom w:val="single" w:sz="4" w:space="0" w:color="004B96"/>
            </w:tcBorders>
          </w:tcPr>
          <w:p>
            <w:pPr>
              <w:pStyle w:val="TableParagraph"/>
              <w:spacing w:line="207" w:lineRule="exact" w:before="59"/>
              <w:ind w:left="2"/>
              <w:jc w:val="center"/>
              <w:rPr>
                <w:sz w:val="18"/>
              </w:rPr>
            </w:pPr>
            <w:r>
              <w:rPr>
                <w:spacing w:val="-4"/>
                <w:sz w:val="18"/>
              </w:rPr>
              <w:t>1.67</w:t>
            </w:r>
          </w:p>
          <w:p>
            <w:pPr>
              <w:pStyle w:val="TableParagraph"/>
              <w:spacing w:line="207" w:lineRule="exact"/>
              <w:ind w:left="2"/>
              <w:jc w:val="center"/>
              <w:rPr>
                <w:sz w:val="18"/>
              </w:rPr>
            </w:pPr>
            <w:r>
              <w:rPr>
                <w:sz w:val="18"/>
              </w:rPr>
              <w:t>(0.61,</w:t>
            </w:r>
            <w:r>
              <w:rPr>
                <w:spacing w:val="-5"/>
                <w:sz w:val="18"/>
              </w:rPr>
              <w:t> </w:t>
            </w:r>
            <w:r>
              <w:rPr>
                <w:spacing w:val="-2"/>
                <w:sz w:val="18"/>
              </w:rPr>
              <w:t>5.16)</w:t>
            </w:r>
          </w:p>
        </w:tc>
        <w:tc>
          <w:tcPr>
            <w:tcW w:w="4111" w:type="dxa"/>
            <w:tcBorders>
              <w:top w:val="single" w:sz="4" w:space="0" w:color="004B96"/>
              <w:bottom w:val="single" w:sz="4" w:space="0" w:color="004B96"/>
            </w:tcBorders>
            <w:shd w:val="clear" w:color="auto" w:fill="CCDBEA"/>
          </w:tcPr>
          <w:p>
            <w:pPr>
              <w:pStyle w:val="TableParagraph"/>
              <w:spacing w:before="162"/>
              <w:ind w:left="108"/>
              <w:rPr>
                <w:sz w:val="18"/>
              </w:rPr>
            </w:pPr>
            <w:r>
              <w:rPr>
                <w:sz w:val="18"/>
              </w:rPr>
              <w:t>No</w:t>
            </w:r>
            <w:r>
              <w:rPr>
                <w:spacing w:val="-4"/>
                <w:sz w:val="18"/>
              </w:rPr>
              <w:t> </w:t>
            </w:r>
            <w:r>
              <w:rPr>
                <w:sz w:val="18"/>
              </w:rPr>
              <w:t>relationship</w:t>
            </w:r>
            <w:r>
              <w:rPr>
                <w:spacing w:val="-4"/>
                <w:sz w:val="18"/>
              </w:rPr>
              <w:t> </w:t>
            </w:r>
            <w:r>
              <w:rPr>
                <w:sz w:val="18"/>
              </w:rPr>
              <w:t>with</w:t>
            </w:r>
            <w:r>
              <w:rPr>
                <w:spacing w:val="-6"/>
                <w:sz w:val="18"/>
              </w:rPr>
              <w:t> </w:t>
            </w:r>
            <w:r>
              <w:rPr>
                <w:spacing w:val="-5"/>
                <w:sz w:val="18"/>
              </w:rPr>
              <w:t>EVD</w:t>
            </w:r>
          </w:p>
        </w:tc>
      </w:tr>
      <w:tr>
        <w:trPr>
          <w:trHeight w:val="741" w:hRule="atLeast"/>
        </w:trPr>
        <w:tc>
          <w:tcPr>
            <w:tcW w:w="2710" w:type="dxa"/>
            <w:tcBorders>
              <w:top w:val="single" w:sz="4" w:space="0" w:color="004B96"/>
              <w:bottom w:val="single" w:sz="4" w:space="0" w:color="004B96"/>
            </w:tcBorders>
          </w:tcPr>
          <w:p>
            <w:pPr>
              <w:pStyle w:val="TableParagraph"/>
              <w:spacing w:before="164"/>
              <w:ind w:left="122" w:right="199"/>
              <w:rPr>
                <w:b/>
                <w:sz w:val="18"/>
              </w:rPr>
            </w:pPr>
            <w:r>
              <w:rPr>
                <w:b/>
                <w:sz w:val="18"/>
              </w:rPr>
              <w:t>Tall</w:t>
            </w:r>
            <w:r>
              <w:rPr>
                <w:b/>
                <w:spacing w:val="-11"/>
                <w:sz w:val="18"/>
              </w:rPr>
              <w:t> </w:t>
            </w:r>
            <w:r>
              <w:rPr>
                <w:b/>
                <w:sz w:val="18"/>
              </w:rPr>
              <w:t>Mixed</w:t>
            </w:r>
            <w:r>
              <w:rPr>
                <w:b/>
                <w:spacing w:val="-13"/>
                <w:sz w:val="18"/>
              </w:rPr>
              <w:t> </w:t>
            </w:r>
            <w:r>
              <w:rPr>
                <w:b/>
                <w:sz w:val="18"/>
              </w:rPr>
              <w:t>Forest</w:t>
            </w:r>
            <w:r>
              <w:rPr>
                <w:b/>
                <w:spacing w:val="-12"/>
                <w:sz w:val="18"/>
              </w:rPr>
              <w:t> </w:t>
            </w:r>
            <w:r>
              <w:rPr>
                <w:b/>
                <w:sz w:val="18"/>
              </w:rPr>
              <w:t>(Eastern) in fox control area</w:t>
            </w:r>
          </w:p>
        </w:tc>
        <w:tc>
          <w:tcPr>
            <w:tcW w:w="1560" w:type="dxa"/>
            <w:tcBorders>
              <w:top w:val="single" w:sz="4" w:space="0" w:color="004B96"/>
              <w:bottom w:val="single" w:sz="4" w:space="0" w:color="004B96"/>
            </w:tcBorders>
            <w:shd w:val="clear" w:color="auto" w:fill="CCDBEA"/>
          </w:tcPr>
          <w:p>
            <w:pPr>
              <w:pStyle w:val="TableParagraph"/>
              <w:spacing w:line="207" w:lineRule="exact" w:before="164"/>
              <w:ind w:left="3" w:right="3"/>
              <w:jc w:val="center"/>
              <w:rPr>
                <w:b/>
                <w:sz w:val="18"/>
              </w:rPr>
            </w:pPr>
            <w:r>
              <w:rPr>
                <w:b/>
                <w:spacing w:val="-2"/>
                <w:sz w:val="18"/>
              </w:rPr>
              <w:t>-</w:t>
            </w:r>
            <w:r>
              <w:rPr>
                <w:b/>
                <w:spacing w:val="-4"/>
                <w:sz w:val="18"/>
              </w:rPr>
              <w:t>2.90</w:t>
            </w:r>
          </w:p>
          <w:p>
            <w:pPr>
              <w:pStyle w:val="TableParagraph"/>
              <w:spacing w:line="207" w:lineRule="exact"/>
              <w:ind w:left="6" w:right="3"/>
              <w:jc w:val="center"/>
              <w:rPr>
                <w:b/>
                <w:sz w:val="18"/>
              </w:rPr>
            </w:pPr>
            <w:r>
              <w:rPr>
                <w:b/>
                <w:sz w:val="18"/>
              </w:rPr>
              <w:t>(-4.14,</w:t>
            </w:r>
            <w:r>
              <w:rPr>
                <w:b/>
                <w:spacing w:val="-6"/>
                <w:sz w:val="18"/>
              </w:rPr>
              <w:t> </w:t>
            </w:r>
            <w:r>
              <w:rPr>
                <w:b/>
                <w:sz w:val="18"/>
              </w:rPr>
              <w:t>-</w:t>
            </w:r>
            <w:r>
              <w:rPr>
                <w:b/>
                <w:spacing w:val="-2"/>
                <w:sz w:val="18"/>
              </w:rPr>
              <w:t>1.64)</w:t>
            </w:r>
          </w:p>
        </w:tc>
        <w:tc>
          <w:tcPr>
            <w:tcW w:w="1416" w:type="dxa"/>
            <w:tcBorders>
              <w:top w:val="single" w:sz="4" w:space="0" w:color="004B96"/>
              <w:bottom w:val="single" w:sz="4" w:space="0" w:color="004B96"/>
            </w:tcBorders>
          </w:tcPr>
          <w:p>
            <w:pPr>
              <w:pStyle w:val="TableParagraph"/>
              <w:spacing w:line="207" w:lineRule="exact" w:before="164"/>
              <w:ind w:left="2"/>
              <w:jc w:val="center"/>
              <w:rPr>
                <w:b/>
                <w:sz w:val="18"/>
              </w:rPr>
            </w:pPr>
            <w:r>
              <w:rPr>
                <w:b/>
                <w:spacing w:val="-4"/>
                <w:sz w:val="18"/>
              </w:rPr>
              <w:t>0.05</w:t>
            </w:r>
          </w:p>
          <w:p>
            <w:pPr>
              <w:pStyle w:val="TableParagraph"/>
              <w:spacing w:line="207" w:lineRule="exact"/>
              <w:ind w:left="2" w:right="2"/>
              <w:jc w:val="center"/>
              <w:rPr>
                <w:b/>
                <w:sz w:val="18"/>
              </w:rPr>
            </w:pPr>
            <w:r>
              <w:rPr>
                <w:b/>
                <w:sz w:val="18"/>
              </w:rPr>
              <w:t>(0.016,</w:t>
            </w:r>
            <w:r>
              <w:rPr>
                <w:b/>
                <w:spacing w:val="-6"/>
                <w:sz w:val="18"/>
              </w:rPr>
              <w:t> </w:t>
            </w:r>
            <w:r>
              <w:rPr>
                <w:b/>
                <w:spacing w:val="-2"/>
                <w:sz w:val="18"/>
              </w:rPr>
              <w:t>0.19)</w:t>
            </w:r>
          </w:p>
        </w:tc>
        <w:tc>
          <w:tcPr>
            <w:tcW w:w="4111" w:type="dxa"/>
            <w:tcBorders>
              <w:top w:val="single" w:sz="4" w:space="0" w:color="004B96"/>
              <w:bottom w:val="single" w:sz="4" w:space="0" w:color="004B96"/>
            </w:tcBorders>
            <w:shd w:val="clear" w:color="auto" w:fill="CCDBEA"/>
          </w:tcPr>
          <w:p>
            <w:pPr>
              <w:pStyle w:val="TableParagraph"/>
              <w:spacing w:before="61"/>
              <w:ind w:left="108" w:right="192"/>
              <w:rPr>
                <w:b/>
                <w:sz w:val="18"/>
              </w:rPr>
            </w:pPr>
            <w:r>
              <w:rPr>
                <w:b/>
                <w:sz w:val="18"/>
              </w:rPr>
              <w:t>A 95% increase in the odds a site is colonised</w:t>
            </w:r>
            <w:r>
              <w:rPr>
                <w:b/>
                <w:spacing w:val="-5"/>
                <w:sz w:val="18"/>
              </w:rPr>
              <w:t> </w:t>
            </w:r>
            <w:r>
              <w:rPr>
                <w:b/>
                <w:sz w:val="18"/>
              </w:rPr>
              <w:t>if</w:t>
            </w:r>
            <w:r>
              <w:rPr>
                <w:b/>
                <w:spacing w:val="-7"/>
                <w:sz w:val="18"/>
              </w:rPr>
              <w:t> </w:t>
            </w:r>
            <w:r>
              <w:rPr>
                <w:b/>
                <w:sz w:val="18"/>
              </w:rPr>
              <w:t>in</w:t>
            </w:r>
            <w:r>
              <w:rPr>
                <w:b/>
                <w:spacing w:val="-5"/>
                <w:sz w:val="18"/>
              </w:rPr>
              <w:t> </w:t>
            </w:r>
            <w:r>
              <w:rPr>
                <w:b/>
                <w:sz w:val="18"/>
              </w:rPr>
              <w:t>Tall</w:t>
            </w:r>
            <w:r>
              <w:rPr>
                <w:b/>
                <w:spacing w:val="-5"/>
                <w:sz w:val="18"/>
              </w:rPr>
              <w:t> </w:t>
            </w:r>
            <w:r>
              <w:rPr>
                <w:b/>
                <w:sz w:val="18"/>
              </w:rPr>
              <w:t>Mixed</w:t>
            </w:r>
            <w:r>
              <w:rPr>
                <w:b/>
                <w:spacing w:val="-7"/>
                <w:sz w:val="18"/>
              </w:rPr>
              <w:t> </w:t>
            </w:r>
            <w:r>
              <w:rPr>
                <w:b/>
                <w:sz w:val="18"/>
              </w:rPr>
              <w:t>Forest</w:t>
            </w:r>
            <w:r>
              <w:rPr>
                <w:b/>
                <w:spacing w:val="-3"/>
                <w:sz w:val="18"/>
              </w:rPr>
              <w:t> </w:t>
            </w:r>
            <w:r>
              <w:rPr>
                <w:b/>
                <w:sz w:val="18"/>
              </w:rPr>
              <w:t>at</w:t>
            </w:r>
            <w:r>
              <w:rPr>
                <w:b/>
                <w:spacing w:val="-5"/>
                <w:sz w:val="18"/>
              </w:rPr>
              <w:t> </w:t>
            </w:r>
            <w:r>
              <w:rPr>
                <w:b/>
                <w:sz w:val="18"/>
              </w:rPr>
              <w:t>fox control sites</w:t>
            </w:r>
          </w:p>
        </w:tc>
      </w:tr>
      <w:tr>
        <w:trPr>
          <w:trHeight w:val="741" w:hRule="atLeast"/>
        </w:trPr>
        <w:tc>
          <w:tcPr>
            <w:tcW w:w="2710" w:type="dxa"/>
            <w:tcBorders>
              <w:top w:val="single" w:sz="4" w:space="0" w:color="004B96"/>
              <w:bottom w:val="single" w:sz="4" w:space="0" w:color="004B96"/>
            </w:tcBorders>
          </w:tcPr>
          <w:p>
            <w:pPr>
              <w:pStyle w:val="TableParagraph"/>
              <w:spacing w:before="164"/>
              <w:ind w:left="122" w:right="199"/>
              <w:rPr>
                <w:b/>
                <w:sz w:val="18"/>
              </w:rPr>
            </w:pPr>
            <w:r>
              <w:rPr>
                <w:b/>
                <w:sz w:val="18"/>
              </w:rPr>
              <w:t>Elevation</w:t>
            </w:r>
            <w:r>
              <w:rPr>
                <w:b/>
                <w:spacing w:val="-13"/>
                <w:sz w:val="18"/>
              </w:rPr>
              <w:t> </w:t>
            </w:r>
            <w:r>
              <w:rPr>
                <w:b/>
                <w:sz w:val="18"/>
              </w:rPr>
              <w:t>in</w:t>
            </w:r>
            <w:r>
              <w:rPr>
                <w:b/>
                <w:spacing w:val="-12"/>
                <w:sz w:val="18"/>
              </w:rPr>
              <w:t> </w:t>
            </w:r>
            <w:r>
              <w:rPr>
                <w:b/>
                <w:sz w:val="18"/>
              </w:rPr>
              <w:t>fox</w:t>
            </w:r>
            <w:r>
              <w:rPr>
                <w:b/>
                <w:spacing w:val="-13"/>
                <w:sz w:val="18"/>
              </w:rPr>
              <w:t> </w:t>
            </w:r>
            <w:r>
              <w:rPr>
                <w:b/>
                <w:sz w:val="18"/>
              </w:rPr>
              <w:t>control </w:t>
            </w:r>
            <w:r>
              <w:rPr>
                <w:b/>
                <w:spacing w:val="-2"/>
                <w:sz w:val="18"/>
              </w:rPr>
              <w:t>areas</w:t>
            </w:r>
          </w:p>
        </w:tc>
        <w:tc>
          <w:tcPr>
            <w:tcW w:w="1560" w:type="dxa"/>
            <w:tcBorders>
              <w:top w:val="single" w:sz="4" w:space="0" w:color="004B96"/>
              <w:bottom w:val="single" w:sz="4" w:space="0" w:color="004B96"/>
            </w:tcBorders>
            <w:shd w:val="clear" w:color="auto" w:fill="CCDBEA"/>
          </w:tcPr>
          <w:p>
            <w:pPr>
              <w:pStyle w:val="TableParagraph"/>
              <w:spacing w:before="164"/>
              <w:ind w:left="5" w:right="3"/>
              <w:jc w:val="center"/>
              <w:rPr>
                <w:b/>
                <w:sz w:val="18"/>
              </w:rPr>
            </w:pPr>
            <w:r>
              <w:rPr>
                <w:b/>
                <w:spacing w:val="-4"/>
                <w:sz w:val="18"/>
              </w:rPr>
              <w:t>1.03</w:t>
            </w:r>
          </w:p>
          <w:p>
            <w:pPr>
              <w:pStyle w:val="TableParagraph"/>
              <w:ind w:left="5" w:right="3"/>
              <w:jc w:val="center"/>
              <w:rPr>
                <w:b/>
                <w:sz w:val="18"/>
              </w:rPr>
            </w:pPr>
            <w:r>
              <w:rPr>
                <w:b/>
                <w:sz w:val="18"/>
              </w:rPr>
              <w:t>(0.06,</w:t>
            </w:r>
            <w:r>
              <w:rPr>
                <w:b/>
                <w:spacing w:val="-5"/>
                <w:sz w:val="18"/>
              </w:rPr>
              <w:t> </w:t>
            </w:r>
            <w:r>
              <w:rPr>
                <w:b/>
                <w:spacing w:val="-2"/>
                <w:sz w:val="18"/>
              </w:rPr>
              <w:t>1.97)</w:t>
            </w:r>
          </w:p>
        </w:tc>
        <w:tc>
          <w:tcPr>
            <w:tcW w:w="1416" w:type="dxa"/>
            <w:tcBorders>
              <w:top w:val="single" w:sz="4" w:space="0" w:color="004B96"/>
              <w:bottom w:val="single" w:sz="4" w:space="0" w:color="004B96"/>
            </w:tcBorders>
          </w:tcPr>
          <w:p>
            <w:pPr>
              <w:pStyle w:val="TableParagraph"/>
              <w:spacing w:before="164"/>
              <w:ind w:left="2"/>
              <w:jc w:val="center"/>
              <w:rPr>
                <w:b/>
                <w:sz w:val="18"/>
              </w:rPr>
            </w:pPr>
            <w:r>
              <w:rPr>
                <w:b/>
                <w:spacing w:val="-4"/>
                <w:sz w:val="18"/>
              </w:rPr>
              <w:t>2.81</w:t>
            </w:r>
          </w:p>
          <w:p>
            <w:pPr>
              <w:pStyle w:val="TableParagraph"/>
              <w:ind w:left="2"/>
              <w:jc w:val="center"/>
              <w:rPr>
                <w:b/>
                <w:sz w:val="18"/>
              </w:rPr>
            </w:pPr>
            <w:r>
              <w:rPr>
                <w:b/>
                <w:sz w:val="18"/>
              </w:rPr>
              <w:t>(1.06,</w:t>
            </w:r>
            <w:r>
              <w:rPr>
                <w:b/>
                <w:spacing w:val="-5"/>
                <w:sz w:val="18"/>
              </w:rPr>
              <w:t> </w:t>
            </w:r>
            <w:r>
              <w:rPr>
                <w:b/>
                <w:spacing w:val="-2"/>
                <w:sz w:val="18"/>
              </w:rPr>
              <w:t>7.15)</w:t>
            </w:r>
          </w:p>
        </w:tc>
        <w:tc>
          <w:tcPr>
            <w:tcW w:w="4111" w:type="dxa"/>
            <w:tcBorders>
              <w:top w:val="single" w:sz="4" w:space="0" w:color="004B96"/>
              <w:bottom w:val="single" w:sz="4" w:space="0" w:color="004B96"/>
            </w:tcBorders>
            <w:shd w:val="clear" w:color="auto" w:fill="CCDBEA"/>
          </w:tcPr>
          <w:p>
            <w:pPr>
              <w:pStyle w:val="TableParagraph"/>
              <w:spacing w:before="59"/>
              <w:ind w:left="108" w:right="192"/>
              <w:rPr>
                <w:b/>
                <w:sz w:val="18"/>
              </w:rPr>
            </w:pPr>
            <w:r>
              <w:rPr>
                <w:b/>
                <w:sz w:val="18"/>
              </w:rPr>
              <w:t>Nearly</w:t>
            </w:r>
            <w:r>
              <w:rPr>
                <w:b/>
                <w:spacing w:val="-4"/>
                <w:sz w:val="18"/>
              </w:rPr>
              <w:t> </w:t>
            </w:r>
            <w:r>
              <w:rPr>
                <w:b/>
                <w:sz w:val="18"/>
              </w:rPr>
              <w:t>a</w:t>
            </w:r>
            <w:r>
              <w:rPr>
                <w:b/>
                <w:spacing w:val="-6"/>
                <w:sz w:val="18"/>
              </w:rPr>
              <w:t> </w:t>
            </w:r>
            <w:r>
              <w:rPr>
                <w:b/>
                <w:sz w:val="18"/>
              </w:rPr>
              <w:t>3-fold</w:t>
            </w:r>
            <w:r>
              <w:rPr>
                <w:b/>
                <w:spacing w:val="-4"/>
                <w:sz w:val="18"/>
              </w:rPr>
              <w:t> </w:t>
            </w:r>
            <w:r>
              <w:rPr>
                <w:b/>
                <w:sz w:val="18"/>
              </w:rPr>
              <w:t>increase</w:t>
            </w:r>
            <w:r>
              <w:rPr>
                <w:b/>
                <w:spacing w:val="-4"/>
                <w:sz w:val="18"/>
              </w:rPr>
              <w:t> </w:t>
            </w:r>
            <w:r>
              <w:rPr>
                <w:b/>
                <w:sz w:val="18"/>
              </w:rPr>
              <w:t>in</w:t>
            </w:r>
            <w:r>
              <w:rPr>
                <w:b/>
                <w:spacing w:val="-6"/>
                <w:sz w:val="18"/>
              </w:rPr>
              <w:t> </w:t>
            </w:r>
            <w:r>
              <w:rPr>
                <w:b/>
                <w:sz w:val="18"/>
              </w:rPr>
              <w:t>the</w:t>
            </w:r>
            <w:r>
              <w:rPr>
                <w:b/>
                <w:spacing w:val="-4"/>
                <w:sz w:val="18"/>
              </w:rPr>
              <w:t> </w:t>
            </w:r>
            <w:r>
              <w:rPr>
                <w:b/>
                <w:sz w:val="18"/>
              </w:rPr>
              <w:t>odds</w:t>
            </w:r>
            <w:r>
              <w:rPr>
                <w:b/>
                <w:spacing w:val="-6"/>
                <w:sz w:val="18"/>
              </w:rPr>
              <w:t> </w:t>
            </w:r>
            <w:r>
              <w:rPr>
                <w:b/>
                <w:sz w:val="18"/>
              </w:rPr>
              <w:t>a</w:t>
            </w:r>
            <w:r>
              <w:rPr>
                <w:b/>
                <w:spacing w:val="-4"/>
                <w:sz w:val="18"/>
              </w:rPr>
              <w:t> </w:t>
            </w:r>
            <w:r>
              <w:rPr>
                <w:b/>
                <w:sz w:val="18"/>
              </w:rPr>
              <w:t>site</w:t>
            </w:r>
            <w:r>
              <w:rPr>
                <w:b/>
                <w:spacing w:val="-4"/>
                <w:sz w:val="18"/>
              </w:rPr>
              <w:t> </w:t>
            </w:r>
            <w:r>
              <w:rPr>
                <w:b/>
                <w:sz w:val="18"/>
              </w:rPr>
              <w:t>is colonised with each 50 m increase in </w:t>
            </w:r>
            <w:r>
              <w:rPr>
                <w:b/>
                <w:spacing w:val="-2"/>
                <w:sz w:val="18"/>
              </w:rPr>
              <w:t>elevation</w:t>
            </w:r>
          </w:p>
        </w:tc>
      </w:tr>
      <w:tr>
        <w:trPr>
          <w:trHeight w:val="534" w:hRule="atLeast"/>
        </w:trPr>
        <w:tc>
          <w:tcPr>
            <w:tcW w:w="2710" w:type="dxa"/>
            <w:tcBorders>
              <w:top w:val="single" w:sz="4" w:space="0" w:color="004B96"/>
              <w:bottom w:val="single" w:sz="8" w:space="0" w:color="004B96"/>
            </w:tcBorders>
          </w:tcPr>
          <w:p>
            <w:pPr>
              <w:pStyle w:val="TableParagraph"/>
              <w:spacing w:before="162"/>
              <w:ind w:left="122"/>
              <w:rPr>
                <w:b/>
                <w:sz w:val="18"/>
              </w:rPr>
            </w:pPr>
            <w:r>
              <w:rPr>
                <w:b/>
                <w:sz w:val="18"/>
              </w:rPr>
              <w:t>Fox</w:t>
            </w:r>
            <w:r>
              <w:rPr>
                <w:b/>
                <w:spacing w:val="-4"/>
                <w:sz w:val="18"/>
              </w:rPr>
              <w:t> </w:t>
            </w:r>
            <w:r>
              <w:rPr>
                <w:b/>
                <w:sz w:val="18"/>
              </w:rPr>
              <w:t>control</w:t>
            </w:r>
            <w:r>
              <w:rPr>
                <w:b/>
                <w:spacing w:val="-1"/>
                <w:sz w:val="18"/>
              </w:rPr>
              <w:t> </w:t>
            </w:r>
            <w:r>
              <w:rPr>
                <w:b/>
                <w:spacing w:val="-4"/>
                <w:sz w:val="18"/>
              </w:rPr>
              <w:t>area</w:t>
            </w:r>
          </w:p>
        </w:tc>
        <w:tc>
          <w:tcPr>
            <w:tcW w:w="1560" w:type="dxa"/>
            <w:tcBorders>
              <w:top w:val="single" w:sz="4" w:space="0" w:color="004B96"/>
              <w:bottom w:val="single" w:sz="8" w:space="0" w:color="004B96"/>
            </w:tcBorders>
            <w:shd w:val="clear" w:color="auto" w:fill="CCDBEA"/>
          </w:tcPr>
          <w:p>
            <w:pPr>
              <w:pStyle w:val="TableParagraph"/>
              <w:spacing w:before="59"/>
              <w:ind w:left="5" w:right="3"/>
              <w:jc w:val="center"/>
              <w:rPr>
                <w:b/>
                <w:sz w:val="18"/>
              </w:rPr>
            </w:pPr>
            <w:r>
              <w:rPr>
                <w:b/>
                <w:spacing w:val="-4"/>
                <w:sz w:val="18"/>
              </w:rPr>
              <w:t>3.22</w:t>
            </w:r>
          </w:p>
          <w:p>
            <w:pPr>
              <w:pStyle w:val="TableParagraph"/>
              <w:spacing w:before="1"/>
              <w:ind w:left="5" w:right="3"/>
              <w:jc w:val="center"/>
              <w:rPr>
                <w:b/>
                <w:sz w:val="18"/>
              </w:rPr>
            </w:pPr>
            <w:r>
              <w:rPr>
                <w:b/>
                <w:sz w:val="18"/>
              </w:rPr>
              <w:t>(2.39,</w:t>
            </w:r>
            <w:r>
              <w:rPr>
                <w:b/>
                <w:spacing w:val="-5"/>
                <w:sz w:val="18"/>
              </w:rPr>
              <w:t> </w:t>
            </w:r>
            <w:r>
              <w:rPr>
                <w:b/>
                <w:spacing w:val="-2"/>
                <w:sz w:val="18"/>
              </w:rPr>
              <w:t>4.13)</w:t>
            </w:r>
          </w:p>
        </w:tc>
        <w:tc>
          <w:tcPr>
            <w:tcW w:w="1416" w:type="dxa"/>
            <w:tcBorders>
              <w:top w:val="single" w:sz="4" w:space="0" w:color="004B96"/>
              <w:bottom w:val="single" w:sz="8" w:space="0" w:color="004B96"/>
            </w:tcBorders>
          </w:tcPr>
          <w:p>
            <w:pPr>
              <w:pStyle w:val="TableParagraph"/>
              <w:spacing w:before="59"/>
              <w:ind w:left="2"/>
              <w:jc w:val="center"/>
              <w:rPr>
                <w:b/>
                <w:sz w:val="18"/>
              </w:rPr>
            </w:pPr>
            <w:r>
              <w:rPr>
                <w:b/>
                <w:spacing w:val="-2"/>
                <w:sz w:val="18"/>
              </w:rPr>
              <w:t>24.95</w:t>
            </w:r>
          </w:p>
          <w:p>
            <w:pPr>
              <w:pStyle w:val="TableParagraph"/>
              <w:spacing w:before="1"/>
              <w:ind w:left="2" w:right="2"/>
              <w:jc w:val="center"/>
              <w:rPr>
                <w:b/>
                <w:sz w:val="18"/>
              </w:rPr>
            </w:pPr>
            <w:r>
              <w:rPr>
                <w:b/>
                <w:sz w:val="18"/>
              </w:rPr>
              <w:t>(10.94,</w:t>
            </w:r>
            <w:r>
              <w:rPr>
                <w:b/>
                <w:spacing w:val="-6"/>
                <w:sz w:val="18"/>
              </w:rPr>
              <w:t> </w:t>
            </w:r>
            <w:r>
              <w:rPr>
                <w:b/>
                <w:spacing w:val="-2"/>
                <w:sz w:val="18"/>
              </w:rPr>
              <w:t>62.11)</w:t>
            </w:r>
          </w:p>
        </w:tc>
        <w:tc>
          <w:tcPr>
            <w:tcW w:w="4111" w:type="dxa"/>
            <w:tcBorders>
              <w:top w:val="single" w:sz="4" w:space="0" w:color="004B96"/>
              <w:bottom w:val="single" w:sz="8" w:space="0" w:color="004B96"/>
            </w:tcBorders>
            <w:shd w:val="clear" w:color="auto" w:fill="CCDBEA"/>
          </w:tcPr>
          <w:p>
            <w:pPr>
              <w:pStyle w:val="TableParagraph"/>
              <w:spacing w:before="59"/>
              <w:ind w:left="108"/>
              <w:rPr>
                <w:b/>
                <w:sz w:val="18"/>
              </w:rPr>
            </w:pPr>
            <w:r>
              <w:rPr>
                <w:b/>
                <w:sz w:val="18"/>
              </w:rPr>
              <w:t>Fox</w:t>
            </w:r>
            <w:r>
              <w:rPr>
                <w:b/>
                <w:spacing w:val="-6"/>
                <w:sz w:val="18"/>
              </w:rPr>
              <w:t> </w:t>
            </w:r>
            <w:r>
              <w:rPr>
                <w:b/>
                <w:sz w:val="18"/>
              </w:rPr>
              <w:t>control</w:t>
            </w:r>
            <w:r>
              <w:rPr>
                <w:b/>
                <w:spacing w:val="-6"/>
                <w:sz w:val="18"/>
              </w:rPr>
              <w:t> </w:t>
            </w:r>
            <w:r>
              <w:rPr>
                <w:b/>
                <w:sz w:val="18"/>
              </w:rPr>
              <w:t>has</w:t>
            </w:r>
            <w:r>
              <w:rPr>
                <w:b/>
                <w:spacing w:val="-6"/>
                <w:sz w:val="18"/>
              </w:rPr>
              <w:t> </w:t>
            </w:r>
            <w:r>
              <w:rPr>
                <w:b/>
                <w:sz w:val="18"/>
              </w:rPr>
              <w:t>a</w:t>
            </w:r>
            <w:r>
              <w:rPr>
                <w:b/>
                <w:spacing w:val="-6"/>
                <w:sz w:val="18"/>
              </w:rPr>
              <w:t> </w:t>
            </w:r>
            <w:r>
              <w:rPr>
                <w:b/>
                <w:sz w:val="18"/>
              </w:rPr>
              <w:t>significant</w:t>
            </w:r>
            <w:r>
              <w:rPr>
                <w:b/>
                <w:spacing w:val="-8"/>
                <w:sz w:val="18"/>
              </w:rPr>
              <w:t> </w:t>
            </w:r>
            <w:r>
              <w:rPr>
                <w:b/>
                <w:sz w:val="18"/>
              </w:rPr>
              <w:t>influence</w:t>
            </w:r>
            <w:r>
              <w:rPr>
                <w:b/>
                <w:spacing w:val="-6"/>
                <w:sz w:val="18"/>
              </w:rPr>
              <w:t> </w:t>
            </w:r>
            <w:r>
              <w:rPr>
                <w:b/>
                <w:sz w:val="18"/>
              </w:rPr>
              <w:t>on </w:t>
            </w:r>
            <w:r>
              <w:rPr>
                <w:b/>
                <w:spacing w:val="-2"/>
                <w:sz w:val="18"/>
              </w:rPr>
              <w:t>colonisation</w:t>
            </w:r>
          </w:p>
        </w:tc>
      </w:tr>
    </w:tbl>
    <w:p>
      <w:pPr>
        <w:spacing w:line="276" w:lineRule="auto" w:before="100"/>
        <w:ind w:left="140" w:right="507" w:firstLine="0"/>
        <w:jc w:val="left"/>
        <w:rPr>
          <w:sz w:val="18"/>
        </w:rPr>
      </w:pPr>
      <w:r>
        <w:rPr>
          <w:b/>
          <w:sz w:val="18"/>
        </w:rPr>
        <w:t>Bold</w:t>
      </w:r>
      <w:r>
        <w:rPr>
          <w:b/>
          <w:spacing w:val="-1"/>
          <w:sz w:val="18"/>
        </w:rPr>
        <w:t> </w:t>
      </w:r>
      <w:r>
        <w:rPr>
          <w:sz w:val="18"/>
        </w:rPr>
        <w:t>type</w:t>
      </w:r>
      <w:r>
        <w:rPr>
          <w:spacing w:val="-2"/>
          <w:sz w:val="18"/>
        </w:rPr>
        <w:t> </w:t>
      </w:r>
      <w:r>
        <w:rPr>
          <w:sz w:val="18"/>
        </w:rPr>
        <w:t>indicates</w:t>
      </w:r>
      <w:r>
        <w:rPr>
          <w:spacing w:val="-1"/>
          <w:sz w:val="18"/>
        </w:rPr>
        <w:t> </w:t>
      </w:r>
      <w:r>
        <w:rPr>
          <w:sz w:val="18"/>
        </w:rPr>
        <w:t>evidence</w:t>
      </w:r>
      <w:r>
        <w:rPr>
          <w:spacing w:val="-2"/>
          <w:sz w:val="18"/>
        </w:rPr>
        <w:t> </w:t>
      </w:r>
      <w:r>
        <w:rPr>
          <w:sz w:val="18"/>
        </w:rPr>
        <w:t>that</w:t>
      </w:r>
      <w:r>
        <w:rPr>
          <w:spacing w:val="-2"/>
          <w:sz w:val="18"/>
        </w:rPr>
        <w:t> </w:t>
      </w:r>
      <w:r>
        <w:rPr>
          <w:sz w:val="18"/>
        </w:rPr>
        <w:t>the</w:t>
      </w:r>
      <w:r>
        <w:rPr>
          <w:spacing w:val="-2"/>
          <w:sz w:val="18"/>
        </w:rPr>
        <w:t> </w:t>
      </w:r>
      <w:r>
        <w:rPr>
          <w:sz w:val="18"/>
        </w:rPr>
        <w:t>covariate</w:t>
      </w:r>
      <w:r>
        <w:rPr>
          <w:spacing w:val="-4"/>
          <w:sz w:val="18"/>
        </w:rPr>
        <w:t> </w:t>
      </w:r>
      <w:r>
        <w:rPr>
          <w:sz w:val="18"/>
        </w:rPr>
        <w:t>was</w:t>
      </w:r>
      <w:r>
        <w:rPr>
          <w:spacing w:val="-3"/>
          <w:sz w:val="18"/>
        </w:rPr>
        <w:t> </w:t>
      </w:r>
      <w:r>
        <w:rPr>
          <w:sz w:val="18"/>
        </w:rPr>
        <w:t>important.</w:t>
      </w:r>
      <w:r>
        <w:rPr>
          <w:spacing w:val="-2"/>
          <w:sz w:val="18"/>
        </w:rPr>
        <w:t> </w:t>
      </w:r>
      <w:r>
        <w:rPr>
          <w:sz w:val="18"/>
        </w:rPr>
        <w:t>All</w:t>
      </w:r>
      <w:r>
        <w:rPr>
          <w:spacing w:val="-4"/>
          <w:sz w:val="18"/>
        </w:rPr>
        <w:t> </w:t>
      </w:r>
      <w:r>
        <w:rPr>
          <w:sz w:val="18"/>
        </w:rPr>
        <w:t>estimates</w:t>
      </w:r>
      <w:r>
        <w:rPr>
          <w:spacing w:val="-3"/>
          <w:sz w:val="18"/>
        </w:rPr>
        <w:t> </w:t>
      </w:r>
      <w:r>
        <w:rPr>
          <w:sz w:val="18"/>
        </w:rPr>
        <w:t>are</w:t>
      </w:r>
      <w:r>
        <w:rPr>
          <w:spacing w:val="-4"/>
          <w:sz w:val="18"/>
        </w:rPr>
        <w:t> </w:t>
      </w:r>
      <w:r>
        <w:rPr>
          <w:sz w:val="18"/>
        </w:rPr>
        <w:t>on</w:t>
      </w:r>
      <w:r>
        <w:rPr>
          <w:spacing w:val="-2"/>
          <w:sz w:val="18"/>
        </w:rPr>
        <w:t> </w:t>
      </w:r>
      <w:r>
        <w:rPr>
          <w:sz w:val="18"/>
        </w:rPr>
        <w:t>the</w:t>
      </w:r>
      <w:r>
        <w:rPr>
          <w:spacing w:val="-2"/>
          <w:sz w:val="18"/>
        </w:rPr>
        <w:t> </w:t>
      </w:r>
      <w:r>
        <w:rPr>
          <w:sz w:val="18"/>
        </w:rPr>
        <w:t>logit</w:t>
      </w:r>
      <w:r>
        <w:rPr>
          <w:spacing w:val="-4"/>
          <w:sz w:val="18"/>
        </w:rPr>
        <w:t> </w:t>
      </w:r>
      <w:r>
        <w:rPr>
          <w:sz w:val="18"/>
        </w:rPr>
        <w:t>scale.</w:t>
      </w:r>
      <w:r>
        <w:rPr>
          <w:spacing w:val="-2"/>
          <w:sz w:val="18"/>
        </w:rPr>
        <w:t> </w:t>
      </w:r>
      <w:r>
        <w:rPr>
          <w:sz w:val="18"/>
        </w:rPr>
        <w:t>CI =</w:t>
      </w:r>
      <w:r>
        <w:rPr>
          <w:spacing w:val="-1"/>
          <w:sz w:val="18"/>
        </w:rPr>
        <w:t> </w:t>
      </w:r>
      <w:r>
        <w:rPr>
          <w:sz w:val="18"/>
        </w:rPr>
        <w:t>credible </w:t>
      </w:r>
      <w:r>
        <w:rPr>
          <w:spacing w:val="-2"/>
          <w:sz w:val="18"/>
        </w:rPr>
        <w:t>interval.</w:t>
      </w:r>
    </w:p>
    <w:p>
      <w:pPr>
        <w:spacing w:after="0" w:line="276" w:lineRule="auto"/>
        <w:jc w:val="left"/>
        <w:rPr>
          <w:sz w:val="18"/>
        </w:rPr>
        <w:sectPr>
          <w:footerReference w:type="default" r:id="rId91"/>
          <w:pgSz w:w="11910" w:h="16850"/>
          <w:pgMar w:header="0" w:footer="688" w:top="1060" w:bottom="880" w:left="992" w:right="850"/>
        </w:sectPr>
      </w:pPr>
    </w:p>
    <w:p>
      <w:pPr>
        <w:pStyle w:val="Heading5"/>
        <w:spacing w:before="71"/>
        <w:ind w:left="140" w:right="74"/>
      </w:pPr>
      <w:r>
        <w:rPr>
          <w:color w:val="1F1546"/>
        </w:rPr>
        <w:t>Table</w:t>
      </w:r>
      <w:r>
        <w:rPr>
          <w:color w:val="1F1546"/>
          <w:spacing w:val="-5"/>
        </w:rPr>
        <w:t> </w:t>
      </w:r>
      <w:r>
        <w:rPr>
          <w:color w:val="1F1546"/>
        </w:rPr>
        <w:t>A5.</w:t>
      </w:r>
      <w:r>
        <w:rPr>
          <w:color w:val="1F1546"/>
          <w:spacing w:val="-5"/>
        </w:rPr>
        <w:t> </w:t>
      </w:r>
      <w:r>
        <w:rPr>
          <w:color w:val="1F1546"/>
        </w:rPr>
        <w:t>Parameter</w:t>
      </w:r>
      <w:r>
        <w:rPr>
          <w:color w:val="1F1546"/>
          <w:spacing w:val="-3"/>
        </w:rPr>
        <w:t> </w:t>
      </w:r>
      <w:r>
        <w:rPr>
          <w:color w:val="1F1546"/>
        </w:rPr>
        <w:t>estimates</w:t>
      </w:r>
      <w:r>
        <w:rPr>
          <w:color w:val="1F1546"/>
          <w:spacing w:val="-5"/>
        </w:rPr>
        <w:t> </w:t>
      </w:r>
      <w:r>
        <w:rPr>
          <w:color w:val="1F1546"/>
        </w:rPr>
        <w:t>(posterior</w:t>
      </w:r>
      <w:r>
        <w:rPr>
          <w:color w:val="1F1546"/>
          <w:spacing w:val="-5"/>
        </w:rPr>
        <w:t> </w:t>
      </w:r>
      <w:r>
        <w:rPr>
          <w:color w:val="1F1546"/>
        </w:rPr>
        <w:t>median</w:t>
      </w:r>
      <w:r>
        <w:rPr>
          <w:color w:val="1F1546"/>
          <w:spacing w:val="-2"/>
        </w:rPr>
        <w:t> </w:t>
      </w:r>
      <w:r>
        <w:rPr>
          <w:color w:val="1F1546"/>
        </w:rPr>
        <w:t>and</w:t>
      </w:r>
      <w:r>
        <w:rPr>
          <w:color w:val="1F1546"/>
          <w:spacing w:val="-4"/>
        </w:rPr>
        <w:t> </w:t>
      </w:r>
      <w:r>
        <w:rPr>
          <w:color w:val="1F1546"/>
        </w:rPr>
        <w:t>95%</w:t>
      </w:r>
      <w:r>
        <w:rPr>
          <w:color w:val="1F1546"/>
          <w:spacing w:val="-4"/>
        </w:rPr>
        <w:t> </w:t>
      </w:r>
      <w:r>
        <w:rPr>
          <w:color w:val="1F1546"/>
        </w:rPr>
        <w:t>credible</w:t>
      </w:r>
      <w:r>
        <w:rPr>
          <w:color w:val="1F1546"/>
          <w:spacing w:val="-5"/>
        </w:rPr>
        <w:t> </w:t>
      </w:r>
      <w:r>
        <w:rPr>
          <w:color w:val="1F1546"/>
        </w:rPr>
        <w:t>limits)</w:t>
      </w:r>
      <w:r>
        <w:rPr>
          <w:color w:val="1F1546"/>
          <w:spacing w:val="-5"/>
        </w:rPr>
        <w:t> </w:t>
      </w:r>
      <w:r>
        <w:rPr>
          <w:color w:val="1F1546"/>
        </w:rPr>
        <w:t>and</w:t>
      </w:r>
      <w:r>
        <w:rPr>
          <w:color w:val="1F1546"/>
          <w:spacing w:val="-4"/>
        </w:rPr>
        <w:t> </w:t>
      </w:r>
      <w:r>
        <w:rPr>
          <w:color w:val="1F1546"/>
        </w:rPr>
        <w:t>corresponding</w:t>
      </w:r>
      <w:r>
        <w:rPr>
          <w:color w:val="1F1546"/>
          <w:spacing w:val="-4"/>
        </w:rPr>
        <w:t> </w:t>
      </w:r>
      <w:r>
        <w:rPr>
          <w:color w:val="1F1546"/>
        </w:rPr>
        <w:t>odds ratios for initial occupancy, local survival and colonisation for the Southern Brown Bandicoot.</w:t>
      </w:r>
    </w:p>
    <w:p>
      <w:pPr>
        <w:pStyle w:val="BodyText"/>
        <w:spacing w:before="1" w:after="1"/>
        <w:rPr>
          <w:b/>
          <w:sz w:val="10"/>
        </w:rPr>
      </w:pPr>
    </w:p>
    <w:tbl>
      <w:tblPr>
        <w:tblW w:w="0" w:type="auto"/>
        <w:jc w:val="left"/>
        <w:tblInd w:w="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50"/>
        <w:gridCol w:w="1723"/>
        <w:gridCol w:w="1680"/>
        <w:gridCol w:w="3437"/>
      </w:tblGrid>
      <w:tr>
        <w:trPr>
          <w:trHeight w:val="619" w:hRule="atLeast"/>
        </w:trPr>
        <w:tc>
          <w:tcPr>
            <w:tcW w:w="2850" w:type="dxa"/>
            <w:shd w:val="clear" w:color="auto" w:fill="004B96"/>
          </w:tcPr>
          <w:p>
            <w:pPr>
              <w:pStyle w:val="TableParagraph"/>
              <w:spacing w:before="199"/>
              <w:ind w:left="122"/>
              <w:rPr>
                <w:b/>
                <w:sz w:val="20"/>
              </w:rPr>
            </w:pPr>
            <w:r>
              <w:rPr>
                <w:b/>
                <w:color w:val="FFFFFF"/>
                <w:spacing w:val="-2"/>
                <w:sz w:val="20"/>
              </w:rPr>
              <w:t>Parameter</w:t>
            </w:r>
          </w:p>
        </w:tc>
        <w:tc>
          <w:tcPr>
            <w:tcW w:w="1723" w:type="dxa"/>
            <w:shd w:val="clear" w:color="auto" w:fill="004B96"/>
          </w:tcPr>
          <w:p>
            <w:pPr>
              <w:pStyle w:val="TableParagraph"/>
              <w:spacing w:line="249" w:lineRule="auto" w:before="79"/>
              <w:ind w:left="467" w:right="82" w:firstLine="50"/>
              <w:rPr>
                <w:b/>
                <w:sz w:val="20"/>
              </w:rPr>
            </w:pPr>
            <w:r>
              <w:rPr>
                <w:b/>
                <w:color w:val="FFFFFF"/>
                <w:spacing w:val="-2"/>
                <w:sz w:val="20"/>
              </w:rPr>
              <w:t>Median </w:t>
            </w:r>
            <w:r>
              <w:rPr>
                <w:b/>
                <w:color w:val="FFFFFF"/>
                <w:sz w:val="20"/>
              </w:rPr>
              <w:t>(95%</w:t>
            </w:r>
            <w:r>
              <w:rPr>
                <w:b/>
                <w:color w:val="FFFFFF"/>
                <w:spacing w:val="-6"/>
                <w:sz w:val="20"/>
              </w:rPr>
              <w:t> </w:t>
            </w:r>
            <w:r>
              <w:rPr>
                <w:b/>
                <w:color w:val="FFFFFF"/>
                <w:spacing w:val="-5"/>
                <w:sz w:val="20"/>
              </w:rPr>
              <w:t>CI)</w:t>
            </w:r>
          </w:p>
        </w:tc>
        <w:tc>
          <w:tcPr>
            <w:tcW w:w="1680" w:type="dxa"/>
            <w:shd w:val="clear" w:color="auto" w:fill="004B96"/>
          </w:tcPr>
          <w:p>
            <w:pPr>
              <w:pStyle w:val="TableParagraph"/>
              <w:spacing w:line="249" w:lineRule="auto" w:before="79"/>
              <w:ind w:left="443" w:right="390" w:hanging="48"/>
              <w:rPr>
                <w:b/>
                <w:sz w:val="20"/>
              </w:rPr>
            </w:pPr>
            <w:r>
              <w:rPr>
                <w:b/>
                <w:color w:val="FFFFFF"/>
                <w:sz w:val="20"/>
              </w:rPr>
              <w:t>Odd</w:t>
            </w:r>
            <w:r>
              <w:rPr>
                <w:b/>
                <w:color w:val="FFFFFF"/>
                <w:spacing w:val="-14"/>
                <w:sz w:val="20"/>
              </w:rPr>
              <w:t> </w:t>
            </w:r>
            <w:r>
              <w:rPr>
                <w:b/>
                <w:color w:val="FFFFFF"/>
                <w:sz w:val="20"/>
              </w:rPr>
              <w:t>ratio (95%</w:t>
            </w:r>
            <w:r>
              <w:rPr>
                <w:b/>
                <w:color w:val="FFFFFF"/>
                <w:spacing w:val="-6"/>
                <w:sz w:val="20"/>
              </w:rPr>
              <w:t> </w:t>
            </w:r>
            <w:r>
              <w:rPr>
                <w:b/>
                <w:color w:val="FFFFFF"/>
                <w:spacing w:val="-5"/>
                <w:sz w:val="20"/>
              </w:rPr>
              <w:t>CI)</w:t>
            </w:r>
          </w:p>
        </w:tc>
        <w:tc>
          <w:tcPr>
            <w:tcW w:w="3437" w:type="dxa"/>
            <w:shd w:val="clear" w:color="auto" w:fill="004B96"/>
          </w:tcPr>
          <w:p>
            <w:pPr>
              <w:pStyle w:val="TableParagraph"/>
              <w:spacing w:before="199"/>
              <w:ind w:left="1073"/>
              <w:rPr>
                <w:b/>
                <w:sz w:val="20"/>
              </w:rPr>
            </w:pPr>
            <w:r>
              <w:rPr>
                <w:b/>
                <w:color w:val="FFFFFF"/>
                <w:spacing w:val="-2"/>
                <w:sz w:val="20"/>
              </w:rPr>
              <w:t>Interpretation</w:t>
            </w:r>
          </w:p>
        </w:tc>
      </w:tr>
      <w:tr>
        <w:trPr>
          <w:trHeight w:val="287" w:hRule="atLeast"/>
        </w:trPr>
        <w:tc>
          <w:tcPr>
            <w:tcW w:w="9690" w:type="dxa"/>
            <w:gridSpan w:val="4"/>
            <w:tcBorders>
              <w:bottom w:val="single" w:sz="12" w:space="0" w:color="004B96"/>
            </w:tcBorders>
          </w:tcPr>
          <w:p>
            <w:pPr>
              <w:pStyle w:val="TableParagraph"/>
              <w:spacing w:before="40"/>
              <w:ind w:left="122"/>
              <w:rPr>
                <w:b/>
                <w:sz w:val="18"/>
              </w:rPr>
            </w:pPr>
            <w:r>
              <w:rPr>
                <w:b/>
                <w:sz w:val="18"/>
              </w:rPr>
              <w:t>A:</w:t>
            </w:r>
            <w:r>
              <w:rPr>
                <w:b/>
                <w:spacing w:val="-1"/>
                <w:sz w:val="18"/>
              </w:rPr>
              <w:t> </w:t>
            </w:r>
            <w:r>
              <w:rPr>
                <w:b/>
                <w:sz w:val="18"/>
              </w:rPr>
              <w:t>Initial</w:t>
            </w:r>
            <w:r>
              <w:rPr>
                <w:b/>
                <w:spacing w:val="-1"/>
                <w:sz w:val="18"/>
              </w:rPr>
              <w:t> </w:t>
            </w:r>
            <w:r>
              <w:rPr>
                <w:b/>
                <w:spacing w:val="-2"/>
                <w:sz w:val="18"/>
              </w:rPr>
              <w:t>occupancy</w:t>
            </w:r>
          </w:p>
        </w:tc>
      </w:tr>
      <w:tr>
        <w:trPr>
          <w:trHeight w:val="534" w:hRule="atLeast"/>
        </w:trPr>
        <w:tc>
          <w:tcPr>
            <w:tcW w:w="2850" w:type="dxa"/>
            <w:tcBorders>
              <w:top w:val="single" w:sz="12" w:space="0" w:color="004B96"/>
              <w:bottom w:val="single" w:sz="4" w:space="0" w:color="004B96"/>
            </w:tcBorders>
          </w:tcPr>
          <w:p>
            <w:pPr>
              <w:pStyle w:val="TableParagraph"/>
              <w:spacing w:before="164"/>
              <w:ind w:left="122"/>
              <w:rPr>
                <w:sz w:val="18"/>
              </w:rPr>
            </w:pPr>
            <w:r>
              <w:rPr>
                <w:sz w:val="18"/>
              </w:rPr>
              <w:t>Terrain</w:t>
            </w:r>
            <w:r>
              <w:rPr>
                <w:spacing w:val="-7"/>
                <w:sz w:val="18"/>
              </w:rPr>
              <w:t> </w:t>
            </w:r>
            <w:r>
              <w:rPr>
                <w:sz w:val="18"/>
              </w:rPr>
              <w:t>ruggedness</w:t>
            </w:r>
            <w:r>
              <w:rPr>
                <w:spacing w:val="-4"/>
                <w:sz w:val="18"/>
              </w:rPr>
              <w:t> index</w:t>
            </w:r>
          </w:p>
        </w:tc>
        <w:tc>
          <w:tcPr>
            <w:tcW w:w="1723" w:type="dxa"/>
            <w:tcBorders>
              <w:top w:val="single" w:sz="12" w:space="0" w:color="004B96"/>
              <w:bottom w:val="single" w:sz="4" w:space="0" w:color="004B96"/>
            </w:tcBorders>
            <w:shd w:val="clear" w:color="auto" w:fill="CCDBEA"/>
          </w:tcPr>
          <w:p>
            <w:pPr>
              <w:pStyle w:val="TableParagraph"/>
              <w:spacing w:line="207" w:lineRule="exact" w:before="61"/>
              <w:ind w:left="3"/>
              <w:jc w:val="center"/>
              <w:rPr>
                <w:sz w:val="18"/>
              </w:rPr>
            </w:pPr>
            <w:r>
              <w:rPr>
                <w:spacing w:val="-2"/>
                <w:sz w:val="18"/>
              </w:rPr>
              <w:t>-</w:t>
            </w:r>
            <w:r>
              <w:rPr>
                <w:spacing w:val="-4"/>
                <w:sz w:val="18"/>
              </w:rPr>
              <w:t>5.13</w:t>
            </w:r>
          </w:p>
          <w:p>
            <w:pPr>
              <w:pStyle w:val="TableParagraph"/>
              <w:spacing w:line="207" w:lineRule="exact"/>
              <w:ind w:left="3" w:right="2"/>
              <w:jc w:val="center"/>
              <w:rPr>
                <w:sz w:val="18"/>
              </w:rPr>
            </w:pPr>
            <w:r>
              <w:rPr>
                <w:sz w:val="18"/>
              </w:rPr>
              <w:t>(-9.07,</w:t>
            </w:r>
            <w:r>
              <w:rPr>
                <w:spacing w:val="-6"/>
                <w:sz w:val="18"/>
              </w:rPr>
              <w:t> </w:t>
            </w:r>
            <w:r>
              <w:rPr>
                <w:sz w:val="18"/>
              </w:rPr>
              <w:t>-</w:t>
            </w:r>
            <w:r>
              <w:rPr>
                <w:spacing w:val="-2"/>
                <w:sz w:val="18"/>
              </w:rPr>
              <w:t>0.99)</w:t>
            </w:r>
          </w:p>
        </w:tc>
        <w:tc>
          <w:tcPr>
            <w:tcW w:w="1680" w:type="dxa"/>
            <w:tcBorders>
              <w:top w:val="single" w:sz="12" w:space="0" w:color="004B96"/>
              <w:bottom w:val="single" w:sz="4" w:space="0" w:color="004B96"/>
            </w:tcBorders>
          </w:tcPr>
          <w:p>
            <w:pPr>
              <w:pStyle w:val="TableParagraph"/>
              <w:spacing w:line="207" w:lineRule="exact" w:before="61"/>
              <w:ind w:left="2" w:right="1"/>
              <w:jc w:val="center"/>
              <w:rPr>
                <w:sz w:val="18"/>
              </w:rPr>
            </w:pPr>
            <w:r>
              <w:rPr>
                <w:spacing w:val="-4"/>
                <w:sz w:val="18"/>
              </w:rPr>
              <w:t>0.01</w:t>
            </w:r>
          </w:p>
          <w:p>
            <w:pPr>
              <w:pStyle w:val="TableParagraph"/>
              <w:spacing w:line="207" w:lineRule="exact"/>
              <w:ind w:left="2" w:right="1"/>
              <w:jc w:val="center"/>
              <w:rPr>
                <w:sz w:val="18"/>
              </w:rPr>
            </w:pPr>
            <w:r>
              <w:rPr>
                <w:sz w:val="18"/>
              </w:rPr>
              <w:t>(0.0,</w:t>
            </w:r>
            <w:r>
              <w:rPr>
                <w:spacing w:val="-2"/>
                <w:sz w:val="18"/>
              </w:rPr>
              <w:t> 0.37)</w:t>
            </w:r>
          </w:p>
        </w:tc>
        <w:tc>
          <w:tcPr>
            <w:tcW w:w="3437" w:type="dxa"/>
            <w:tcBorders>
              <w:top w:val="single" w:sz="12" w:space="0" w:color="004B96"/>
              <w:bottom w:val="single" w:sz="4" w:space="0" w:color="004B96"/>
            </w:tcBorders>
            <w:shd w:val="clear" w:color="auto" w:fill="CCDBEA"/>
          </w:tcPr>
          <w:p>
            <w:pPr>
              <w:pStyle w:val="TableParagraph"/>
              <w:spacing w:before="164"/>
              <w:ind w:left="108"/>
              <w:rPr>
                <w:sz w:val="18"/>
              </w:rPr>
            </w:pPr>
            <w:r>
              <w:rPr>
                <w:sz w:val="18"/>
              </w:rPr>
              <w:t>Uncertain</w:t>
            </w:r>
            <w:r>
              <w:rPr>
                <w:spacing w:val="-13"/>
                <w:sz w:val="18"/>
              </w:rPr>
              <w:t> </w:t>
            </w:r>
            <w:r>
              <w:rPr>
                <w:sz w:val="18"/>
              </w:rPr>
              <w:t>slightly</w:t>
            </w:r>
            <w:r>
              <w:rPr>
                <w:spacing w:val="-9"/>
                <w:sz w:val="18"/>
              </w:rPr>
              <w:t> </w:t>
            </w:r>
            <w:r>
              <w:rPr>
                <w:sz w:val="18"/>
              </w:rPr>
              <w:t>negative</w:t>
            </w:r>
            <w:r>
              <w:rPr>
                <w:spacing w:val="-10"/>
                <w:sz w:val="18"/>
              </w:rPr>
              <w:t> </w:t>
            </w:r>
            <w:r>
              <w:rPr>
                <w:spacing w:val="-2"/>
                <w:sz w:val="18"/>
              </w:rPr>
              <w:t>relationship</w:t>
            </w:r>
          </w:p>
        </w:tc>
      </w:tr>
      <w:tr>
        <w:trPr>
          <w:trHeight w:val="534" w:hRule="atLeast"/>
        </w:trPr>
        <w:tc>
          <w:tcPr>
            <w:tcW w:w="2850" w:type="dxa"/>
            <w:tcBorders>
              <w:top w:val="single" w:sz="4" w:space="0" w:color="004B96"/>
              <w:bottom w:val="single" w:sz="4" w:space="0" w:color="004B96"/>
            </w:tcBorders>
          </w:tcPr>
          <w:p>
            <w:pPr>
              <w:pStyle w:val="TableParagraph"/>
              <w:spacing w:before="164"/>
              <w:ind w:left="122"/>
              <w:rPr>
                <w:sz w:val="18"/>
              </w:rPr>
            </w:pPr>
            <w:r>
              <w:rPr>
                <w:spacing w:val="-2"/>
                <w:sz w:val="18"/>
              </w:rPr>
              <w:t>Elevation</w:t>
            </w:r>
          </w:p>
        </w:tc>
        <w:tc>
          <w:tcPr>
            <w:tcW w:w="1723" w:type="dxa"/>
            <w:tcBorders>
              <w:top w:val="single" w:sz="4" w:space="0" w:color="004B96"/>
              <w:bottom w:val="single" w:sz="4" w:space="0" w:color="004B96"/>
            </w:tcBorders>
            <w:shd w:val="clear" w:color="auto" w:fill="CCDBEA"/>
          </w:tcPr>
          <w:p>
            <w:pPr>
              <w:pStyle w:val="TableParagraph"/>
              <w:spacing w:line="207" w:lineRule="exact" w:before="61"/>
              <w:ind w:left="3" w:right="2"/>
              <w:jc w:val="center"/>
              <w:rPr>
                <w:sz w:val="18"/>
              </w:rPr>
            </w:pPr>
            <w:r>
              <w:rPr>
                <w:spacing w:val="-4"/>
                <w:sz w:val="18"/>
              </w:rPr>
              <w:t>3.27</w:t>
            </w:r>
          </w:p>
          <w:p>
            <w:pPr>
              <w:pStyle w:val="TableParagraph"/>
              <w:spacing w:line="207" w:lineRule="exact"/>
              <w:ind w:left="3"/>
              <w:jc w:val="center"/>
              <w:rPr>
                <w:sz w:val="18"/>
              </w:rPr>
            </w:pPr>
            <w:r>
              <w:rPr>
                <w:sz w:val="18"/>
              </w:rPr>
              <w:t>(-0.18,</w:t>
            </w:r>
            <w:r>
              <w:rPr>
                <w:spacing w:val="-6"/>
                <w:sz w:val="18"/>
              </w:rPr>
              <w:t> </w:t>
            </w:r>
            <w:r>
              <w:rPr>
                <w:spacing w:val="-2"/>
                <w:sz w:val="18"/>
              </w:rPr>
              <w:t>7.38)</w:t>
            </w:r>
          </w:p>
        </w:tc>
        <w:tc>
          <w:tcPr>
            <w:tcW w:w="1680" w:type="dxa"/>
            <w:tcBorders>
              <w:top w:val="single" w:sz="4" w:space="0" w:color="004B96"/>
              <w:bottom w:val="single" w:sz="4" w:space="0" w:color="004B96"/>
            </w:tcBorders>
          </w:tcPr>
          <w:p>
            <w:pPr>
              <w:pStyle w:val="TableParagraph"/>
              <w:spacing w:line="207" w:lineRule="exact" w:before="61"/>
              <w:ind w:left="2" w:right="1"/>
              <w:jc w:val="center"/>
              <w:rPr>
                <w:sz w:val="18"/>
              </w:rPr>
            </w:pPr>
            <w:r>
              <w:rPr>
                <w:spacing w:val="-2"/>
                <w:sz w:val="18"/>
              </w:rPr>
              <w:t>26.39</w:t>
            </w:r>
          </w:p>
          <w:p>
            <w:pPr>
              <w:pStyle w:val="TableParagraph"/>
              <w:spacing w:line="207" w:lineRule="exact"/>
              <w:ind w:left="1" w:right="2"/>
              <w:jc w:val="center"/>
              <w:rPr>
                <w:sz w:val="18"/>
              </w:rPr>
            </w:pPr>
            <w:r>
              <w:rPr>
                <w:sz w:val="18"/>
              </w:rPr>
              <w:t>(0.83,</w:t>
            </w:r>
            <w:r>
              <w:rPr>
                <w:spacing w:val="-5"/>
                <w:sz w:val="18"/>
              </w:rPr>
              <w:t> </w:t>
            </w:r>
            <w:r>
              <w:rPr>
                <w:spacing w:val="-2"/>
                <w:sz w:val="18"/>
              </w:rPr>
              <w:t>1603.59)</w:t>
            </w:r>
          </w:p>
        </w:tc>
        <w:tc>
          <w:tcPr>
            <w:tcW w:w="3437" w:type="dxa"/>
            <w:tcBorders>
              <w:top w:val="single" w:sz="4" w:space="0" w:color="004B96"/>
              <w:bottom w:val="single" w:sz="4" w:space="0" w:color="004B96"/>
            </w:tcBorders>
            <w:shd w:val="clear" w:color="auto" w:fill="CCDBEA"/>
          </w:tcPr>
          <w:p>
            <w:pPr>
              <w:pStyle w:val="TableParagraph"/>
              <w:spacing w:before="164"/>
              <w:ind w:left="108"/>
              <w:rPr>
                <w:sz w:val="18"/>
              </w:rPr>
            </w:pPr>
            <w:r>
              <w:rPr>
                <w:sz w:val="18"/>
              </w:rPr>
              <w:t>No</w:t>
            </w:r>
            <w:r>
              <w:rPr>
                <w:spacing w:val="-4"/>
                <w:sz w:val="18"/>
              </w:rPr>
              <w:t> </w:t>
            </w:r>
            <w:r>
              <w:rPr>
                <w:sz w:val="18"/>
              </w:rPr>
              <w:t>relationship</w:t>
            </w:r>
            <w:r>
              <w:rPr>
                <w:spacing w:val="-4"/>
                <w:sz w:val="18"/>
              </w:rPr>
              <w:t> </w:t>
            </w:r>
            <w:r>
              <w:rPr>
                <w:sz w:val="18"/>
              </w:rPr>
              <w:t>with</w:t>
            </w:r>
            <w:r>
              <w:rPr>
                <w:spacing w:val="-6"/>
                <w:sz w:val="18"/>
              </w:rPr>
              <w:t> </w:t>
            </w:r>
            <w:r>
              <w:rPr>
                <w:spacing w:val="-2"/>
                <w:sz w:val="18"/>
              </w:rPr>
              <w:t>elevation</w:t>
            </w:r>
          </w:p>
        </w:tc>
      </w:tr>
      <w:tr>
        <w:trPr>
          <w:trHeight w:val="539" w:hRule="atLeast"/>
        </w:trPr>
        <w:tc>
          <w:tcPr>
            <w:tcW w:w="2850" w:type="dxa"/>
            <w:tcBorders>
              <w:top w:val="single" w:sz="4" w:space="0" w:color="004B96"/>
              <w:bottom w:val="single" w:sz="4" w:space="0" w:color="004B96"/>
            </w:tcBorders>
          </w:tcPr>
          <w:p>
            <w:pPr>
              <w:pStyle w:val="TableParagraph"/>
              <w:spacing w:before="63"/>
              <w:ind w:left="122"/>
              <w:rPr>
                <w:sz w:val="18"/>
              </w:rPr>
            </w:pPr>
            <w:r>
              <w:rPr>
                <w:sz w:val="18"/>
              </w:rPr>
              <w:t>Terrain</w:t>
            </w:r>
            <w:r>
              <w:rPr>
                <w:spacing w:val="-11"/>
                <w:sz w:val="18"/>
              </w:rPr>
              <w:t> </w:t>
            </w:r>
            <w:r>
              <w:rPr>
                <w:sz w:val="18"/>
              </w:rPr>
              <w:t>ruggedness</w:t>
            </w:r>
            <w:r>
              <w:rPr>
                <w:spacing w:val="-9"/>
                <w:sz w:val="18"/>
              </w:rPr>
              <w:t> </w:t>
            </w:r>
            <w:r>
              <w:rPr>
                <w:sz w:val="18"/>
              </w:rPr>
              <w:t>index</w:t>
            </w:r>
            <w:r>
              <w:rPr>
                <w:spacing w:val="-11"/>
                <w:sz w:val="18"/>
              </w:rPr>
              <w:t> </w:t>
            </w:r>
            <w:r>
              <w:rPr>
                <w:sz w:val="18"/>
              </w:rPr>
              <w:t>in</w:t>
            </w:r>
            <w:r>
              <w:rPr>
                <w:spacing w:val="-11"/>
                <w:sz w:val="18"/>
              </w:rPr>
              <w:t> </w:t>
            </w:r>
            <w:r>
              <w:rPr>
                <w:sz w:val="18"/>
              </w:rPr>
              <w:t>fox control area</w:t>
            </w:r>
          </w:p>
        </w:tc>
        <w:tc>
          <w:tcPr>
            <w:tcW w:w="1723" w:type="dxa"/>
            <w:tcBorders>
              <w:top w:val="single" w:sz="4" w:space="0" w:color="004B96"/>
              <w:bottom w:val="single" w:sz="4" w:space="0" w:color="004B96"/>
            </w:tcBorders>
            <w:shd w:val="clear" w:color="auto" w:fill="CCDBEA"/>
          </w:tcPr>
          <w:p>
            <w:pPr>
              <w:pStyle w:val="TableParagraph"/>
              <w:spacing w:line="207" w:lineRule="exact" w:before="63"/>
              <w:ind w:left="3" w:right="2"/>
              <w:jc w:val="center"/>
              <w:rPr>
                <w:sz w:val="18"/>
              </w:rPr>
            </w:pPr>
            <w:r>
              <w:rPr>
                <w:spacing w:val="-4"/>
                <w:sz w:val="18"/>
              </w:rPr>
              <w:t>5.95</w:t>
            </w:r>
          </w:p>
          <w:p>
            <w:pPr>
              <w:pStyle w:val="TableParagraph"/>
              <w:spacing w:line="207" w:lineRule="exact"/>
              <w:ind w:left="3" w:right="2"/>
              <w:jc w:val="center"/>
              <w:rPr>
                <w:sz w:val="18"/>
              </w:rPr>
            </w:pPr>
            <w:r>
              <w:rPr>
                <w:sz w:val="18"/>
              </w:rPr>
              <w:t>(2.08,</w:t>
            </w:r>
            <w:r>
              <w:rPr>
                <w:spacing w:val="-5"/>
                <w:sz w:val="18"/>
              </w:rPr>
              <w:t> </w:t>
            </w:r>
            <w:r>
              <w:rPr>
                <w:spacing w:val="-2"/>
                <w:sz w:val="18"/>
              </w:rPr>
              <w:t>9.98)</w:t>
            </w:r>
          </w:p>
        </w:tc>
        <w:tc>
          <w:tcPr>
            <w:tcW w:w="1680" w:type="dxa"/>
            <w:tcBorders>
              <w:top w:val="single" w:sz="4" w:space="0" w:color="004B96"/>
              <w:bottom w:val="single" w:sz="4" w:space="0" w:color="004B96"/>
            </w:tcBorders>
          </w:tcPr>
          <w:p>
            <w:pPr>
              <w:pStyle w:val="TableParagraph"/>
              <w:spacing w:line="207" w:lineRule="exact" w:before="63"/>
              <w:ind w:left="1" w:right="2"/>
              <w:jc w:val="center"/>
              <w:rPr>
                <w:sz w:val="18"/>
              </w:rPr>
            </w:pPr>
            <w:r>
              <w:rPr>
                <w:spacing w:val="-2"/>
                <w:sz w:val="18"/>
              </w:rPr>
              <w:t>383.75</w:t>
            </w:r>
          </w:p>
          <w:p>
            <w:pPr>
              <w:pStyle w:val="TableParagraph"/>
              <w:spacing w:line="207" w:lineRule="exact"/>
              <w:ind w:left="2" w:right="1"/>
              <w:jc w:val="center"/>
              <w:rPr>
                <w:sz w:val="18"/>
              </w:rPr>
            </w:pPr>
            <w:r>
              <w:rPr>
                <w:sz w:val="18"/>
              </w:rPr>
              <w:t>(8.02,</w:t>
            </w:r>
            <w:r>
              <w:rPr>
                <w:spacing w:val="-5"/>
                <w:sz w:val="18"/>
              </w:rPr>
              <w:t> </w:t>
            </w:r>
            <w:r>
              <w:rPr>
                <w:spacing w:val="-2"/>
                <w:sz w:val="18"/>
              </w:rPr>
              <w:t>21655.18)</w:t>
            </w:r>
          </w:p>
        </w:tc>
        <w:tc>
          <w:tcPr>
            <w:tcW w:w="3437" w:type="dxa"/>
            <w:tcBorders>
              <w:top w:val="single" w:sz="4" w:space="0" w:color="004B96"/>
              <w:bottom w:val="single" w:sz="4" w:space="0" w:color="004B96"/>
            </w:tcBorders>
            <w:shd w:val="clear" w:color="auto" w:fill="CCDBEA"/>
          </w:tcPr>
          <w:p>
            <w:pPr>
              <w:pStyle w:val="TableParagraph"/>
              <w:spacing w:before="63"/>
              <w:ind w:left="108" w:right="157"/>
              <w:rPr>
                <w:sz w:val="18"/>
              </w:rPr>
            </w:pPr>
            <w:r>
              <w:rPr>
                <w:sz w:val="18"/>
              </w:rPr>
              <w:t>Highly</w:t>
            </w:r>
            <w:r>
              <w:rPr>
                <w:spacing w:val="-13"/>
                <w:sz w:val="18"/>
              </w:rPr>
              <w:t> </w:t>
            </w:r>
            <w:r>
              <w:rPr>
                <w:sz w:val="18"/>
              </w:rPr>
              <w:t>uncertain</w:t>
            </w:r>
            <w:r>
              <w:rPr>
                <w:spacing w:val="-12"/>
                <w:sz w:val="18"/>
              </w:rPr>
              <w:t> </w:t>
            </w:r>
            <w:r>
              <w:rPr>
                <w:sz w:val="18"/>
              </w:rPr>
              <w:t>positive</w:t>
            </w:r>
            <w:r>
              <w:rPr>
                <w:spacing w:val="-13"/>
                <w:sz w:val="18"/>
              </w:rPr>
              <w:t> </w:t>
            </w:r>
            <w:r>
              <w:rPr>
                <w:sz w:val="18"/>
              </w:rPr>
              <w:t>relationship with TRI in fox control locations</w:t>
            </w:r>
          </w:p>
        </w:tc>
      </w:tr>
      <w:tr>
        <w:trPr>
          <w:trHeight w:val="534" w:hRule="atLeast"/>
        </w:trPr>
        <w:tc>
          <w:tcPr>
            <w:tcW w:w="2850" w:type="dxa"/>
            <w:tcBorders>
              <w:top w:val="single" w:sz="4" w:space="0" w:color="004B96"/>
              <w:bottom w:val="single" w:sz="4" w:space="0" w:color="004B96"/>
            </w:tcBorders>
          </w:tcPr>
          <w:p>
            <w:pPr>
              <w:pStyle w:val="TableParagraph"/>
              <w:spacing w:before="164"/>
              <w:ind w:left="122"/>
              <w:rPr>
                <w:sz w:val="18"/>
              </w:rPr>
            </w:pPr>
            <w:r>
              <w:rPr>
                <w:sz w:val="18"/>
              </w:rPr>
              <w:t>Elevation</w:t>
            </w:r>
            <w:r>
              <w:rPr>
                <w:spacing w:val="-4"/>
                <w:sz w:val="18"/>
              </w:rPr>
              <w:t> </w:t>
            </w:r>
            <w:r>
              <w:rPr>
                <w:sz w:val="18"/>
              </w:rPr>
              <w:t>in</w:t>
            </w:r>
            <w:r>
              <w:rPr>
                <w:spacing w:val="-3"/>
                <w:sz w:val="18"/>
              </w:rPr>
              <w:t> </w:t>
            </w:r>
            <w:r>
              <w:rPr>
                <w:sz w:val="18"/>
              </w:rPr>
              <w:t>fox</w:t>
            </w:r>
            <w:r>
              <w:rPr>
                <w:spacing w:val="-2"/>
                <w:sz w:val="18"/>
              </w:rPr>
              <w:t> </w:t>
            </w:r>
            <w:r>
              <w:rPr>
                <w:sz w:val="18"/>
              </w:rPr>
              <w:t>control</w:t>
            </w:r>
            <w:r>
              <w:rPr>
                <w:spacing w:val="-3"/>
                <w:sz w:val="18"/>
              </w:rPr>
              <w:t> </w:t>
            </w:r>
            <w:r>
              <w:rPr>
                <w:spacing w:val="-4"/>
                <w:sz w:val="18"/>
              </w:rPr>
              <w:t>area</w:t>
            </w:r>
          </w:p>
        </w:tc>
        <w:tc>
          <w:tcPr>
            <w:tcW w:w="1723" w:type="dxa"/>
            <w:tcBorders>
              <w:top w:val="single" w:sz="4" w:space="0" w:color="004B96"/>
              <w:bottom w:val="single" w:sz="4" w:space="0" w:color="004B96"/>
            </w:tcBorders>
            <w:shd w:val="clear" w:color="auto" w:fill="CCDBEA"/>
          </w:tcPr>
          <w:p>
            <w:pPr>
              <w:pStyle w:val="TableParagraph"/>
              <w:spacing w:before="59"/>
              <w:ind w:left="3"/>
              <w:jc w:val="center"/>
              <w:rPr>
                <w:sz w:val="18"/>
              </w:rPr>
            </w:pPr>
            <w:r>
              <w:rPr>
                <w:spacing w:val="-2"/>
                <w:sz w:val="18"/>
              </w:rPr>
              <w:t>-</w:t>
            </w:r>
            <w:r>
              <w:rPr>
                <w:spacing w:val="-4"/>
                <w:sz w:val="18"/>
              </w:rPr>
              <w:t>4.65</w:t>
            </w:r>
          </w:p>
          <w:p>
            <w:pPr>
              <w:pStyle w:val="TableParagraph"/>
              <w:spacing w:before="1"/>
              <w:ind w:left="3" w:right="2"/>
              <w:jc w:val="center"/>
              <w:rPr>
                <w:sz w:val="18"/>
              </w:rPr>
            </w:pPr>
            <w:r>
              <w:rPr>
                <w:sz w:val="18"/>
              </w:rPr>
              <w:t>(-9.42,</w:t>
            </w:r>
            <w:r>
              <w:rPr>
                <w:spacing w:val="-6"/>
                <w:sz w:val="18"/>
              </w:rPr>
              <w:t> </w:t>
            </w:r>
            <w:r>
              <w:rPr>
                <w:sz w:val="18"/>
              </w:rPr>
              <w:t>-</w:t>
            </w:r>
            <w:r>
              <w:rPr>
                <w:spacing w:val="-2"/>
                <w:sz w:val="18"/>
              </w:rPr>
              <w:t>0.21)</w:t>
            </w:r>
          </w:p>
        </w:tc>
        <w:tc>
          <w:tcPr>
            <w:tcW w:w="1680" w:type="dxa"/>
            <w:tcBorders>
              <w:top w:val="single" w:sz="4" w:space="0" w:color="004B96"/>
              <w:bottom w:val="single" w:sz="4" w:space="0" w:color="004B96"/>
            </w:tcBorders>
          </w:tcPr>
          <w:p>
            <w:pPr>
              <w:pStyle w:val="TableParagraph"/>
              <w:spacing w:before="59"/>
              <w:ind w:left="2" w:right="1"/>
              <w:jc w:val="center"/>
              <w:rPr>
                <w:sz w:val="18"/>
              </w:rPr>
            </w:pPr>
            <w:r>
              <w:rPr>
                <w:spacing w:val="-4"/>
                <w:sz w:val="18"/>
              </w:rPr>
              <w:t>0.01</w:t>
            </w:r>
          </w:p>
          <w:p>
            <w:pPr>
              <w:pStyle w:val="TableParagraph"/>
              <w:spacing w:before="1"/>
              <w:ind w:left="2" w:right="1"/>
              <w:jc w:val="center"/>
              <w:rPr>
                <w:sz w:val="18"/>
              </w:rPr>
            </w:pPr>
            <w:r>
              <w:rPr>
                <w:sz w:val="18"/>
              </w:rPr>
              <w:t>(0.0,</w:t>
            </w:r>
            <w:r>
              <w:rPr>
                <w:spacing w:val="-2"/>
                <w:sz w:val="18"/>
              </w:rPr>
              <w:t> 0.81)</w:t>
            </w:r>
          </w:p>
        </w:tc>
        <w:tc>
          <w:tcPr>
            <w:tcW w:w="3437" w:type="dxa"/>
            <w:tcBorders>
              <w:top w:val="single" w:sz="4" w:space="0" w:color="004B96"/>
              <w:bottom w:val="single" w:sz="4" w:space="0" w:color="004B96"/>
            </w:tcBorders>
            <w:shd w:val="clear" w:color="auto" w:fill="CCDBEA"/>
          </w:tcPr>
          <w:p>
            <w:pPr>
              <w:pStyle w:val="TableParagraph"/>
              <w:spacing w:before="59"/>
              <w:ind w:left="108"/>
              <w:rPr>
                <w:sz w:val="18"/>
              </w:rPr>
            </w:pPr>
            <w:r>
              <w:rPr>
                <w:sz w:val="18"/>
              </w:rPr>
              <w:t>Uncertain</w:t>
            </w:r>
            <w:r>
              <w:rPr>
                <w:spacing w:val="-13"/>
                <w:sz w:val="18"/>
              </w:rPr>
              <w:t> </w:t>
            </w:r>
            <w:r>
              <w:rPr>
                <w:sz w:val="18"/>
              </w:rPr>
              <w:t>negative</w:t>
            </w:r>
            <w:r>
              <w:rPr>
                <w:spacing w:val="-12"/>
                <w:sz w:val="18"/>
              </w:rPr>
              <w:t> </w:t>
            </w:r>
            <w:r>
              <w:rPr>
                <w:sz w:val="18"/>
              </w:rPr>
              <w:t>relationship</w:t>
            </w:r>
            <w:r>
              <w:rPr>
                <w:spacing w:val="-13"/>
                <w:sz w:val="18"/>
              </w:rPr>
              <w:t> </w:t>
            </w:r>
            <w:r>
              <w:rPr>
                <w:sz w:val="18"/>
              </w:rPr>
              <w:t>with elevation in fox control locations</w:t>
            </w:r>
          </w:p>
        </w:tc>
      </w:tr>
      <w:tr>
        <w:trPr>
          <w:trHeight w:val="535" w:hRule="atLeast"/>
        </w:trPr>
        <w:tc>
          <w:tcPr>
            <w:tcW w:w="2850" w:type="dxa"/>
            <w:tcBorders>
              <w:top w:val="single" w:sz="4" w:space="0" w:color="004B96"/>
              <w:bottom w:val="single" w:sz="12" w:space="0" w:color="004B96"/>
            </w:tcBorders>
          </w:tcPr>
          <w:p>
            <w:pPr>
              <w:pStyle w:val="TableParagraph"/>
              <w:spacing w:before="162"/>
              <w:ind w:left="122"/>
              <w:rPr>
                <w:sz w:val="18"/>
              </w:rPr>
            </w:pPr>
            <w:r>
              <w:rPr>
                <w:sz w:val="18"/>
              </w:rPr>
              <w:t>Fox</w:t>
            </w:r>
            <w:r>
              <w:rPr>
                <w:spacing w:val="-2"/>
                <w:sz w:val="18"/>
              </w:rPr>
              <w:t> </w:t>
            </w:r>
            <w:r>
              <w:rPr>
                <w:sz w:val="18"/>
              </w:rPr>
              <w:t>control</w:t>
            </w:r>
            <w:r>
              <w:rPr>
                <w:spacing w:val="-1"/>
                <w:sz w:val="18"/>
              </w:rPr>
              <w:t> </w:t>
            </w:r>
            <w:r>
              <w:rPr>
                <w:spacing w:val="-4"/>
                <w:sz w:val="18"/>
              </w:rPr>
              <w:t>area</w:t>
            </w:r>
          </w:p>
        </w:tc>
        <w:tc>
          <w:tcPr>
            <w:tcW w:w="1723" w:type="dxa"/>
            <w:tcBorders>
              <w:top w:val="single" w:sz="4" w:space="0" w:color="004B96"/>
              <w:bottom w:val="single" w:sz="12" w:space="0" w:color="004B96"/>
            </w:tcBorders>
            <w:shd w:val="clear" w:color="auto" w:fill="CCDBEA"/>
          </w:tcPr>
          <w:p>
            <w:pPr>
              <w:pStyle w:val="TableParagraph"/>
              <w:spacing w:line="207" w:lineRule="exact" w:before="59"/>
              <w:ind w:left="3" w:right="2"/>
              <w:jc w:val="center"/>
              <w:rPr>
                <w:sz w:val="18"/>
              </w:rPr>
            </w:pPr>
            <w:r>
              <w:rPr>
                <w:spacing w:val="-4"/>
                <w:sz w:val="18"/>
              </w:rPr>
              <w:t>2.27</w:t>
            </w:r>
          </w:p>
          <w:p>
            <w:pPr>
              <w:pStyle w:val="TableParagraph"/>
              <w:spacing w:line="207" w:lineRule="exact"/>
              <w:ind w:left="3" w:right="3"/>
              <w:jc w:val="center"/>
              <w:rPr>
                <w:sz w:val="18"/>
              </w:rPr>
            </w:pPr>
            <w:r>
              <w:rPr>
                <w:sz w:val="18"/>
              </w:rPr>
              <w:t>(-13.65,</w:t>
            </w:r>
            <w:r>
              <w:rPr>
                <w:spacing w:val="-7"/>
                <w:sz w:val="18"/>
              </w:rPr>
              <w:t> </w:t>
            </w:r>
            <w:r>
              <w:rPr>
                <w:spacing w:val="-2"/>
                <w:sz w:val="18"/>
              </w:rPr>
              <w:t>20.35)</w:t>
            </w:r>
          </w:p>
        </w:tc>
        <w:tc>
          <w:tcPr>
            <w:tcW w:w="1680" w:type="dxa"/>
            <w:tcBorders>
              <w:top w:val="single" w:sz="4" w:space="0" w:color="004B96"/>
              <w:bottom w:val="single" w:sz="12" w:space="0" w:color="004B96"/>
            </w:tcBorders>
          </w:tcPr>
          <w:p>
            <w:pPr>
              <w:pStyle w:val="TableParagraph"/>
              <w:spacing w:line="207" w:lineRule="exact" w:before="59"/>
              <w:ind w:left="2" w:right="1"/>
              <w:jc w:val="center"/>
              <w:rPr>
                <w:sz w:val="18"/>
              </w:rPr>
            </w:pPr>
            <w:r>
              <w:rPr>
                <w:spacing w:val="-4"/>
                <w:sz w:val="18"/>
              </w:rPr>
              <w:t>9.69</w:t>
            </w:r>
          </w:p>
          <w:p>
            <w:pPr>
              <w:pStyle w:val="TableParagraph"/>
              <w:spacing w:line="207" w:lineRule="exact"/>
              <w:ind w:left="1" w:right="2"/>
              <w:jc w:val="center"/>
              <w:rPr>
                <w:sz w:val="18"/>
              </w:rPr>
            </w:pPr>
            <w:r>
              <w:rPr>
                <w:sz w:val="18"/>
              </w:rPr>
              <w:t>(0.0,</w:t>
            </w:r>
            <w:r>
              <w:rPr>
                <w:spacing w:val="-2"/>
                <w:sz w:val="18"/>
              </w:rPr>
              <w:t> </w:t>
            </w:r>
            <w:r>
              <w:rPr>
                <w:sz w:val="18"/>
              </w:rPr>
              <w:t>&gt;6</w:t>
            </w:r>
            <w:r>
              <w:rPr>
                <w:spacing w:val="-2"/>
                <w:sz w:val="18"/>
              </w:rPr>
              <w:t> million)</w:t>
            </w:r>
          </w:p>
        </w:tc>
        <w:tc>
          <w:tcPr>
            <w:tcW w:w="3437" w:type="dxa"/>
            <w:tcBorders>
              <w:top w:val="single" w:sz="4" w:space="0" w:color="004B96"/>
              <w:bottom w:val="single" w:sz="12" w:space="0" w:color="004B96"/>
            </w:tcBorders>
            <w:shd w:val="clear" w:color="auto" w:fill="CCDBEA"/>
          </w:tcPr>
          <w:p>
            <w:pPr>
              <w:pStyle w:val="TableParagraph"/>
              <w:spacing w:before="162"/>
              <w:ind w:left="108"/>
              <w:rPr>
                <w:sz w:val="18"/>
              </w:rPr>
            </w:pPr>
            <w:r>
              <w:rPr>
                <w:sz w:val="18"/>
              </w:rPr>
              <w:t>No</w:t>
            </w:r>
            <w:r>
              <w:rPr>
                <w:spacing w:val="-4"/>
                <w:sz w:val="18"/>
              </w:rPr>
              <w:t> </w:t>
            </w:r>
            <w:r>
              <w:rPr>
                <w:sz w:val="18"/>
              </w:rPr>
              <w:t>relationship</w:t>
            </w:r>
            <w:r>
              <w:rPr>
                <w:spacing w:val="-4"/>
                <w:sz w:val="18"/>
              </w:rPr>
              <w:t> </w:t>
            </w:r>
            <w:r>
              <w:rPr>
                <w:sz w:val="18"/>
              </w:rPr>
              <w:t>with</w:t>
            </w:r>
            <w:r>
              <w:rPr>
                <w:spacing w:val="-5"/>
                <w:sz w:val="18"/>
              </w:rPr>
              <w:t> </w:t>
            </w:r>
            <w:r>
              <w:rPr>
                <w:sz w:val="18"/>
              </w:rPr>
              <w:t>fox</w:t>
            </w:r>
            <w:r>
              <w:rPr>
                <w:spacing w:val="-3"/>
                <w:sz w:val="18"/>
              </w:rPr>
              <w:t> </w:t>
            </w:r>
            <w:r>
              <w:rPr>
                <w:sz w:val="18"/>
              </w:rPr>
              <w:t>control</w:t>
            </w:r>
            <w:r>
              <w:rPr>
                <w:spacing w:val="-3"/>
                <w:sz w:val="18"/>
              </w:rPr>
              <w:t> </w:t>
            </w:r>
            <w:r>
              <w:rPr>
                <w:spacing w:val="-2"/>
                <w:sz w:val="18"/>
              </w:rPr>
              <w:t>locations</w:t>
            </w:r>
          </w:p>
        </w:tc>
      </w:tr>
      <w:tr>
        <w:trPr>
          <w:trHeight w:val="286" w:hRule="atLeast"/>
        </w:trPr>
        <w:tc>
          <w:tcPr>
            <w:tcW w:w="9690" w:type="dxa"/>
            <w:gridSpan w:val="4"/>
            <w:tcBorders>
              <w:top w:val="single" w:sz="12" w:space="0" w:color="004B96"/>
              <w:bottom w:val="single" w:sz="12" w:space="0" w:color="004B96"/>
            </w:tcBorders>
          </w:tcPr>
          <w:p>
            <w:pPr>
              <w:pStyle w:val="TableParagraph"/>
              <w:spacing w:before="39"/>
              <w:ind w:left="122"/>
              <w:rPr>
                <w:b/>
                <w:sz w:val="18"/>
              </w:rPr>
            </w:pPr>
            <w:r>
              <w:rPr>
                <w:b/>
                <w:sz w:val="18"/>
              </w:rPr>
              <w:t>B:</w:t>
            </w:r>
            <w:r>
              <w:rPr>
                <w:b/>
                <w:spacing w:val="-3"/>
                <w:sz w:val="18"/>
              </w:rPr>
              <w:t> </w:t>
            </w:r>
            <w:r>
              <w:rPr>
                <w:b/>
                <w:sz w:val="18"/>
              </w:rPr>
              <w:t>Site</w:t>
            </w:r>
            <w:r>
              <w:rPr>
                <w:b/>
                <w:spacing w:val="-2"/>
                <w:sz w:val="18"/>
              </w:rPr>
              <w:t> survival</w:t>
            </w:r>
          </w:p>
        </w:tc>
      </w:tr>
      <w:tr>
        <w:trPr>
          <w:trHeight w:val="534" w:hRule="atLeast"/>
        </w:trPr>
        <w:tc>
          <w:tcPr>
            <w:tcW w:w="2850" w:type="dxa"/>
            <w:tcBorders>
              <w:top w:val="single" w:sz="12" w:space="0" w:color="004B96"/>
              <w:bottom w:val="single" w:sz="4" w:space="0" w:color="004B96"/>
            </w:tcBorders>
          </w:tcPr>
          <w:p>
            <w:pPr>
              <w:pStyle w:val="TableParagraph"/>
              <w:spacing w:before="164"/>
              <w:ind w:left="122"/>
              <w:rPr>
                <w:b/>
                <w:sz w:val="18"/>
              </w:rPr>
            </w:pPr>
            <w:r>
              <w:rPr>
                <w:b/>
                <w:spacing w:val="-2"/>
                <w:sz w:val="18"/>
              </w:rPr>
              <w:t>Time-since-</w:t>
            </w:r>
            <w:r>
              <w:rPr>
                <w:b/>
                <w:spacing w:val="-4"/>
                <w:sz w:val="18"/>
              </w:rPr>
              <w:t>fire</w:t>
            </w:r>
          </w:p>
        </w:tc>
        <w:tc>
          <w:tcPr>
            <w:tcW w:w="1723" w:type="dxa"/>
            <w:tcBorders>
              <w:top w:val="single" w:sz="12" w:space="0" w:color="004B96"/>
              <w:bottom w:val="single" w:sz="4" w:space="0" w:color="004B96"/>
            </w:tcBorders>
            <w:shd w:val="clear" w:color="auto" w:fill="CCDBEA"/>
          </w:tcPr>
          <w:p>
            <w:pPr>
              <w:pStyle w:val="TableParagraph"/>
              <w:spacing w:line="207" w:lineRule="exact" w:before="61"/>
              <w:ind w:left="3"/>
              <w:jc w:val="center"/>
              <w:rPr>
                <w:b/>
                <w:sz w:val="18"/>
              </w:rPr>
            </w:pPr>
            <w:r>
              <w:rPr>
                <w:b/>
                <w:spacing w:val="-2"/>
                <w:sz w:val="18"/>
              </w:rPr>
              <w:t>-</w:t>
            </w:r>
            <w:r>
              <w:rPr>
                <w:b/>
                <w:spacing w:val="-4"/>
                <w:sz w:val="18"/>
              </w:rPr>
              <w:t>0.43</w:t>
            </w:r>
          </w:p>
          <w:p>
            <w:pPr>
              <w:pStyle w:val="TableParagraph"/>
              <w:spacing w:line="207" w:lineRule="exact"/>
              <w:ind w:left="3" w:right="2"/>
              <w:jc w:val="center"/>
              <w:rPr>
                <w:b/>
                <w:sz w:val="18"/>
              </w:rPr>
            </w:pPr>
            <w:r>
              <w:rPr>
                <w:b/>
                <w:sz w:val="18"/>
              </w:rPr>
              <w:t>(-0.83,</w:t>
            </w:r>
            <w:r>
              <w:rPr>
                <w:b/>
                <w:spacing w:val="-6"/>
                <w:sz w:val="18"/>
              </w:rPr>
              <w:t> </w:t>
            </w:r>
            <w:r>
              <w:rPr>
                <w:b/>
                <w:sz w:val="18"/>
              </w:rPr>
              <w:t>-</w:t>
            </w:r>
            <w:r>
              <w:rPr>
                <w:b/>
                <w:spacing w:val="-2"/>
                <w:sz w:val="18"/>
              </w:rPr>
              <w:t>0.03)</w:t>
            </w:r>
          </w:p>
        </w:tc>
        <w:tc>
          <w:tcPr>
            <w:tcW w:w="1680" w:type="dxa"/>
            <w:tcBorders>
              <w:top w:val="single" w:sz="12" w:space="0" w:color="004B96"/>
              <w:bottom w:val="single" w:sz="4" w:space="0" w:color="004B96"/>
            </w:tcBorders>
          </w:tcPr>
          <w:p>
            <w:pPr>
              <w:pStyle w:val="TableParagraph"/>
              <w:spacing w:line="207" w:lineRule="exact" w:before="61"/>
              <w:ind w:left="2" w:right="1"/>
              <w:jc w:val="center"/>
              <w:rPr>
                <w:b/>
                <w:sz w:val="18"/>
              </w:rPr>
            </w:pPr>
            <w:r>
              <w:rPr>
                <w:b/>
                <w:spacing w:val="-4"/>
                <w:sz w:val="18"/>
              </w:rPr>
              <w:t>0.65</w:t>
            </w:r>
          </w:p>
          <w:p>
            <w:pPr>
              <w:pStyle w:val="TableParagraph"/>
              <w:spacing w:line="207" w:lineRule="exact"/>
              <w:ind w:left="2" w:right="1"/>
              <w:jc w:val="center"/>
              <w:rPr>
                <w:b/>
                <w:sz w:val="18"/>
              </w:rPr>
            </w:pPr>
            <w:r>
              <w:rPr>
                <w:b/>
                <w:sz w:val="18"/>
              </w:rPr>
              <w:t>(0.44,</w:t>
            </w:r>
            <w:r>
              <w:rPr>
                <w:b/>
                <w:spacing w:val="-5"/>
                <w:sz w:val="18"/>
              </w:rPr>
              <w:t> </w:t>
            </w:r>
            <w:r>
              <w:rPr>
                <w:b/>
                <w:spacing w:val="-2"/>
                <w:sz w:val="18"/>
              </w:rPr>
              <w:t>0.97)</w:t>
            </w:r>
          </w:p>
        </w:tc>
        <w:tc>
          <w:tcPr>
            <w:tcW w:w="3437" w:type="dxa"/>
            <w:tcBorders>
              <w:top w:val="single" w:sz="12" w:space="0" w:color="004B96"/>
              <w:bottom w:val="single" w:sz="4" w:space="0" w:color="004B96"/>
            </w:tcBorders>
            <w:shd w:val="clear" w:color="auto" w:fill="CCDBEA"/>
          </w:tcPr>
          <w:p>
            <w:pPr>
              <w:pStyle w:val="TableParagraph"/>
              <w:spacing w:before="61"/>
              <w:ind w:left="108"/>
              <w:rPr>
                <w:b/>
                <w:sz w:val="18"/>
              </w:rPr>
            </w:pPr>
            <w:r>
              <w:rPr>
                <w:b/>
                <w:sz w:val="18"/>
              </w:rPr>
              <w:t>Local</w:t>
            </w:r>
            <w:r>
              <w:rPr>
                <w:b/>
                <w:spacing w:val="-9"/>
                <w:sz w:val="18"/>
              </w:rPr>
              <w:t> </w:t>
            </w:r>
            <w:r>
              <w:rPr>
                <w:b/>
                <w:sz w:val="18"/>
              </w:rPr>
              <w:t>survival</w:t>
            </w:r>
            <w:r>
              <w:rPr>
                <w:b/>
                <w:spacing w:val="-7"/>
                <w:sz w:val="18"/>
              </w:rPr>
              <w:t> </w:t>
            </w:r>
            <w:r>
              <w:rPr>
                <w:b/>
                <w:sz w:val="18"/>
              </w:rPr>
              <w:t>declines</w:t>
            </w:r>
            <w:r>
              <w:rPr>
                <w:b/>
                <w:spacing w:val="-7"/>
                <w:sz w:val="18"/>
              </w:rPr>
              <w:t> </w:t>
            </w:r>
            <w:r>
              <w:rPr>
                <w:b/>
                <w:sz w:val="18"/>
              </w:rPr>
              <w:t>by</w:t>
            </w:r>
            <w:r>
              <w:rPr>
                <w:b/>
                <w:spacing w:val="-9"/>
                <w:sz w:val="18"/>
              </w:rPr>
              <w:t> </w:t>
            </w:r>
            <w:r>
              <w:rPr>
                <w:b/>
                <w:sz w:val="18"/>
              </w:rPr>
              <w:t>35%</w:t>
            </w:r>
            <w:r>
              <w:rPr>
                <w:b/>
                <w:spacing w:val="-9"/>
                <w:sz w:val="18"/>
              </w:rPr>
              <w:t> </w:t>
            </w:r>
            <w:r>
              <w:rPr>
                <w:b/>
                <w:sz w:val="18"/>
              </w:rPr>
              <w:t>with each year since fire</w:t>
            </w:r>
          </w:p>
        </w:tc>
      </w:tr>
      <w:tr>
        <w:trPr>
          <w:trHeight w:val="534" w:hRule="atLeast"/>
        </w:trPr>
        <w:tc>
          <w:tcPr>
            <w:tcW w:w="2850" w:type="dxa"/>
            <w:tcBorders>
              <w:top w:val="single" w:sz="4" w:space="0" w:color="004B96"/>
              <w:bottom w:val="single" w:sz="4" w:space="0" w:color="004B96"/>
            </w:tcBorders>
          </w:tcPr>
          <w:p>
            <w:pPr>
              <w:pStyle w:val="TableParagraph"/>
              <w:spacing w:before="162"/>
              <w:ind w:left="122"/>
              <w:rPr>
                <w:sz w:val="18"/>
              </w:rPr>
            </w:pPr>
            <w:r>
              <w:rPr>
                <w:sz w:val="18"/>
              </w:rPr>
              <w:t>Tall</w:t>
            </w:r>
            <w:r>
              <w:rPr>
                <w:spacing w:val="-4"/>
                <w:sz w:val="18"/>
              </w:rPr>
              <w:t> </w:t>
            </w:r>
            <w:r>
              <w:rPr>
                <w:sz w:val="18"/>
              </w:rPr>
              <w:t>Mixed</w:t>
            </w:r>
            <w:r>
              <w:rPr>
                <w:spacing w:val="-3"/>
                <w:sz w:val="18"/>
              </w:rPr>
              <w:t> </w:t>
            </w:r>
            <w:r>
              <w:rPr>
                <w:sz w:val="18"/>
              </w:rPr>
              <w:t>Forest</w:t>
            </w:r>
            <w:r>
              <w:rPr>
                <w:spacing w:val="-1"/>
                <w:sz w:val="18"/>
              </w:rPr>
              <w:t> </w:t>
            </w:r>
            <w:r>
              <w:rPr>
                <w:spacing w:val="-2"/>
                <w:sz w:val="18"/>
              </w:rPr>
              <w:t>(Eastern)</w:t>
            </w:r>
          </w:p>
        </w:tc>
        <w:tc>
          <w:tcPr>
            <w:tcW w:w="1723" w:type="dxa"/>
            <w:tcBorders>
              <w:top w:val="single" w:sz="4" w:space="0" w:color="004B96"/>
              <w:bottom w:val="single" w:sz="4" w:space="0" w:color="004B96"/>
            </w:tcBorders>
            <w:shd w:val="clear" w:color="auto" w:fill="CCDBEA"/>
          </w:tcPr>
          <w:p>
            <w:pPr>
              <w:pStyle w:val="TableParagraph"/>
              <w:spacing w:line="207" w:lineRule="exact" w:before="59"/>
              <w:ind w:left="3" w:right="2"/>
              <w:jc w:val="center"/>
              <w:rPr>
                <w:sz w:val="18"/>
              </w:rPr>
            </w:pPr>
            <w:r>
              <w:rPr>
                <w:spacing w:val="-4"/>
                <w:sz w:val="18"/>
              </w:rPr>
              <w:t>0.23</w:t>
            </w:r>
          </w:p>
          <w:p>
            <w:pPr>
              <w:pStyle w:val="TableParagraph"/>
              <w:spacing w:line="207" w:lineRule="exact"/>
              <w:ind w:left="3"/>
              <w:jc w:val="center"/>
              <w:rPr>
                <w:sz w:val="18"/>
              </w:rPr>
            </w:pPr>
            <w:r>
              <w:rPr>
                <w:sz w:val="18"/>
              </w:rPr>
              <w:t>(-0.95,</w:t>
            </w:r>
            <w:r>
              <w:rPr>
                <w:spacing w:val="-6"/>
                <w:sz w:val="18"/>
              </w:rPr>
              <w:t> </w:t>
            </w:r>
            <w:r>
              <w:rPr>
                <w:spacing w:val="-2"/>
                <w:sz w:val="18"/>
              </w:rPr>
              <w:t>1.42)</w:t>
            </w:r>
          </w:p>
        </w:tc>
        <w:tc>
          <w:tcPr>
            <w:tcW w:w="1680" w:type="dxa"/>
            <w:tcBorders>
              <w:top w:val="single" w:sz="4" w:space="0" w:color="004B96"/>
              <w:bottom w:val="single" w:sz="4" w:space="0" w:color="004B96"/>
            </w:tcBorders>
          </w:tcPr>
          <w:p>
            <w:pPr>
              <w:pStyle w:val="TableParagraph"/>
              <w:spacing w:line="207" w:lineRule="exact" w:before="59"/>
              <w:ind w:left="2" w:right="1"/>
              <w:jc w:val="center"/>
              <w:rPr>
                <w:sz w:val="18"/>
              </w:rPr>
            </w:pPr>
            <w:r>
              <w:rPr>
                <w:spacing w:val="-4"/>
                <w:sz w:val="18"/>
              </w:rPr>
              <w:t>1.26</w:t>
            </w:r>
          </w:p>
          <w:p>
            <w:pPr>
              <w:pStyle w:val="TableParagraph"/>
              <w:spacing w:line="207" w:lineRule="exact"/>
              <w:ind w:left="2" w:right="1"/>
              <w:jc w:val="center"/>
              <w:rPr>
                <w:sz w:val="18"/>
              </w:rPr>
            </w:pPr>
            <w:r>
              <w:rPr>
                <w:sz w:val="18"/>
              </w:rPr>
              <w:t>(0.39,</w:t>
            </w:r>
            <w:r>
              <w:rPr>
                <w:spacing w:val="-5"/>
                <w:sz w:val="18"/>
              </w:rPr>
              <w:t> </w:t>
            </w:r>
            <w:r>
              <w:rPr>
                <w:spacing w:val="-2"/>
                <w:sz w:val="18"/>
              </w:rPr>
              <w:t>4.14)</w:t>
            </w:r>
          </w:p>
        </w:tc>
        <w:tc>
          <w:tcPr>
            <w:tcW w:w="3437" w:type="dxa"/>
            <w:tcBorders>
              <w:top w:val="single" w:sz="4" w:space="0" w:color="004B96"/>
              <w:bottom w:val="single" w:sz="4" w:space="0" w:color="004B96"/>
            </w:tcBorders>
            <w:shd w:val="clear" w:color="auto" w:fill="CCDBEA"/>
          </w:tcPr>
          <w:p>
            <w:pPr>
              <w:pStyle w:val="TableParagraph"/>
              <w:spacing w:before="162"/>
              <w:ind w:left="108"/>
              <w:rPr>
                <w:sz w:val="18"/>
              </w:rPr>
            </w:pPr>
            <w:r>
              <w:rPr>
                <w:sz w:val="18"/>
              </w:rPr>
              <w:t>No</w:t>
            </w:r>
            <w:r>
              <w:rPr>
                <w:spacing w:val="-4"/>
                <w:sz w:val="18"/>
              </w:rPr>
              <w:t> </w:t>
            </w:r>
            <w:r>
              <w:rPr>
                <w:sz w:val="18"/>
              </w:rPr>
              <w:t>relationship</w:t>
            </w:r>
            <w:r>
              <w:rPr>
                <w:spacing w:val="-4"/>
                <w:sz w:val="18"/>
              </w:rPr>
              <w:t> </w:t>
            </w:r>
            <w:r>
              <w:rPr>
                <w:sz w:val="18"/>
              </w:rPr>
              <w:t>with</w:t>
            </w:r>
            <w:r>
              <w:rPr>
                <w:spacing w:val="-6"/>
                <w:sz w:val="18"/>
              </w:rPr>
              <w:t> </w:t>
            </w:r>
            <w:r>
              <w:rPr>
                <w:spacing w:val="-5"/>
                <w:sz w:val="18"/>
              </w:rPr>
              <w:t>EVD</w:t>
            </w:r>
          </w:p>
        </w:tc>
      </w:tr>
      <w:tr>
        <w:trPr>
          <w:trHeight w:val="741" w:hRule="atLeast"/>
        </w:trPr>
        <w:tc>
          <w:tcPr>
            <w:tcW w:w="2850" w:type="dxa"/>
            <w:tcBorders>
              <w:top w:val="single" w:sz="4" w:space="0" w:color="004B96"/>
              <w:bottom w:val="single" w:sz="4" w:space="0" w:color="004B96"/>
            </w:tcBorders>
          </w:tcPr>
          <w:p>
            <w:pPr>
              <w:pStyle w:val="TableParagraph"/>
              <w:spacing w:before="58"/>
              <w:rPr>
                <w:b/>
                <w:sz w:val="18"/>
              </w:rPr>
            </w:pPr>
          </w:p>
          <w:p>
            <w:pPr>
              <w:pStyle w:val="TableParagraph"/>
              <w:ind w:left="122"/>
              <w:rPr>
                <w:b/>
                <w:sz w:val="18"/>
              </w:rPr>
            </w:pPr>
            <w:r>
              <w:rPr>
                <w:b/>
                <w:sz w:val="18"/>
              </w:rPr>
              <w:t>Distance</w:t>
            </w:r>
            <w:r>
              <w:rPr>
                <w:b/>
                <w:spacing w:val="-6"/>
                <w:sz w:val="18"/>
              </w:rPr>
              <w:t> </w:t>
            </w:r>
            <w:r>
              <w:rPr>
                <w:b/>
                <w:sz w:val="18"/>
              </w:rPr>
              <w:t>to</w:t>
            </w:r>
            <w:r>
              <w:rPr>
                <w:b/>
                <w:spacing w:val="-4"/>
                <w:sz w:val="18"/>
              </w:rPr>
              <w:t> </w:t>
            </w:r>
            <w:r>
              <w:rPr>
                <w:b/>
                <w:spacing w:val="-2"/>
                <w:sz w:val="18"/>
              </w:rPr>
              <w:t>water</w:t>
            </w:r>
          </w:p>
        </w:tc>
        <w:tc>
          <w:tcPr>
            <w:tcW w:w="1723" w:type="dxa"/>
            <w:tcBorders>
              <w:top w:val="single" w:sz="4" w:space="0" w:color="004B96"/>
              <w:bottom w:val="single" w:sz="4" w:space="0" w:color="004B96"/>
            </w:tcBorders>
            <w:shd w:val="clear" w:color="auto" w:fill="CCDBEA"/>
          </w:tcPr>
          <w:p>
            <w:pPr>
              <w:pStyle w:val="TableParagraph"/>
              <w:spacing w:line="207" w:lineRule="exact" w:before="162"/>
              <w:ind w:left="3" w:right="2"/>
              <w:jc w:val="center"/>
              <w:rPr>
                <w:b/>
                <w:sz w:val="18"/>
              </w:rPr>
            </w:pPr>
            <w:r>
              <w:rPr>
                <w:b/>
                <w:spacing w:val="-4"/>
                <w:sz w:val="18"/>
              </w:rPr>
              <w:t>0.93</w:t>
            </w:r>
          </w:p>
          <w:p>
            <w:pPr>
              <w:pStyle w:val="TableParagraph"/>
              <w:spacing w:line="207" w:lineRule="exact"/>
              <w:ind w:left="3" w:right="2"/>
              <w:jc w:val="center"/>
              <w:rPr>
                <w:b/>
                <w:sz w:val="18"/>
              </w:rPr>
            </w:pPr>
            <w:r>
              <w:rPr>
                <w:b/>
                <w:sz w:val="18"/>
              </w:rPr>
              <w:t>(0.02,</w:t>
            </w:r>
            <w:r>
              <w:rPr>
                <w:b/>
                <w:spacing w:val="-5"/>
                <w:sz w:val="18"/>
              </w:rPr>
              <w:t> </w:t>
            </w:r>
            <w:r>
              <w:rPr>
                <w:b/>
                <w:spacing w:val="-2"/>
                <w:sz w:val="18"/>
              </w:rPr>
              <w:t>1.88)</w:t>
            </w:r>
          </w:p>
        </w:tc>
        <w:tc>
          <w:tcPr>
            <w:tcW w:w="1680" w:type="dxa"/>
            <w:tcBorders>
              <w:top w:val="single" w:sz="4" w:space="0" w:color="004B96"/>
              <w:bottom w:val="single" w:sz="4" w:space="0" w:color="004B96"/>
            </w:tcBorders>
          </w:tcPr>
          <w:p>
            <w:pPr>
              <w:pStyle w:val="TableParagraph"/>
              <w:spacing w:line="207" w:lineRule="exact" w:before="162"/>
              <w:ind w:left="2" w:right="1"/>
              <w:jc w:val="center"/>
              <w:rPr>
                <w:b/>
                <w:sz w:val="18"/>
              </w:rPr>
            </w:pPr>
            <w:r>
              <w:rPr>
                <w:b/>
                <w:spacing w:val="-4"/>
                <w:sz w:val="18"/>
              </w:rPr>
              <w:t>2.53</w:t>
            </w:r>
          </w:p>
          <w:p>
            <w:pPr>
              <w:pStyle w:val="TableParagraph"/>
              <w:spacing w:line="207" w:lineRule="exact"/>
              <w:ind w:left="2" w:right="1"/>
              <w:jc w:val="center"/>
              <w:rPr>
                <w:b/>
                <w:sz w:val="18"/>
              </w:rPr>
            </w:pPr>
            <w:r>
              <w:rPr>
                <w:b/>
                <w:sz w:val="18"/>
              </w:rPr>
              <w:t>(1.02,</w:t>
            </w:r>
            <w:r>
              <w:rPr>
                <w:b/>
                <w:spacing w:val="-5"/>
                <w:sz w:val="18"/>
              </w:rPr>
              <w:t> </w:t>
            </w:r>
            <w:r>
              <w:rPr>
                <w:b/>
                <w:spacing w:val="-2"/>
                <w:sz w:val="18"/>
              </w:rPr>
              <w:t>6.55)</w:t>
            </w:r>
          </w:p>
        </w:tc>
        <w:tc>
          <w:tcPr>
            <w:tcW w:w="3437" w:type="dxa"/>
            <w:tcBorders>
              <w:top w:val="single" w:sz="4" w:space="0" w:color="004B96"/>
              <w:bottom w:val="single" w:sz="4" w:space="0" w:color="004B96"/>
            </w:tcBorders>
            <w:shd w:val="clear" w:color="auto" w:fill="CCDBEA"/>
          </w:tcPr>
          <w:p>
            <w:pPr>
              <w:pStyle w:val="TableParagraph"/>
              <w:spacing w:before="59"/>
              <w:ind w:left="108" w:right="164"/>
              <w:jc w:val="both"/>
              <w:rPr>
                <w:b/>
                <w:sz w:val="18"/>
              </w:rPr>
            </w:pPr>
            <w:r>
              <w:rPr>
                <w:b/>
                <w:sz w:val="18"/>
              </w:rPr>
              <w:t>A 2.5-fold</w:t>
            </w:r>
            <w:r>
              <w:rPr>
                <w:b/>
                <w:spacing w:val="-2"/>
                <w:sz w:val="18"/>
              </w:rPr>
              <w:t> </w:t>
            </w:r>
            <w:r>
              <w:rPr>
                <w:b/>
                <w:sz w:val="18"/>
              </w:rPr>
              <w:t>increase in the</w:t>
            </w:r>
            <w:r>
              <w:rPr>
                <w:b/>
                <w:spacing w:val="-1"/>
                <w:sz w:val="18"/>
              </w:rPr>
              <w:t> </w:t>
            </w:r>
            <w:r>
              <w:rPr>
                <w:b/>
                <w:sz w:val="18"/>
              </w:rPr>
              <w:t>odds a site will</w:t>
            </w:r>
            <w:r>
              <w:rPr>
                <w:b/>
                <w:spacing w:val="-5"/>
                <w:sz w:val="18"/>
              </w:rPr>
              <w:t> </w:t>
            </w:r>
            <w:r>
              <w:rPr>
                <w:b/>
                <w:sz w:val="18"/>
              </w:rPr>
              <w:t>persist</w:t>
            </w:r>
            <w:r>
              <w:rPr>
                <w:b/>
                <w:spacing w:val="-7"/>
                <w:sz w:val="18"/>
              </w:rPr>
              <w:t> </w:t>
            </w:r>
            <w:r>
              <w:rPr>
                <w:b/>
                <w:sz w:val="18"/>
              </w:rPr>
              <w:t>with</w:t>
            </w:r>
            <w:r>
              <w:rPr>
                <w:b/>
                <w:spacing w:val="-5"/>
                <w:sz w:val="18"/>
              </w:rPr>
              <w:t> </w:t>
            </w:r>
            <w:r>
              <w:rPr>
                <w:b/>
                <w:sz w:val="18"/>
              </w:rPr>
              <w:t>each</w:t>
            </w:r>
            <w:r>
              <w:rPr>
                <w:b/>
                <w:spacing w:val="-5"/>
                <w:sz w:val="18"/>
              </w:rPr>
              <w:t> </w:t>
            </w:r>
            <w:r>
              <w:rPr>
                <w:b/>
                <w:sz w:val="18"/>
              </w:rPr>
              <w:t>500</w:t>
            </w:r>
            <w:r>
              <w:rPr>
                <w:b/>
                <w:spacing w:val="-5"/>
                <w:sz w:val="18"/>
              </w:rPr>
              <w:t> </w:t>
            </w:r>
            <w:r>
              <w:rPr>
                <w:b/>
                <w:sz w:val="18"/>
              </w:rPr>
              <w:t>m</w:t>
            </w:r>
            <w:r>
              <w:rPr>
                <w:b/>
                <w:spacing w:val="-7"/>
                <w:sz w:val="18"/>
              </w:rPr>
              <w:t> </w:t>
            </w:r>
            <w:r>
              <w:rPr>
                <w:b/>
                <w:sz w:val="18"/>
              </w:rPr>
              <w:t>closer</w:t>
            </w:r>
            <w:r>
              <w:rPr>
                <w:b/>
                <w:spacing w:val="-5"/>
                <w:sz w:val="18"/>
              </w:rPr>
              <w:t> </w:t>
            </w:r>
            <w:r>
              <w:rPr>
                <w:b/>
                <w:sz w:val="18"/>
              </w:rPr>
              <w:t>to </w:t>
            </w:r>
            <w:r>
              <w:rPr>
                <w:b/>
                <w:spacing w:val="-2"/>
                <w:sz w:val="18"/>
              </w:rPr>
              <w:t>water</w:t>
            </w:r>
          </w:p>
        </w:tc>
      </w:tr>
      <w:tr>
        <w:trPr>
          <w:trHeight w:val="532" w:hRule="atLeast"/>
        </w:trPr>
        <w:tc>
          <w:tcPr>
            <w:tcW w:w="2850" w:type="dxa"/>
            <w:tcBorders>
              <w:top w:val="single" w:sz="4" w:space="0" w:color="004B96"/>
              <w:bottom w:val="single" w:sz="4" w:space="0" w:color="004B96"/>
            </w:tcBorders>
          </w:tcPr>
          <w:p>
            <w:pPr>
              <w:pStyle w:val="TableParagraph"/>
              <w:spacing w:before="162"/>
              <w:ind w:left="122"/>
              <w:rPr>
                <w:sz w:val="18"/>
              </w:rPr>
            </w:pPr>
            <w:r>
              <w:rPr>
                <w:spacing w:val="-2"/>
                <w:sz w:val="18"/>
              </w:rPr>
              <w:t>Elevation</w:t>
            </w:r>
          </w:p>
        </w:tc>
        <w:tc>
          <w:tcPr>
            <w:tcW w:w="1723" w:type="dxa"/>
            <w:tcBorders>
              <w:top w:val="single" w:sz="4" w:space="0" w:color="004B96"/>
              <w:bottom w:val="single" w:sz="4" w:space="0" w:color="004B96"/>
            </w:tcBorders>
            <w:shd w:val="clear" w:color="auto" w:fill="CCDBEA"/>
          </w:tcPr>
          <w:p>
            <w:pPr>
              <w:pStyle w:val="TableParagraph"/>
              <w:spacing w:line="207" w:lineRule="exact" w:before="59"/>
              <w:ind w:left="3"/>
              <w:jc w:val="center"/>
              <w:rPr>
                <w:sz w:val="18"/>
              </w:rPr>
            </w:pPr>
            <w:r>
              <w:rPr>
                <w:spacing w:val="-2"/>
                <w:sz w:val="18"/>
              </w:rPr>
              <w:t>-</w:t>
            </w:r>
            <w:r>
              <w:rPr>
                <w:spacing w:val="-4"/>
                <w:sz w:val="18"/>
              </w:rPr>
              <w:t>0.30</w:t>
            </w:r>
          </w:p>
          <w:p>
            <w:pPr>
              <w:pStyle w:val="TableParagraph"/>
              <w:spacing w:line="207" w:lineRule="exact"/>
              <w:ind w:left="3"/>
              <w:jc w:val="center"/>
              <w:rPr>
                <w:sz w:val="18"/>
              </w:rPr>
            </w:pPr>
            <w:r>
              <w:rPr>
                <w:sz w:val="18"/>
              </w:rPr>
              <w:t>(-1.05,</w:t>
            </w:r>
            <w:r>
              <w:rPr>
                <w:spacing w:val="-6"/>
                <w:sz w:val="18"/>
              </w:rPr>
              <w:t> </w:t>
            </w:r>
            <w:r>
              <w:rPr>
                <w:spacing w:val="-2"/>
                <w:sz w:val="18"/>
              </w:rPr>
              <w:t>0.41)</w:t>
            </w:r>
          </w:p>
        </w:tc>
        <w:tc>
          <w:tcPr>
            <w:tcW w:w="1680" w:type="dxa"/>
            <w:tcBorders>
              <w:top w:val="single" w:sz="4" w:space="0" w:color="004B96"/>
              <w:bottom w:val="single" w:sz="4" w:space="0" w:color="004B96"/>
            </w:tcBorders>
          </w:tcPr>
          <w:p>
            <w:pPr>
              <w:pStyle w:val="TableParagraph"/>
              <w:spacing w:line="207" w:lineRule="exact" w:before="59"/>
              <w:ind w:left="2" w:right="1"/>
              <w:jc w:val="center"/>
              <w:rPr>
                <w:sz w:val="18"/>
              </w:rPr>
            </w:pPr>
            <w:r>
              <w:rPr>
                <w:spacing w:val="-4"/>
                <w:sz w:val="18"/>
              </w:rPr>
              <w:t>0.74</w:t>
            </w:r>
          </w:p>
          <w:p>
            <w:pPr>
              <w:pStyle w:val="TableParagraph"/>
              <w:spacing w:line="207" w:lineRule="exact"/>
              <w:ind w:left="2" w:right="1"/>
              <w:jc w:val="center"/>
              <w:rPr>
                <w:sz w:val="18"/>
              </w:rPr>
            </w:pPr>
            <w:r>
              <w:rPr>
                <w:sz w:val="18"/>
              </w:rPr>
              <w:t>(0.35,</w:t>
            </w:r>
            <w:r>
              <w:rPr>
                <w:spacing w:val="-5"/>
                <w:sz w:val="18"/>
              </w:rPr>
              <w:t> </w:t>
            </w:r>
            <w:r>
              <w:rPr>
                <w:spacing w:val="-2"/>
                <w:sz w:val="18"/>
              </w:rPr>
              <w:t>1.51)</w:t>
            </w:r>
          </w:p>
        </w:tc>
        <w:tc>
          <w:tcPr>
            <w:tcW w:w="3437" w:type="dxa"/>
            <w:tcBorders>
              <w:top w:val="single" w:sz="4" w:space="0" w:color="004B96"/>
              <w:bottom w:val="single" w:sz="4" w:space="0" w:color="004B96"/>
            </w:tcBorders>
            <w:shd w:val="clear" w:color="auto" w:fill="CCDBEA"/>
          </w:tcPr>
          <w:p>
            <w:pPr>
              <w:pStyle w:val="TableParagraph"/>
              <w:spacing w:before="162"/>
              <w:ind w:left="108"/>
              <w:rPr>
                <w:sz w:val="18"/>
              </w:rPr>
            </w:pPr>
            <w:r>
              <w:rPr>
                <w:sz w:val="18"/>
              </w:rPr>
              <w:t>No</w:t>
            </w:r>
            <w:r>
              <w:rPr>
                <w:spacing w:val="-4"/>
                <w:sz w:val="18"/>
              </w:rPr>
              <w:t> </w:t>
            </w:r>
            <w:r>
              <w:rPr>
                <w:sz w:val="18"/>
              </w:rPr>
              <w:t>relationship</w:t>
            </w:r>
            <w:r>
              <w:rPr>
                <w:spacing w:val="-4"/>
                <w:sz w:val="18"/>
              </w:rPr>
              <w:t> </w:t>
            </w:r>
            <w:r>
              <w:rPr>
                <w:sz w:val="18"/>
              </w:rPr>
              <w:t>with</w:t>
            </w:r>
            <w:r>
              <w:rPr>
                <w:spacing w:val="-6"/>
                <w:sz w:val="18"/>
              </w:rPr>
              <w:t> </w:t>
            </w:r>
            <w:r>
              <w:rPr>
                <w:spacing w:val="-2"/>
                <w:sz w:val="18"/>
              </w:rPr>
              <w:t>elevation</w:t>
            </w:r>
          </w:p>
        </w:tc>
      </w:tr>
      <w:tr>
        <w:trPr>
          <w:trHeight w:val="534" w:hRule="atLeast"/>
        </w:trPr>
        <w:tc>
          <w:tcPr>
            <w:tcW w:w="2850" w:type="dxa"/>
            <w:tcBorders>
              <w:top w:val="single" w:sz="4" w:space="0" w:color="004B96"/>
              <w:bottom w:val="single" w:sz="4" w:space="0" w:color="004B96"/>
            </w:tcBorders>
          </w:tcPr>
          <w:p>
            <w:pPr>
              <w:pStyle w:val="TableParagraph"/>
              <w:spacing w:before="59"/>
              <w:ind w:left="122" w:right="187"/>
              <w:rPr>
                <w:sz w:val="18"/>
              </w:rPr>
            </w:pPr>
            <w:r>
              <w:rPr>
                <w:sz w:val="18"/>
              </w:rPr>
              <w:t>Time-since-fire</w:t>
            </w:r>
            <w:r>
              <w:rPr>
                <w:spacing w:val="-13"/>
                <w:sz w:val="18"/>
              </w:rPr>
              <w:t> </w:t>
            </w:r>
            <w:r>
              <w:rPr>
                <w:sz w:val="18"/>
              </w:rPr>
              <w:t>in</w:t>
            </w:r>
            <w:r>
              <w:rPr>
                <w:spacing w:val="-12"/>
                <w:sz w:val="18"/>
              </w:rPr>
              <w:t> </w:t>
            </w:r>
            <w:r>
              <w:rPr>
                <w:sz w:val="18"/>
              </w:rPr>
              <w:t>fox</w:t>
            </w:r>
            <w:r>
              <w:rPr>
                <w:spacing w:val="-12"/>
                <w:sz w:val="18"/>
              </w:rPr>
              <w:t> </w:t>
            </w:r>
            <w:r>
              <w:rPr>
                <w:sz w:val="18"/>
              </w:rPr>
              <w:t>control </w:t>
            </w:r>
            <w:r>
              <w:rPr>
                <w:spacing w:val="-4"/>
                <w:sz w:val="18"/>
              </w:rPr>
              <w:t>area</w:t>
            </w:r>
          </w:p>
        </w:tc>
        <w:tc>
          <w:tcPr>
            <w:tcW w:w="1723" w:type="dxa"/>
            <w:tcBorders>
              <w:top w:val="single" w:sz="4" w:space="0" w:color="004B96"/>
              <w:bottom w:val="single" w:sz="4" w:space="0" w:color="004B96"/>
            </w:tcBorders>
            <w:shd w:val="clear" w:color="auto" w:fill="CCDBEA"/>
          </w:tcPr>
          <w:p>
            <w:pPr>
              <w:pStyle w:val="TableParagraph"/>
              <w:spacing w:before="59"/>
              <w:ind w:left="3" w:right="2"/>
              <w:jc w:val="center"/>
              <w:rPr>
                <w:sz w:val="18"/>
              </w:rPr>
            </w:pPr>
            <w:r>
              <w:rPr>
                <w:spacing w:val="-4"/>
                <w:sz w:val="18"/>
              </w:rPr>
              <w:t>0.04</w:t>
            </w:r>
          </w:p>
          <w:p>
            <w:pPr>
              <w:pStyle w:val="TableParagraph"/>
              <w:spacing w:before="1"/>
              <w:ind w:left="3"/>
              <w:jc w:val="center"/>
              <w:rPr>
                <w:sz w:val="18"/>
              </w:rPr>
            </w:pPr>
            <w:r>
              <w:rPr>
                <w:sz w:val="18"/>
              </w:rPr>
              <w:t>(-0.49,</w:t>
            </w:r>
            <w:r>
              <w:rPr>
                <w:spacing w:val="-6"/>
                <w:sz w:val="18"/>
              </w:rPr>
              <w:t> </w:t>
            </w:r>
            <w:r>
              <w:rPr>
                <w:spacing w:val="-2"/>
                <w:sz w:val="18"/>
              </w:rPr>
              <w:t>0.57)</w:t>
            </w:r>
          </w:p>
        </w:tc>
        <w:tc>
          <w:tcPr>
            <w:tcW w:w="1680" w:type="dxa"/>
            <w:tcBorders>
              <w:top w:val="single" w:sz="4" w:space="0" w:color="004B96"/>
              <w:bottom w:val="single" w:sz="4" w:space="0" w:color="004B96"/>
            </w:tcBorders>
          </w:tcPr>
          <w:p>
            <w:pPr>
              <w:pStyle w:val="TableParagraph"/>
              <w:spacing w:before="59"/>
              <w:ind w:left="2" w:right="1"/>
              <w:jc w:val="center"/>
              <w:rPr>
                <w:sz w:val="18"/>
              </w:rPr>
            </w:pPr>
            <w:r>
              <w:rPr>
                <w:spacing w:val="-4"/>
                <w:sz w:val="18"/>
              </w:rPr>
              <w:t>1.04</w:t>
            </w:r>
          </w:p>
          <w:p>
            <w:pPr>
              <w:pStyle w:val="TableParagraph"/>
              <w:spacing w:before="1"/>
              <w:ind w:left="2" w:right="1"/>
              <w:jc w:val="center"/>
              <w:rPr>
                <w:sz w:val="18"/>
              </w:rPr>
            </w:pPr>
            <w:r>
              <w:rPr>
                <w:sz w:val="18"/>
              </w:rPr>
              <w:t>(0.61,</w:t>
            </w:r>
            <w:r>
              <w:rPr>
                <w:spacing w:val="-5"/>
                <w:sz w:val="18"/>
              </w:rPr>
              <w:t> </w:t>
            </w:r>
            <w:r>
              <w:rPr>
                <w:spacing w:val="-2"/>
                <w:sz w:val="18"/>
              </w:rPr>
              <w:t>1.77)</w:t>
            </w:r>
          </w:p>
        </w:tc>
        <w:tc>
          <w:tcPr>
            <w:tcW w:w="3437" w:type="dxa"/>
            <w:tcBorders>
              <w:top w:val="single" w:sz="4" w:space="0" w:color="004B96"/>
              <w:bottom w:val="single" w:sz="4" w:space="0" w:color="004B96"/>
            </w:tcBorders>
            <w:shd w:val="clear" w:color="auto" w:fill="CCDBEA"/>
          </w:tcPr>
          <w:p>
            <w:pPr>
              <w:pStyle w:val="TableParagraph"/>
              <w:spacing w:before="164"/>
              <w:ind w:left="108"/>
              <w:rPr>
                <w:sz w:val="18"/>
              </w:rPr>
            </w:pPr>
            <w:r>
              <w:rPr>
                <w:sz w:val="18"/>
              </w:rPr>
              <w:t>No</w:t>
            </w:r>
            <w:r>
              <w:rPr>
                <w:spacing w:val="-4"/>
                <w:sz w:val="18"/>
              </w:rPr>
              <w:t> </w:t>
            </w:r>
            <w:r>
              <w:rPr>
                <w:sz w:val="18"/>
              </w:rPr>
              <w:t>relationship</w:t>
            </w:r>
            <w:r>
              <w:rPr>
                <w:spacing w:val="-4"/>
                <w:sz w:val="18"/>
              </w:rPr>
              <w:t> </w:t>
            </w:r>
            <w:r>
              <w:rPr>
                <w:sz w:val="18"/>
              </w:rPr>
              <w:t>with</w:t>
            </w:r>
            <w:r>
              <w:rPr>
                <w:spacing w:val="-6"/>
                <w:sz w:val="18"/>
              </w:rPr>
              <w:t> </w:t>
            </w:r>
            <w:r>
              <w:rPr>
                <w:spacing w:val="-5"/>
                <w:sz w:val="18"/>
              </w:rPr>
              <w:t>TSF</w:t>
            </w:r>
          </w:p>
        </w:tc>
      </w:tr>
      <w:tr>
        <w:trPr>
          <w:trHeight w:val="535" w:hRule="atLeast"/>
        </w:trPr>
        <w:tc>
          <w:tcPr>
            <w:tcW w:w="2850" w:type="dxa"/>
            <w:tcBorders>
              <w:top w:val="single" w:sz="4" w:space="0" w:color="004B96"/>
              <w:bottom w:val="single" w:sz="4" w:space="0" w:color="004B96"/>
            </w:tcBorders>
          </w:tcPr>
          <w:p>
            <w:pPr>
              <w:pStyle w:val="TableParagraph"/>
              <w:spacing w:before="59"/>
              <w:ind w:left="122" w:right="187"/>
              <w:rPr>
                <w:sz w:val="18"/>
              </w:rPr>
            </w:pPr>
            <w:r>
              <w:rPr>
                <w:sz w:val="18"/>
              </w:rPr>
              <w:t>Tall</w:t>
            </w:r>
            <w:r>
              <w:rPr>
                <w:spacing w:val="-11"/>
                <w:sz w:val="18"/>
              </w:rPr>
              <w:t> </w:t>
            </w:r>
            <w:r>
              <w:rPr>
                <w:sz w:val="18"/>
              </w:rPr>
              <w:t>Mixed</w:t>
            </w:r>
            <w:r>
              <w:rPr>
                <w:spacing w:val="-11"/>
                <w:sz w:val="18"/>
              </w:rPr>
              <w:t> </w:t>
            </w:r>
            <w:r>
              <w:rPr>
                <w:sz w:val="18"/>
              </w:rPr>
              <w:t>Forest</w:t>
            </w:r>
            <w:r>
              <w:rPr>
                <w:spacing w:val="-9"/>
                <w:sz w:val="18"/>
              </w:rPr>
              <w:t> </w:t>
            </w:r>
            <w:r>
              <w:rPr>
                <w:sz w:val="18"/>
              </w:rPr>
              <w:t>(Eastern)</w:t>
            </w:r>
            <w:r>
              <w:rPr>
                <w:spacing w:val="-9"/>
                <w:sz w:val="18"/>
              </w:rPr>
              <w:t> </w:t>
            </w:r>
            <w:r>
              <w:rPr>
                <w:sz w:val="18"/>
              </w:rPr>
              <w:t>in fox control area</w:t>
            </w:r>
          </w:p>
        </w:tc>
        <w:tc>
          <w:tcPr>
            <w:tcW w:w="1723" w:type="dxa"/>
            <w:tcBorders>
              <w:top w:val="single" w:sz="4" w:space="0" w:color="004B96"/>
              <w:bottom w:val="single" w:sz="4" w:space="0" w:color="004B96"/>
            </w:tcBorders>
            <w:shd w:val="clear" w:color="auto" w:fill="CCDBEA"/>
          </w:tcPr>
          <w:p>
            <w:pPr>
              <w:pStyle w:val="TableParagraph"/>
              <w:spacing w:before="59"/>
              <w:ind w:left="3"/>
              <w:jc w:val="center"/>
              <w:rPr>
                <w:sz w:val="18"/>
              </w:rPr>
            </w:pPr>
            <w:r>
              <w:rPr>
                <w:spacing w:val="-2"/>
                <w:sz w:val="18"/>
              </w:rPr>
              <w:t>-</w:t>
            </w:r>
            <w:r>
              <w:rPr>
                <w:spacing w:val="-4"/>
                <w:sz w:val="18"/>
              </w:rPr>
              <w:t>0.59</w:t>
            </w:r>
          </w:p>
          <w:p>
            <w:pPr>
              <w:pStyle w:val="TableParagraph"/>
              <w:ind w:left="3"/>
              <w:jc w:val="center"/>
              <w:rPr>
                <w:sz w:val="18"/>
              </w:rPr>
            </w:pPr>
            <w:r>
              <w:rPr>
                <w:sz w:val="18"/>
              </w:rPr>
              <w:t>(-1.95,</w:t>
            </w:r>
            <w:r>
              <w:rPr>
                <w:spacing w:val="-6"/>
                <w:sz w:val="18"/>
              </w:rPr>
              <w:t> </w:t>
            </w:r>
            <w:r>
              <w:rPr>
                <w:spacing w:val="-2"/>
                <w:sz w:val="18"/>
              </w:rPr>
              <w:t>0.87)</w:t>
            </w:r>
          </w:p>
        </w:tc>
        <w:tc>
          <w:tcPr>
            <w:tcW w:w="1680" w:type="dxa"/>
            <w:tcBorders>
              <w:top w:val="single" w:sz="4" w:space="0" w:color="004B96"/>
              <w:bottom w:val="single" w:sz="4" w:space="0" w:color="004B96"/>
            </w:tcBorders>
          </w:tcPr>
          <w:p>
            <w:pPr>
              <w:pStyle w:val="TableParagraph"/>
              <w:spacing w:before="59"/>
              <w:ind w:left="2" w:right="1"/>
              <w:jc w:val="center"/>
              <w:rPr>
                <w:sz w:val="18"/>
              </w:rPr>
            </w:pPr>
            <w:r>
              <w:rPr>
                <w:spacing w:val="-4"/>
                <w:sz w:val="18"/>
              </w:rPr>
              <w:t>0.55</w:t>
            </w:r>
          </w:p>
          <w:p>
            <w:pPr>
              <w:pStyle w:val="TableParagraph"/>
              <w:ind w:left="2" w:right="1"/>
              <w:jc w:val="center"/>
              <w:rPr>
                <w:sz w:val="18"/>
              </w:rPr>
            </w:pPr>
            <w:r>
              <w:rPr>
                <w:sz w:val="18"/>
              </w:rPr>
              <w:t>(0.14,</w:t>
            </w:r>
            <w:r>
              <w:rPr>
                <w:spacing w:val="-5"/>
                <w:sz w:val="18"/>
              </w:rPr>
              <w:t> </w:t>
            </w:r>
            <w:r>
              <w:rPr>
                <w:spacing w:val="-2"/>
                <w:sz w:val="18"/>
              </w:rPr>
              <w:t>2.39)</w:t>
            </w:r>
          </w:p>
        </w:tc>
        <w:tc>
          <w:tcPr>
            <w:tcW w:w="3437" w:type="dxa"/>
            <w:tcBorders>
              <w:top w:val="single" w:sz="4" w:space="0" w:color="004B96"/>
              <w:bottom w:val="single" w:sz="4" w:space="0" w:color="004B96"/>
            </w:tcBorders>
            <w:shd w:val="clear" w:color="auto" w:fill="CCDBEA"/>
          </w:tcPr>
          <w:p>
            <w:pPr>
              <w:pStyle w:val="TableParagraph"/>
              <w:spacing w:before="59"/>
              <w:ind w:left="108"/>
              <w:rPr>
                <w:sz w:val="18"/>
              </w:rPr>
            </w:pPr>
            <w:r>
              <w:rPr>
                <w:sz w:val="18"/>
              </w:rPr>
              <w:t>No</w:t>
            </w:r>
            <w:r>
              <w:rPr>
                <w:spacing w:val="-7"/>
                <w:sz w:val="18"/>
              </w:rPr>
              <w:t> </w:t>
            </w:r>
            <w:r>
              <w:rPr>
                <w:sz w:val="18"/>
              </w:rPr>
              <w:t>relationship</w:t>
            </w:r>
            <w:r>
              <w:rPr>
                <w:spacing w:val="-7"/>
                <w:sz w:val="18"/>
              </w:rPr>
              <w:t> </w:t>
            </w:r>
            <w:r>
              <w:rPr>
                <w:sz w:val="18"/>
              </w:rPr>
              <w:t>with</w:t>
            </w:r>
            <w:r>
              <w:rPr>
                <w:spacing w:val="-9"/>
                <w:sz w:val="18"/>
              </w:rPr>
              <w:t> </w:t>
            </w:r>
            <w:r>
              <w:rPr>
                <w:sz w:val="18"/>
              </w:rPr>
              <w:t>EVD</w:t>
            </w:r>
            <w:r>
              <w:rPr>
                <w:spacing w:val="-7"/>
                <w:sz w:val="18"/>
              </w:rPr>
              <w:t> </w:t>
            </w:r>
            <w:r>
              <w:rPr>
                <w:sz w:val="18"/>
              </w:rPr>
              <w:t>in</w:t>
            </w:r>
            <w:r>
              <w:rPr>
                <w:spacing w:val="-7"/>
                <w:sz w:val="18"/>
              </w:rPr>
              <w:t> </w:t>
            </w:r>
            <w:r>
              <w:rPr>
                <w:sz w:val="18"/>
              </w:rPr>
              <w:t>fox</w:t>
            </w:r>
            <w:r>
              <w:rPr>
                <w:spacing w:val="-6"/>
                <w:sz w:val="18"/>
              </w:rPr>
              <w:t> </w:t>
            </w:r>
            <w:r>
              <w:rPr>
                <w:sz w:val="18"/>
              </w:rPr>
              <w:t>control </w:t>
            </w:r>
            <w:r>
              <w:rPr>
                <w:spacing w:val="-2"/>
                <w:sz w:val="18"/>
              </w:rPr>
              <w:t>locations</w:t>
            </w:r>
          </w:p>
        </w:tc>
      </w:tr>
      <w:tr>
        <w:trPr>
          <w:trHeight w:val="532" w:hRule="atLeast"/>
        </w:trPr>
        <w:tc>
          <w:tcPr>
            <w:tcW w:w="2850" w:type="dxa"/>
            <w:tcBorders>
              <w:top w:val="single" w:sz="4" w:space="0" w:color="004B96"/>
              <w:bottom w:val="single" w:sz="4" w:space="0" w:color="004B96"/>
            </w:tcBorders>
          </w:tcPr>
          <w:p>
            <w:pPr>
              <w:pStyle w:val="TableParagraph"/>
              <w:spacing w:before="59"/>
              <w:ind w:left="122" w:right="187"/>
              <w:rPr>
                <w:b/>
                <w:sz w:val="18"/>
              </w:rPr>
            </w:pPr>
            <w:r>
              <w:rPr>
                <w:b/>
                <w:sz w:val="18"/>
              </w:rPr>
              <w:t>Distance</w:t>
            </w:r>
            <w:r>
              <w:rPr>
                <w:b/>
                <w:spacing w:val="-10"/>
                <w:sz w:val="18"/>
              </w:rPr>
              <w:t> </w:t>
            </w:r>
            <w:r>
              <w:rPr>
                <w:b/>
                <w:sz w:val="18"/>
              </w:rPr>
              <w:t>to</w:t>
            </w:r>
            <w:r>
              <w:rPr>
                <w:b/>
                <w:spacing w:val="-10"/>
                <w:sz w:val="18"/>
              </w:rPr>
              <w:t> </w:t>
            </w:r>
            <w:r>
              <w:rPr>
                <w:b/>
                <w:sz w:val="18"/>
              </w:rPr>
              <w:t>water</w:t>
            </w:r>
            <w:r>
              <w:rPr>
                <w:b/>
                <w:spacing w:val="-8"/>
                <w:sz w:val="18"/>
              </w:rPr>
              <w:t> </w:t>
            </w:r>
            <w:r>
              <w:rPr>
                <w:b/>
                <w:sz w:val="18"/>
              </w:rPr>
              <w:t>in</w:t>
            </w:r>
            <w:r>
              <w:rPr>
                <w:b/>
                <w:spacing w:val="-10"/>
                <w:sz w:val="18"/>
              </w:rPr>
              <w:t> </w:t>
            </w:r>
            <w:r>
              <w:rPr>
                <w:b/>
                <w:sz w:val="18"/>
              </w:rPr>
              <w:t>fox control area</w:t>
            </w:r>
          </w:p>
        </w:tc>
        <w:tc>
          <w:tcPr>
            <w:tcW w:w="1723" w:type="dxa"/>
            <w:tcBorders>
              <w:top w:val="single" w:sz="4" w:space="0" w:color="004B96"/>
              <w:bottom w:val="single" w:sz="4" w:space="0" w:color="004B96"/>
            </w:tcBorders>
            <w:shd w:val="clear" w:color="auto" w:fill="CCDBEA"/>
          </w:tcPr>
          <w:p>
            <w:pPr>
              <w:pStyle w:val="TableParagraph"/>
              <w:spacing w:line="207" w:lineRule="exact" w:before="59"/>
              <w:ind w:left="3"/>
              <w:jc w:val="center"/>
              <w:rPr>
                <w:b/>
                <w:sz w:val="18"/>
              </w:rPr>
            </w:pPr>
            <w:r>
              <w:rPr>
                <w:b/>
                <w:spacing w:val="-2"/>
                <w:sz w:val="18"/>
              </w:rPr>
              <w:t>-</w:t>
            </w:r>
            <w:r>
              <w:rPr>
                <w:b/>
                <w:spacing w:val="-4"/>
                <w:sz w:val="18"/>
              </w:rPr>
              <w:t>1.30</w:t>
            </w:r>
          </w:p>
          <w:p>
            <w:pPr>
              <w:pStyle w:val="TableParagraph"/>
              <w:spacing w:line="207" w:lineRule="exact"/>
              <w:ind w:left="3" w:right="2"/>
              <w:jc w:val="center"/>
              <w:rPr>
                <w:b/>
                <w:sz w:val="18"/>
              </w:rPr>
            </w:pPr>
            <w:r>
              <w:rPr>
                <w:b/>
                <w:sz w:val="18"/>
              </w:rPr>
              <w:t>(-2.26,</w:t>
            </w:r>
            <w:r>
              <w:rPr>
                <w:b/>
                <w:spacing w:val="-6"/>
                <w:sz w:val="18"/>
              </w:rPr>
              <w:t> </w:t>
            </w:r>
            <w:r>
              <w:rPr>
                <w:b/>
                <w:sz w:val="18"/>
              </w:rPr>
              <w:t>-</w:t>
            </w:r>
            <w:r>
              <w:rPr>
                <w:b/>
                <w:spacing w:val="-2"/>
                <w:sz w:val="18"/>
              </w:rPr>
              <w:t>0.27)</w:t>
            </w:r>
          </w:p>
        </w:tc>
        <w:tc>
          <w:tcPr>
            <w:tcW w:w="1680" w:type="dxa"/>
            <w:tcBorders>
              <w:top w:val="single" w:sz="4" w:space="0" w:color="004B96"/>
              <w:bottom w:val="single" w:sz="4" w:space="0" w:color="004B96"/>
            </w:tcBorders>
          </w:tcPr>
          <w:p>
            <w:pPr>
              <w:pStyle w:val="TableParagraph"/>
              <w:spacing w:line="207" w:lineRule="exact" w:before="59"/>
              <w:ind w:left="2" w:right="1"/>
              <w:jc w:val="center"/>
              <w:rPr>
                <w:b/>
                <w:sz w:val="18"/>
              </w:rPr>
            </w:pPr>
            <w:r>
              <w:rPr>
                <w:b/>
                <w:spacing w:val="-4"/>
                <w:sz w:val="18"/>
              </w:rPr>
              <w:t>0.27</w:t>
            </w:r>
          </w:p>
          <w:p>
            <w:pPr>
              <w:pStyle w:val="TableParagraph"/>
              <w:spacing w:line="207" w:lineRule="exact"/>
              <w:ind w:left="1" w:right="2"/>
              <w:jc w:val="center"/>
              <w:rPr>
                <w:b/>
                <w:sz w:val="18"/>
              </w:rPr>
            </w:pPr>
            <w:r>
              <w:rPr>
                <w:b/>
                <w:sz w:val="18"/>
              </w:rPr>
              <w:t>(0.10,</w:t>
            </w:r>
            <w:r>
              <w:rPr>
                <w:b/>
                <w:spacing w:val="-5"/>
                <w:sz w:val="18"/>
              </w:rPr>
              <w:t> </w:t>
            </w:r>
            <w:r>
              <w:rPr>
                <w:b/>
                <w:spacing w:val="-4"/>
                <w:sz w:val="18"/>
              </w:rPr>
              <w:t>0.67</w:t>
            </w:r>
          </w:p>
        </w:tc>
        <w:tc>
          <w:tcPr>
            <w:tcW w:w="3437" w:type="dxa"/>
            <w:tcBorders>
              <w:top w:val="single" w:sz="4" w:space="0" w:color="004B96"/>
              <w:bottom w:val="single" w:sz="4" w:space="0" w:color="004B96"/>
            </w:tcBorders>
            <w:shd w:val="clear" w:color="auto" w:fill="CCDBEA"/>
          </w:tcPr>
          <w:p>
            <w:pPr>
              <w:pStyle w:val="TableParagraph"/>
              <w:spacing w:before="59"/>
              <w:ind w:left="108" w:right="157"/>
              <w:rPr>
                <w:b/>
                <w:sz w:val="18"/>
              </w:rPr>
            </w:pPr>
            <w:r>
              <w:rPr>
                <w:b/>
                <w:sz w:val="18"/>
              </w:rPr>
              <w:t>73%</w:t>
            </w:r>
            <w:r>
              <w:rPr>
                <w:b/>
                <w:spacing w:val="-9"/>
                <w:sz w:val="18"/>
              </w:rPr>
              <w:t> </w:t>
            </w:r>
            <w:r>
              <w:rPr>
                <w:b/>
                <w:sz w:val="18"/>
              </w:rPr>
              <w:t>decline</w:t>
            </w:r>
            <w:r>
              <w:rPr>
                <w:b/>
                <w:spacing w:val="-7"/>
                <w:sz w:val="18"/>
              </w:rPr>
              <w:t> </w:t>
            </w:r>
            <w:r>
              <w:rPr>
                <w:b/>
                <w:sz w:val="18"/>
              </w:rPr>
              <w:t>in</w:t>
            </w:r>
            <w:r>
              <w:rPr>
                <w:b/>
                <w:spacing w:val="-7"/>
                <w:sz w:val="18"/>
              </w:rPr>
              <w:t> </w:t>
            </w:r>
            <w:r>
              <w:rPr>
                <w:b/>
                <w:sz w:val="18"/>
              </w:rPr>
              <w:t>local</w:t>
            </w:r>
            <w:r>
              <w:rPr>
                <w:b/>
                <w:spacing w:val="-9"/>
                <w:sz w:val="18"/>
              </w:rPr>
              <w:t> </w:t>
            </w:r>
            <w:r>
              <w:rPr>
                <w:b/>
                <w:sz w:val="18"/>
              </w:rPr>
              <w:t>survival</w:t>
            </w:r>
            <w:r>
              <w:rPr>
                <w:b/>
                <w:spacing w:val="-9"/>
                <w:sz w:val="18"/>
              </w:rPr>
              <w:t> </w:t>
            </w:r>
            <w:r>
              <w:rPr>
                <w:b/>
                <w:sz w:val="18"/>
              </w:rPr>
              <w:t>with every 500 m away from water</w:t>
            </w:r>
          </w:p>
        </w:tc>
      </w:tr>
      <w:tr>
        <w:trPr>
          <w:trHeight w:val="741" w:hRule="atLeast"/>
        </w:trPr>
        <w:tc>
          <w:tcPr>
            <w:tcW w:w="2850" w:type="dxa"/>
            <w:tcBorders>
              <w:top w:val="single" w:sz="4" w:space="0" w:color="004B96"/>
              <w:bottom w:val="single" w:sz="4" w:space="0" w:color="004B96"/>
            </w:tcBorders>
          </w:tcPr>
          <w:p>
            <w:pPr>
              <w:pStyle w:val="TableParagraph"/>
              <w:spacing w:before="60"/>
              <w:rPr>
                <w:b/>
                <w:sz w:val="18"/>
              </w:rPr>
            </w:pPr>
          </w:p>
          <w:p>
            <w:pPr>
              <w:pStyle w:val="TableParagraph"/>
              <w:ind w:left="122"/>
              <w:rPr>
                <w:b/>
                <w:sz w:val="18"/>
              </w:rPr>
            </w:pPr>
            <w:r>
              <w:rPr>
                <w:b/>
                <w:sz w:val="18"/>
              </w:rPr>
              <w:t>Elevation</w:t>
            </w:r>
            <w:r>
              <w:rPr>
                <w:b/>
                <w:spacing w:val="-4"/>
                <w:sz w:val="18"/>
              </w:rPr>
              <w:t> </w:t>
            </w:r>
            <w:r>
              <w:rPr>
                <w:b/>
                <w:sz w:val="18"/>
              </w:rPr>
              <w:t>in</w:t>
            </w:r>
            <w:r>
              <w:rPr>
                <w:b/>
                <w:spacing w:val="-2"/>
                <w:sz w:val="18"/>
              </w:rPr>
              <w:t> </w:t>
            </w:r>
            <w:r>
              <w:rPr>
                <w:b/>
                <w:sz w:val="18"/>
              </w:rPr>
              <w:t>fox</w:t>
            </w:r>
            <w:r>
              <w:rPr>
                <w:b/>
                <w:spacing w:val="-2"/>
                <w:sz w:val="18"/>
              </w:rPr>
              <w:t> </w:t>
            </w:r>
            <w:r>
              <w:rPr>
                <w:b/>
                <w:sz w:val="18"/>
              </w:rPr>
              <w:t>control</w:t>
            </w:r>
            <w:r>
              <w:rPr>
                <w:b/>
                <w:spacing w:val="-2"/>
                <w:sz w:val="18"/>
              </w:rPr>
              <w:t> </w:t>
            </w:r>
            <w:r>
              <w:rPr>
                <w:b/>
                <w:spacing w:val="-4"/>
                <w:sz w:val="18"/>
              </w:rPr>
              <w:t>area</w:t>
            </w:r>
          </w:p>
        </w:tc>
        <w:tc>
          <w:tcPr>
            <w:tcW w:w="1723" w:type="dxa"/>
            <w:tcBorders>
              <w:top w:val="single" w:sz="4" w:space="0" w:color="004B96"/>
              <w:bottom w:val="single" w:sz="4" w:space="0" w:color="004B96"/>
            </w:tcBorders>
            <w:shd w:val="clear" w:color="auto" w:fill="CCDBEA"/>
          </w:tcPr>
          <w:p>
            <w:pPr>
              <w:pStyle w:val="TableParagraph"/>
              <w:spacing w:line="207" w:lineRule="exact" w:before="164"/>
              <w:ind w:left="3" w:right="2"/>
              <w:jc w:val="center"/>
              <w:rPr>
                <w:b/>
                <w:sz w:val="18"/>
              </w:rPr>
            </w:pPr>
            <w:r>
              <w:rPr>
                <w:b/>
                <w:spacing w:val="-4"/>
                <w:sz w:val="18"/>
              </w:rPr>
              <w:t>1.95</w:t>
            </w:r>
          </w:p>
          <w:p>
            <w:pPr>
              <w:pStyle w:val="TableParagraph"/>
              <w:spacing w:line="207" w:lineRule="exact"/>
              <w:ind w:left="3" w:right="2"/>
              <w:jc w:val="center"/>
              <w:rPr>
                <w:b/>
                <w:sz w:val="18"/>
              </w:rPr>
            </w:pPr>
            <w:r>
              <w:rPr>
                <w:b/>
                <w:sz w:val="18"/>
              </w:rPr>
              <w:t>(0.56,</w:t>
            </w:r>
            <w:r>
              <w:rPr>
                <w:b/>
                <w:spacing w:val="-5"/>
                <w:sz w:val="18"/>
              </w:rPr>
              <w:t> </w:t>
            </w:r>
            <w:r>
              <w:rPr>
                <w:b/>
                <w:spacing w:val="-2"/>
                <w:sz w:val="18"/>
              </w:rPr>
              <w:t>3.37)</w:t>
            </w:r>
          </w:p>
        </w:tc>
        <w:tc>
          <w:tcPr>
            <w:tcW w:w="1680" w:type="dxa"/>
            <w:tcBorders>
              <w:top w:val="single" w:sz="4" w:space="0" w:color="004B96"/>
              <w:bottom w:val="single" w:sz="4" w:space="0" w:color="004B96"/>
            </w:tcBorders>
          </w:tcPr>
          <w:p>
            <w:pPr>
              <w:pStyle w:val="TableParagraph"/>
              <w:spacing w:line="207" w:lineRule="exact" w:before="164"/>
              <w:ind w:left="2" w:right="1"/>
              <w:jc w:val="center"/>
              <w:rPr>
                <w:b/>
                <w:sz w:val="18"/>
              </w:rPr>
            </w:pPr>
            <w:r>
              <w:rPr>
                <w:b/>
                <w:spacing w:val="-4"/>
                <w:sz w:val="18"/>
              </w:rPr>
              <w:t>7.03</w:t>
            </w:r>
          </w:p>
          <w:p>
            <w:pPr>
              <w:pStyle w:val="TableParagraph"/>
              <w:spacing w:line="207" w:lineRule="exact"/>
              <w:ind w:left="1" w:right="2"/>
              <w:jc w:val="center"/>
              <w:rPr>
                <w:b/>
                <w:sz w:val="18"/>
              </w:rPr>
            </w:pPr>
            <w:r>
              <w:rPr>
                <w:b/>
                <w:sz w:val="18"/>
              </w:rPr>
              <w:t>(1.75,</w:t>
            </w:r>
            <w:r>
              <w:rPr>
                <w:b/>
                <w:spacing w:val="-5"/>
                <w:sz w:val="18"/>
              </w:rPr>
              <w:t> </w:t>
            </w:r>
            <w:r>
              <w:rPr>
                <w:b/>
                <w:spacing w:val="-2"/>
                <w:sz w:val="18"/>
              </w:rPr>
              <w:t>29.08)</w:t>
            </w:r>
          </w:p>
        </w:tc>
        <w:tc>
          <w:tcPr>
            <w:tcW w:w="3437" w:type="dxa"/>
            <w:tcBorders>
              <w:top w:val="single" w:sz="4" w:space="0" w:color="004B96"/>
              <w:bottom w:val="single" w:sz="4" w:space="0" w:color="004B96"/>
            </w:tcBorders>
            <w:shd w:val="clear" w:color="auto" w:fill="CCDBEA"/>
          </w:tcPr>
          <w:p>
            <w:pPr>
              <w:pStyle w:val="TableParagraph"/>
              <w:spacing w:before="59"/>
              <w:ind w:left="108" w:right="157"/>
              <w:rPr>
                <w:b/>
                <w:sz w:val="18"/>
              </w:rPr>
            </w:pPr>
            <w:r>
              <w:rPr>
                <w:b/>
                <w:sz w:val="18"/>
              </w:rPr>
              <w:t>A</w:t>
            </w:r>
            <w:r>
              <w:rPr>
                <w:b/>
                <w:spacing w:val="-5"/>
                <w:sz w:val="18"/>
              </w:rPr>
              <w:t> </w:t>
            </w:r>
            <w:r>
              <w:rPr>
                <w:b/>
                <w:sz w:val="18"/>
              </w:rPr>
              <w:t>7-fold</w:t>
            </w:r>
            <w:r>
              <w:rPr>
                <w:b/>
                <w:spacing w:val="-6"/>
                <w:sz w:val="18"/>
              </w:rPr>
              <w:t> </w:t>
            </w:r>
            <w:r>
              <w:rPr>
                <w:b/>
                <w:sz w:val="18"/>
              </w:rPr>
              <w:t>increase</w:t>
            </w:r>
            <w:r>
              <w:rPr>
                <w:b/>
                <w:spacing w:val="-6"/>
                <w:sz w:val="18"/>
              </w:rPr>
              <w:t> </w:t>
            </w:r>
            <w:r>
              <w:rPr>
                <w:b/>
                <w:sz w:val="18"/>
              </w:rPr>
              <w:t>in</w:t>
            </w:r>
            <w:r>
              <w:rPr>
                <w:b/>
                <w:spacing w:val="-6"/>
                <w:sz w:val="18"/>
              </w:rPr>
              <w:t> </w:t>
            </w:r>
            <w:r>
              <w:rPr>
                <w:b/>
                <w:sz w:val="18"/>
              </w:rPr>
              <w:t>the</w:t>
            </w:r>
            <w:r>
              <w:rPr>
                <w:b/>
                <w:spacing w:val="-6"/>
                <w:sz w:val="18"/>
              </w:rPr>
              <w:t> </w:t>
            </w:r>
            <w:r>
              <w:rPr>
                <w:b/>
                <w:sz w:val="18"/>
              </w:rPr>
              <w:t>odds</w:t>
            </w:r>
            <w:r>
              <w:rPr>
                <w:b/>
                <w:spacing w:val="-6"/>
                <w:sz w:val="18"/>
              </w:rPr>
              <w:t> </w:t>
            </w:r>
            <w:r>
              <w:rPr>
                <w:b/>
                <w:sz w:val="18"/>
              </w:rPr>
              <w:t>a</w:t>
            </w:r>
            <w:r>
              <w:rPr>
                <w:b/>
                <w:spacing w:val="-6"/>
                <w:sz w:val="18"/>
              </w:rPr>
              <w:t> </w:t>
            </w:r>
            <w:r>
              <w:rPr>
                <w:b/>
                <w:sz w:val="18"/>
              </w:rPr>
              <w:t>site would survive with every 50 m increase in elevation</w:t>
            </w:r>
          </w:p>
        </w:tc>
      </w:tr>
      <w:tr>
        <w:trPr>
          <w:trHeight w:val="947" w:hRule="atLeast"/>
        </w:trPr>
        <w:tc>
          <w:tcPr>
            <w:tcW w:w="2850" w:type="dxa"/>
            <w:tcBorders>
              <w:top w:val="single" w:sz="4" w:space="0" w:color="004B96"/>
              <w:bottom w:val="single" w:sz="12" w:space="0" w:color="004B96"/>
            </w:tcBorders>
          </w:tcPr>
          <w:p>
            <w:pPr>
              <w:pStyle w:val="TableParagraph"/>
              <w:spacing w:before="163"/>
              <w:rPr>
                <w:b/>
                <w:sz w:val="18"/>
              </w:rPr>
            </w:pPr>
          </w:p>
          <w:p>
            <w:pPr>
              <w:pStyle w:val="TableParagraph"/>
              <w:spacing w:before="1"/>
              <w:ind w:left="122"/>
              <w:rPr>
                <w:b/>
                <w:sz w:val="18"/>
              </w:rPr>
            </w:pPr>
            <w:r>
              <w:rPr>
                <w:b/>
                <w:sz w:val="18"/>
              </w:rPr>
              <w:t>Fox</w:t>
            </w:r>
            <w:r>
              <w:rPr>
                <w:b/>
                <w:spacing w:val="-4"/>
                <w:sz w:val="18"/>
              </w:rPr>
              <w:t> </w:t>
            </w:r>
            <w:r>
              <w:rPr>
                <w:b/>
                <w:sz w:val="18"/>
              </w:rPr>
              <w:t>control</w:t>
            </w:r>
            <w:r>
              <w:rPr>
                <w:b/>
                <w:spacing w:val="-1"/>
                <w:sz w:val="18"/>
              </w:rPr>
              <w:t> </w:t>
            </w:r>
            <w:r>
              <w:rPr>
                <w:b/>
                <w:spacing w:val="-4"/>
                <w:sz w:val="18"/>
              </w:rPr>
              <w:t>area</w:t>
            </w:r>
          </w:p>
        </w:tc>
        <w:tc>
          <w:tcPr>
            <w:tcW w:w="1723" w:type="dxa"/>
            <w:tcBorders>
              <w:top w:val="single" w:sz="4" w:space="0" w:color="004B96"/>
              <w:bottom w:val="single" w:sz="12" w:space="0" w:color="004B96"/>
            </w:tcBorders>
            <w:shd w:val="clear" w:color="auto" w:fill="CCDBEA"/>
          </w:tcPr>
          <w:p>
            <w:pPr>
              <w:pStyle w:val="TableParagraph"/>
              <w:spacing w:before="60"/>
              <w:rPr>
                <w:b/>
                <w:sz w:val="18"/>
              </w:rPr>
            </w:pPr>
          </w:p>
          <w:p>
            <w:pPr>
              <w:pStyle w:val="TableParagraph"/>
              <w:spacing w:line="207" w:lineRule="exact"/>
              <w:ind w:left="3" w:right="2"/>
              <w:jc w:val="center"/>
              <w:rPr>
                <w:b/>
                <w:sz w:val="18"/>
              </w:rPr>
            </w:pPr>
            <w:r>
              <w:rPr>
                <w:b/>
                <w:spacing w:val="-4"/>
                <w:sz w:val="18"/>
              </w:rPr>
              <w:t>1.18</w:t>
            </w:r>
          </w:p>
          <w:p>
            <w:pPr>
              <w:pStyle w:val="TableParagraph"/>
              <w:spacing w:line="207" w:lineRule="exact"/>
              <w:ind w:left="3" w:right="2"/>
              <w:jc w:val="center"/>
              <w:rPr>
                <w:b/>
                <w:sz w:val="18"/>
              </w:rPr>
            </w:pPr>
            <w:r>
              <w:rPr>
                <w:b/>
                <w:sz w:val="18"/>
              </w:rPr>
              <w:t>(0.01,</w:t>
            </w:r>
            <w:r>
              <w:rPr>
                <w:b/>
                <w:spacing w:val="-5"/>
                <w:sz w:val="18"/>
              </w:rPr>
              <w:t> </w:t>
            </w:r>
            <w:r>
              <w:rPr>
                <w:b/>
                <w:spacing w:val="-2"/>
                <w:sz w:val="18"/>
              </w:rPr>
              <w:t>2.33)</w:t>
            </w:r>
          </w:p>
        </w:tc>
        <w:tc>
          <w:tcPr>
            <w:tcW w:w="1680" w:type="dxa"/>
            <w:tcBorders>
              <w:top w:val="single" w:sz="4" w:space="0" w:color="004B96"/>
              <w:bottom w:val="single" w:sz="12" w:space="0" w:color="004B96"/>
            </w:tcBorders>
          </w:tcPr>
          <w:p>
            <w:pPr>
              <w:pStyle w:val="TableParagraph"/>
              <w:spacing w:before="60"/>
              <w:rPr>
                <w:b/>
                <w:sz w:val="18"/>
              </w:rPr>
            </w:pPr>
          </w:p>
          <w:p>
            <w:pPr>
              <w:pStyle w:val="TableParagraph"/>
              <w:spacing w:line="207" w:lineRule="exact"/>
              <w:ind w:left="2" w:right="1"/>
              <w:jc w:val="center"/>
              <w:rPr>
                <w:b/>
                <w:sz w:val="18"/>
              </w:rPr>
            </w:pPr>
            <w:r>
              <w:rPr>
                <w:b/>
                <w:spacing w:val="-4"/>
                <w:sz w:val="18"/>
              </w:rPr>
              <w:t>3.25</w:t>
            </w:r>
          </w:p>
          <w:p>
            <w:pPr>
              <w:pStyle w:val="TableParagraph"/>
              <w:spacing w:line="207" w:lineRule="exact"/>
              <w:ind w:left="1" w:right="2"/>
              <w:jc w:val="center"/>
              <w:rPr>
                <w:b/>
                <w:sz w:val="18"/>
              </w:rPr>
            </w:pPr>
            <w:r>
              <w:rPr>
                <w:b/>
                <w:sz w:val="18"/>
              </w:rPr>
              <w:t>(1.01,</w:t>
            </w:r>
            <w:r>
              <w:rPr>
                <w:b/>
                <w:spacing w:val="-5"/>
                <w:sz w:val="18"/>
              </w:rPr>
              <w:t> </w:t>
            </w:r>
            <w:r>
              <w:rPr>
                <w:b/>
                <w:spacing w:val="-2"/>
                <w:sz w:val="18"/>
              </w:rPr>
              <w:t>10.28)</w:t>
            </w:r>
          </w:p>
        </w:tc>
        <w:tc>
          <w:tcPr>
            <w:tcW w:w="3437" w:type="dxa"/>
            <w:tcBorders>
              <w:top w:val="single" w:sz="4" w:space="0" w:color="004B96"/>
              <w:bottom w:val="single" w:sz="12" w:space="0" w:color="004B96"/>
            </w:tcBorders>
            <w:shd w:val="clear" w:color="auto" w:fill="CCDBEA"/>
          </w:tcPr>
          <w:p>
            <w:pPr>
              <w:pStyle w:val="TableParagraph"/>
              <w:spacing w:before="59"/>
              <w:ind w:left="108" w:right="157"/>
              <w:rPr>
                <w:b/>
                <w:sz w:val="18"/>
              </w:rPr>
            </w:pPr>
            <w:r>
              <w:rPr>
                <w:b/>
                <w:sz w:val="18"/>
              </w:rPr>
              <w:t>Just over 3-fold increase in local survival at fox control sites compared</w:t>
            </w:r>
            <w:r>
              <w:rPr>
                <w:b/>
                <w:spacing w:val="-8"/>
                <w:sz w:val="18"/>
              </w:rPr>
              <w:t> </w:t>
            </w:r>
            <w:r>
              <w:rPr>
                <w:b/>
                <w:sz w:val="18"/>
              </w:rPr>
              <w:t>with</w:t>
            </w:r>
            <w:r>
              <w:rPr>
                <w:b/>
                <w:spacing w:val="-9"/>
                <w:sz w:val="18"/>
              </w:rPr>
              <w:t> </w:t>
            </w:r>
            <w:r>
              <w:rPr>
                <w:b/>
                <w:sz w:val="18"/>
              </w:rPr>
              <w:t>at</w:t>
            </w:r>
            <w:r>
              <w:rPr>
                <w:b/>
                <w:spacing w:val="-11"/>
                <w:sz w:val="18"/>
              </w:rPr>
              <w:t> </w:t>
            </w:r>
            <w:r>
              <w:rPr>
                <w:b/>
                <w:sz w:val="18"/>
              </w:rPr>
              <w:t>non-fox</w:t>
            </w:r>
            <w:r>
              <w:rPr>
                <w:b/>
                <w:spacing w:val="-11"/>
                <w:sz w:val="18"/>
              </w:rPr>
              <w:t> </w:t>
            </w:r>
            <w:r>
              <w:rPr>
                <w:b/>
                <w:sz w:val="18"/>
              </w:rPr>
              <w:t>control </w:t>
            </w:r>
            <w:r>
              <w:rPr>
                <w:b/>
                <w:spacing w:val="-2"/>
                <w:sz w:val="18"/>
              </w:rPr>
              <w:t>sites</w:t>
            </w:r>
          </w:p>
        </w:tc>
      </w:tr>
      <w:tr>
        <w:trPr>
          <w:trHeight w:val="325" w:hRule="atLeast"/>
        </w:trPr>
        <w:tc>
          <w:tcPr>
            <w:tcW w:w="9690" w:type="dxa"/>
            <w:gridSpan w:val="4"/>
            <w:tcBorders>
              <w:top w:val="single" w:sz="12" w:space="0" w:color="004B96"/>
              <w:bottom w:val="single" w:sz="12" w:space="0" w:color="004B96"/>
            </w:tcBorders>
          </w:tcPr>
          <w:p>
            <w:pPr>
              <w:pStyle w:val="TableParagraph"/>
              <w:spacing w:before="58"/>
              <w:ind w:left="122"/>
              <w:rPr>
                <w:b/>
                <w:sz w:val="18"/>
              </w:rPr>
            </w:pPr>
            <w:r>
              <w:rPr>
                <w:b/>
                <w:sz w:val="18"/>
              </w:rPr>
              <w:t>C:</w:t>
            </w:r>
            <w:r>
              <w:rPr>
                <w:b/>
                <w:spacing w:val="-3"/>
                <w:sz w:val="18"/>
              </w:rPr>
              <w:t> </w:t>
            </w:r>
            <w:r>
              <w:rPr>
                <w:b/>
                <w:sz w:val="18"/>
              </w:rPr>
              <w:t>Site</w:t>
            </w:r>
            <w:r>
              <w:rPr>
                <w:b/>
                <w:spacing w:val="-2"/>
                <w:sz w:val="18"/>
              </w:rPr>
              <w:t> colonisation</w:t>
            </w:r>
          </w:p>
        </w:tc>
      </w:tr>
      <w:tr>
        <w:trPr>
          <w:trHeight w:val="741" w:hRule="atLeast"/>
        </w:trPr>
        <w:tc>
          <w:tcPr>
            <w:tcW w:w="2850" w:type="dxa"/>
            <w:tcBorders>
              <w:top w:val="single" w:sz="12" w:space="0" w:color="004B96"/>
              <w:bottom w:val="single" w:sz="4" w:space="0" w:color="004B96"/>
            </w:tcBorders>
          </w:tcPr>
          <w:p>
            <w:pPr>
              <w:pStyle w:val="TableParagraph"/>
              <w:spacing w:before="161"/>
              <w:ind w:left="122"/>
              <w:rPr>
                <w:b/>
                <w:sz w:val="18"/>
              </w:rPr>
            </w:pPr>
            <w:r>
              <w:rPr>
                <w:b/>
                <w:sz w:val="18"/>
              </w:rPr>
              <w:t>Distance</w:t>
            </w:r>
            <w:r>
              <w:rPr>
                <w:b/>
                <w:spacing w:val="-15"/>
                <w:sz w:val="18"/>
              </w:rPr>
              <w:t> </w:t>
            </w:r>
            <w:r>
              <w:rPr>
                <w:b/>
                <w:sz w:val="18"/>
              </w:rPr>
              <w:t>to</w:t>
            </w:r>
            <w:r>
              <w:rPr>
                <w:b/>
                <w:spacing w:val="-12"/>
                <w:sz w:val="18"/>
              </w:rPr>
              <w:t> </w:t>
            </w:r>
            <w:r>
              <w:rPr>
                <w:b/>
                <w:sz w:val="18"/>
              </w:rPr>
              <w:t>non-native </w:t>
            </w:r>
            <w:r>
              <w:rPr>
                <w:b/>
                <w:spacing w:val="-2"/>
                <w:sz w:val="18"/>
              </w:rPr>
              <w:t>vegetation</w:t>
            </w:r>
          </w:p>
        </w:tc>
        <w:tc>
          <w:tcPr>
            <w:tcW w:w="1723" w:type="dxa"/>
            <w:tcBorders>
              <w:top w:val="single" w:sz="12" w:space="0" w:color="004B96"/>
              <w:bottom w:val="single" w:sz="4" w:space="0" w:color="004B96"/>
            </w:tcBorders>
            <w:shd w:val="clear" w:color="auto" w:fill="CCDBEA"/>
          </w:tcPr>
          <w:p>
            <w:pPr>
              <w:pStyle w:val="TableParagraph"/>
              <w:spacing w:before="161"/>
              <w:ind w:left="3" w:right="2"/>
              <w:jc w:val="center"/>
              <w:rPr>
                <w:b/>
                <w:sz w:val="18"/>
              </w:rPr>
            </w:pPr>
            <w:r>
              <w:rPr>
                <w:b/>
                <w:spacing w:val="-4"/>
                <w:sz w:val="18"/>
              </w:rPr>
              <w:t>0.39</w:t>
            </w:r>
          </w:p>
          <w:p>
            <w:pPr>
              <w:pStyle w:val="TableParagraph"/>
              <w:spacing w:before="2"/>
              <w:ind w:left="3" w:right="2"/>
              <w:jc w:val="center"/>
              <w:rPr>
                <w:b/>
                <w:sz w:val="18"/>
              </w:rPr>
            </w:pPr>
            <w:r>
              <w:rPr>
                <w:b/>
                <w:sz w:val="18"/>
              </w:rPr>
              <w:t>(0.19,</w:t>
            </w:r>
            <w:r>
              <w:rPr>
                <w:b/>
                <w:spacing w:val="-5"/>
                <w:sz w:val="18"/>
              </w:rPr>
              <w:t> </w:t>
            </w:r>
            <w:r>
              <w:rPr>
                <w:b/>
                <w:spacing w:val="-2"/>
                <w:sz w:val="18"/>
              </w:rPr>
              <w:t>0.59)</w:t>
            </w:r>
          </w:p>
        </w:tc>
        <w:tc>
          <w:tcPr>
            <w:tcW w:w="1680" w:type="dxa"/>
            <w:tcBorders>
              <w:top w:val="single" w:sz="12" w:space="0" w:color="004B96"/>
              <w:bottom w:val="single" w:sz="4" w:space="0" w:color="004B96"/>
            </w:tcBorders>
          </w:tcPr>
          <w:p>
            <w:pPr>
              <w:pStyle w:val="TableParagraph"/>
              <w:spacing w:before="161"/>
              <w:ind w:left="2" w:right="1"/>
              <w:jc w:val="center"/>
              <w:rPr>
                <w:b/>
                <w:sz w:val="18"/>
              </w:rPr>
            </w:pPr>
            <w:r>
              <w:rPr>
                <w:b/>
                <w:spacing w:val="-4"/>
                <w:sz w:val="18"/>
              </w:rPr>
              <w:t>1.48</w:t>
            </w:r>
          </w:p>
          <w:p>
            <w:pPr>
              <w:pStyle w:val="TableParagraph"/>
              <w:spacing w:before="2"/>
              <w:ind w:left="2" w:right="1"/>
              <w:jc w:val="center"/>
              <w:rPr>
                <w:b/>
                <w:sz w:val="18"/>
              </w:rPr>
            </w:pPr>
            <w:r>
              <w:rPr>
                <w:b/>
                <w:sz w:val="18"/>
              </w:rPr>
              <w:t>(1.21,</w:t>
            </w:r>
            <w:r>
              <w:rPr>
                <w:b/>
                <w:spacing w:val="-5"/>
                <w:sz w:val="18"/>
              </w:rPr>
              <w:t> </w:t>
            </w:r>
            <w:r>
              <w:rPr>
                <w:b/>
                <w:spacing w:val="-2"/>
                <w:sz w:val="18"/>
              </w:rPr>
              <w:t>1.80)</w:t>
            </w:r>
          </w:p>
        </w:tc>
        <w:tc>
          <w:tcPr>
            <w:tcW w:w="3437" w:type="dxa"/>
            <w:tcBorders>
              <w:top w:val="single" w:sz="12" w:space="0" w:color="004B96"/>
              <w:bottom w:val="single" w:sz="4" w:space="0" w:color="004B96"/>
            </w:tcBorders>
            <w:shd w:val="clear" w:color="auto" w:fill="CCDBEA"/>
          </w:tcPr>
          <w:p>
            <w:pPr>
              <w:pStyle w:val="TableParagraph"/>
              <w:spacing w:before="58"/>
              <w:ind w:left="108" w:right="365"/>
              <w:rPr>
                <w:b/>
                <w:sz w:val="18"/>
              </w:rPr>
            </w:pPr>
            <w:r>
              <w:rPr>
                <w:b/>
                <w:sz w:val="18"/>
              </w:rPr>
              <w:t>48% increase in the odds a site is colonised</w:t>
            </w:r>
            <w:r>
              <w:rPr>
                <w:b/>
                <w:spacing w:val="-9"/>
                <w:sz w:val="18"/>
              </w:rPr>
              <w:t> </w:t>
            </w:r>
            <w:r>
              <w:rPr>
                <w:b/>
                <w:sz w:val="18"/>
              </w:rPr>
              <w:t>with</w:t>
            </w:r>
            <w:r>
              <w:rPr>
                <w:b/>
                <w:spacing w:val="-9"/>
                <w:sz w:val="18"/>
              </w:rPr>
              <w:t> </w:t>
            </w:r>
            <w:r>
              <w:rPr>
                <w:b/>
                <w:sz w:val="18"/>
              </w:rPr>
              <w:t>each</w:t>
            </w:r>
            <w:r>
              <w:rPr>
                <w:b/>
                <w:spacing w:val="-9"/>
                <w:sz w:val="18"/>
              </w:rPr>
              <w:t> </w:t>
            </w:r>
            <w:r>
              <w:rPr>
                <w:b/>
                <w:sz w:val="18"/>
              </w:rPr>
              <w:t>km</w:t>
            </w:r>
            <w:r>
              <w:rPr>
                <w:b/>
                <w:spacing w:val="-7"/>
                <w:sz w:val="18"/>
              </w:rPr>
              <w:t> </w:t>
            </w:r>
            <w:r>
              <w:rPr>
                <w:b/>
                <w:sz w:val="18"/>
              </w:rPr>
              <w:t>away</w:t>
            </w:r>
            <w:r>
              <w:rPr>
                <w:b/>
                <w:spacing w:val="-7"/>
                <w:sz w:val="18"/>
              </w:rPr>
              <w:t> </w:t>
            </w:r>
            <w:r>
              <w:rPr>
                <w:b/>
                <w:sz w:val="18"/>
              </w:rPr>
              <w:t>from non-native vegetation</w:t>
            </w:r>
          </w:p>
        </w:tc>
      </w:tr>
      <w:tr>
        <w:trPr>
          <w:trHeight w:val="534" w:hRule="atLeast"/>
        </w:trPr>
        <w:tc>
          <w:tcPr>
            <w:tcW w:w="2850" w:type="dxa"/>
            <w:tcBorders>
              <w:top w:val="single" w:sz="4" w:space="0" w:color="004B96"/>
              <w:bottom w:val="single" w:sz="4" w:space="0" w:color="004B96"/>
            </w:tcBorders>
          </w:tcPr>
          <w:p>
            <w:pPr>
              <w:pStyle w:val="TableParagraph"/>
              <w:spacing w:before="162"/>
              <w:ind w:left="122"/>
              <w:rPr>
                <w:sz w:val="18"/>
              </w:rPr>
            </w:pPr>
            <w:r>
              <w:rPr>
                <w:sz w:val="18"/>
              </w:rPr>
              <w:t>Tall</w:t>
            </w:r>
            <w:r>
              <w:rPr>
                <w:spacing w:val="-4"/>
                <w:sz w:val="18"/>
              </w:rPr>
              <w:t> </w:t>
            </w:r>
            <w:r>
              <w:rPr>
                <w:sz w:val="18"/>
              </w:rPr>
              <w:t>mixed</w:t>
            </w:r>
            <w:r>
              <w:rPr>
                <w:spacing w:val="-3"/>
                <w:sz w:val="18"/>
              </w:rPr>
              <w:t> </w:t>
            </w:r>
            <w:r>
              <w:rPr>
                <w:sz w:val="18"/>
              </w:rPr>
              <w:t>Forest</w:t>
            </w:r>
            <w:r>
              <w:rPr>
                <w:spacing w:val="-1"/>
                <w:sz w:val="18"/>
              </w:rPr>
              <w:t> </w:t>
            </w:r>
            <w:r>
              <w:rPr>
                <w:spacing w:val="-2"/>
                <w:sz w:val="18"/>
              </w:rPr>
              <w:t>(Eastern)</w:t>
            </w:r>
          </w:p>
        </w:tc>
        <w:tc>
          <w:tcPr>
            <w:tcW w:w="1723" w:type="dxa"/>
            <w:tcBorders>
              <w:top w:val="single" w:sz="4" w:space="0" w:color="004B96"/>
              <w:bottom w:val="single" w:sz="4" w:space="0" w:color="004B96"/>
            </w:tcBorders>
            <w:shd w:val="clear" w:color="auto" w:fill="CCDBEA"/>
          </w:tcPr>
          <w:p>
            <w:pPr>
              <w:pStyle w:val="TableParagraph"/>
              <w:spacing w:line="207" w:lineRule="exact" w:before="59"/>
              <w:ind w:left="3" w:right="2"/>
              <w:jc w:val="center"/>
              <w:rPr>
                <w:sz w:val="18"/>
              </w:rPr>
            </w:pPr>
            <w:r>
              <w:rPr>
                <w:spacing w:val="-4"/>
                <w:sz w:val="18"/>
              </w:rPr>
              <w:t>0.39</w:t>
            </w:r>
          </w:p>
          <w:p>
            <w:pPr>
              <w:pStyle w:val="TableParagraph"/>
              <w:spacing w:line="207" w:lineRule="exact"/>
              <w:ind w:left="3"/>
              <w:jc w:val="center"/>
              <w:rPr>
                <w:sz w:val="18"/>
              </w:rPr>
            </w:pPr>
            <w:r>
              <w:rPr>
                <w:sz w:val="18"/>
              </w:rPr>
              <w:t>(-0.16,</w:t>
            </w:r>
            <w:r>
              <w:rPr>
                <w:spacing w:val="-6"/>
                <w:sz w:val="18"/>
              </w:rPr>
              <w:t> </w:t>
            </w:r>
            <w:r>
              <w:rPr>
                <w:spacing w:val="-2"/>
                <w:sz w:val="18"/>
              </w:rPr>
              <w:t>0.96)</w:t>
            </w:r>
          </w:p>
        </w:tc>
        <w:tc>
          <w:tcPr>
            <w:tcW w:w="1680" w:type="dxa"/>
            <w:tcBorders>
              <w:top w:val="single" w:sz="4" w:space="0" w:color="004B96"/>
              <w:bottom w:val="single" w:sz="4" w:space="0" w:color="004B96"/>
            </w:tcBorders>
          </w:tcPr>
          <w:p>
            <w:pPr>
              <w:pStyle w:val="TableParagraph"/>
              <w:spacing w:line="207" w:lineRule="exact" w:before="59"/>
              <w:ind w:left="2" w:right="1"/>
              <w:jc w:val="center"/>
              <w:rPr>
                <w:sz w:val="18"/>
              </w:rPr>
            </w:pPr>
            <w:r>
              <w:rPr>
                <w:spacing w:val="-4"/>
                <w:sz w:val="18"/>
              </w:rPr>
              <w:t>1.48</w:t>
            </w:r>
          </w:p>
          <w:p>
            <w:pPr>
              <w:pStyle w:val="TableParagraph"/>
              <w:spacing w:line="207" w:lineRule="exact"/>
              <w:ind w:left="2" w:right="1"/>
              <w:jc w:val="center"/>
              <w:rPr>
                <w:sz w:val="18"/>
              </w:rPr>
            </w:pPr>
            <w:r>
              <w:rPr>
                <w:sz w:val="18"/>
              </w:rPr>
              <w:t>(0.85,</w:t>
            </w:r>
            <w:r>
              <w:rPr>
                <w:spacing w:val="-5"/>
                <w:sz w:val="18"/>
              </w:rPr>
              <w:t> </w:t>
            </w:r>
            <w:r>
              <w:rPr>
                <w:spacing w:val="-2"/>
                <w:sz w:val="18"/>
              </w:rPr>
              <w:t>2.61)</w:t>
            </w:r>
          </w:p>
        </w:tc>
        <w:tc>
          <w:tcPr>
            <w:tcW w:w="3437" w:type="dxa"/>
            <w:tcBorders>
              <w:top w:val="single" w:sz="4" w:space="0" w:color="004B96"/>
              <w:bottom w:val="single" w:sz="4" w:space="0" w:color="004B96"/>
            </w:tcBorders>
            <w:shd w:val="clear" w:color="auto" w:fill="CCDBEA"/>
          </w:tcPr>
          <w:p>
            <w:pPr>
              <w:pStyle w:val="TableParagraph"/>
              <w:spacing w:before="162"/>
              <w:ind w:left="108"/>
              <w:rPr>
                <w:sz w:val="18"/>
              </w:rPr>
            </w:pPr>
            <w:r>
              <w:rPr>
                <w:sz w:val="18"/>
              </w:rPr>
              <w:t>No</w:t>
            </w:r>
            <w:r>
              <w:rPr>
                <w:spacing w:val="-4"/>
                <w:sz w:val="18"/>
              </w:rPr>
              <w:t> </w:t>
            </w:r>
            <w:r>
              <w:rPr>
                <w:sz w:val="18"/>
              </w:rPr>
              <w:t>relationship</w:t>
            </w:r>
            <w:r>
              <w:rPr>
                <w:spacing w:val="-4"/>
                <w:sz w:val="18"/>
              </w:rPr>
              <w:t> </w:t>
            </w:r>
            <w:r>
              <w:rPr>
                <w:sz w:val="18"/>
              </w:rPr>
              <w:t>with</w:t>
            </w:r>
            <w:r>
              <w:rPr>
                <w:spacing w:val="-6"/>
                <w:sz w:val="18"/>
              </w:rPr>
              <w:t> </w:t>
            </w:r>
            <w:r>
              <w:rPr>
                <w:spacing w:val="-5"/>
                <w:sz w:val="18"/>
              </w:rPr>
              <w:t>EVD</w:t>
            </w:r>
          </w:p>
        </w:tc>
      </w:tr>
      <w:tr>
        <w:trPr>
          <w:trHeight w:val="741" w:hRule="atLeast"/>
        </w:trPr>
        <w:tc>
          <w:tcPr>
            <w:tcW w:w="2850" w:type="dxa"/>
            <w:tcBorders>
              <w:top w:val="single" w:sz="4" w:space="0" w:color="004B96"/>
              <w:bottom w:val="single" w:sz="4" w:space="0" w:color="004B96"/>
            </w:tcBorders>
          </w:tcPr>
          <w:p>
            <w:pPr>
              <w:pStyle w:val="TableParagraph"/>
              <w:spacing w:before="58"/>
              <w:rPr>
                <w:b/>
                <w:sz w:val="18"/>
              </w:rPr>
            </w:pPr>
          </w:p>
          <w:p>
            <w:pPr>
              <w:pStyle w:val="TableParagraph"/>
              <w:ind w:left="122"/>
              <w:rPr>
                <w:b/>
                <w:sz w:val="18"/>
              </w:rPr>
            </w:pPr>
            <w:r>
              <w:rPr>
                <w:b/>
                <w:spacing w:val="-2"/>
                <w:sz w:val="18"/>
              </w:rPr>
              <w:t>Time-since-</w:t>
            </w:r>
            <w:r>
              <w:rPr>
                <w:b/>
                <w:spacing w:val="-4"/>
                <w:sz w:val="18"/>
              </w:rPr>
              <w:t>fire</w:t>
            </w:r>
          </w:p>
        </w:tc>
        <w:tc>
          <w:tcPr>
            <w:tcW w:w="1723" w:type="dxa"/>
            <w:tcBorders>
              <w:top w:val="single" w:sz="4" w:space="0" w:color="004B96"/>
              <w:bottom w:val="single" w:sz="4" w:space="0" w:color="004B96"/>
            </w:tcBorders>
            <w:shd w:val="clear" w:color="auto" w:fill="CCDBEA"/>
          </w:tcPr>
          <w:p>
            <w:pPr>
              <w:pStyle w:val="TableParagraph"/>
              <w:spacing w:line="207" w:lineRule="exact" w:before="162"/>
              <w:ind w:left="3"/>
              <w:jc w:val="center"/>
              <w:rPr>
                <w:b/>
                <w:sz w:val="18"/>
              </w:rPr>
            </w:pPr>
            <w:r>
              <w:rPr>
                <w:b/>
                <w:spacing w:val="-2"/>
                <w:sz w:val="18"/>
              </w:rPr>
              <w:t>-</w:t>
            </w:r>
            <w:r>
              <w:rPr>
                <w:b/>
                <w:spacing w:val="-4"/>
                <w:sz w:val="18"/>
              </w:rPr>
              <w:t>0.19</w:t>
            </w:r>
          </w:p>
          <w:p>
            <w:pPr>
              <w:pStyle w:val="TableParagraph"/>
              <w:spacing w:line="207" w:lineRule="exact"/>
              <w:ind w:left="3" w:right="2"/>
              <w:jc w:val="center"/>
              <w:rPr>
                <w:b/>
                <w:sz w:val="18"/>
              </w:rPr>
            </w:pPr>
            <w:r>
              <w:rPr>
                <w:b/>
                <w:sz w:val="18"/>
              </w:rPr>
              <w:t>(-0.35,</w:t>
            </w:r>
            <w:r>
              <w:rPr>
                <w:b/>
                <w:spacing w:val="-6"/>
                <w:sz w:val="18"/>
              </w:rPr>
              <w:t> </w:t>
            </w:r>
            <w:r>
              <w:rPr>
                <w:b/>
                <w:sz w:val="18"/>
              </w:rPr>
              <w:t>-</w:t>
            </w:r>
            <w:r>
              <w:rPr>
                <w:b/>
                <w:spacing w:val="-2"/>
                <w:sz w:val="18"/>
              </w:rPr>
              <w:t>0.05)</w:t>
            </w:r>
          </w:p>
        </w:tc>
        <w:tc>
          <w:tcPr>
            <w:tcW w:w="1680" w:type="dxa"/>
            <w:tcBorders>
              <w:top w:val="single" w:sz="4" w:space="0" w:color="004B96"/>
              <w:bottom w:val="single" w:sz="4" w:space="0" w:color="004B96"/>
            </w:tcBorders>
          </w:tcPr>
          <w:p>
            <w:pPr>
              <w:pStyle w:val="TableParagraph"/>
              <w:spacing w:line="207" w:lineRule="exact" w:before="162"/>
              <w:ind w:left="2" w:right="1"/>
              <w:jc w:val="center"/>
              <w:rPr>
                <w:b/>
                <w:sz w:val="18"/>
              </w:rPr>
            </w:pPr>
            <w:r>
              <w:rPr>
                <w:b/>
                <w:spacing w:val="-4"/>
                <w:sz w:val="18"/>
              </w:rPr>
              <w:t>0.83</w:t>
            </w:r>
          </w:p>
          <w:p>
            <w:pPr>
              <w:pStyle w:val="TableParagraph"/>
              <w:spacing w:line="207" w:lineRule="exact"/>
              <w:ind w:left="2" w:right="1"/>
              <w:jc w:val="center"/>
              <w:rPr>
                <w:b/>
                <w:sz w:val="18"/>
              </w:rPr>
            </w:pPr>
            <w:r>
              <w:rPr>
                <w:b/>
                <w:sz w:val="18"/>
              </w:rPr>
              <w:t>(0.70,</w:t>
            </w:r>
            <w:r>
              <w:rPr>
                <w:b/>
                <w:spacing w:val="-5"/>
                <w:sz w:val="18"/>
              </w:rPr>
              <w:t> </w:t>
            </w:r>
            <w:r>
              <w:rPr>
                <w:b/>
                <w:spacing w:val="-2"/>
                <w:sz w:val="18"/>
              </w:rPr>
              <w:t>0.95)</w:t>
            </w:r>
          </w:p>
        </w:tc>
        <w:tc>
          <w:tcPr>
            <w:tcW w:w="3437" w:type="dxa"/>
            <w:tcBorders>
              <w:top w:val="single" w:sz="4" w:space="0" w:color="004B96"/>
              <w:bottom w:val="single" w:sz="4" w:space="0" w:color="004B96"/>
            </w:tcBorders>
            <w:shd w:val="clear" w:color="auto" w:fill="CCDBEA"/>
          </w:tcPr>
          <w:p>
            <w:pPr>
              <w:pStyle w:val="TableParagraph"/>
              <w:spacing w:before="59"/>
              <w:ind w:left="108" w:right="157"/>
              <w:rPr>
                <w:b/>
                <w:sz w:val="18"/>
              </w:rPr>
            </w:pPr>
            <w:r>
              <w:rPr>
                <w:b/>
                <w:sz w:val="18"/>
              </w:rPr>
              <w:t>A</w:t>
            </w:r>
            <w:r>
              <w:rPr>
                <w:b/>
                <w:spacing w:val="-5"/>
                <w:sz w:val="18"/>
              </w:rPr>
              <w:t> </w:t>
            </w:r>
            <w:r>
              <w:rPr>
                <w:b/>
                <w:sz w:val="18"/>
              </w:rPr>
              <w:t>17%</w:t>
            </w:r>
            <w:r>
              <w:rPr>
                <w:b/>
                <w:spacing w:val="-7"/>
                <w:sz w:val="18"/>
              </w:rPr>
              <w:t> </w:t>
            </w:r>
            <w:r>
              <w:rPr>
                <w:b/>
                <w:sz w:val="18"/>
              </w:rPr>
              <w:t>decrease</w:t>
            </w:r>
            <w:r>
              <w:rPr>
                <w:b/>
                <w:spacing w:val="-5"/>
                <w:sz w:val="18"/>
              </w:rPr>
              <w:t> </w:t>
            </w:r>
            <w:r>
              <w:rPr>
                <w:b/>
                <w:sz w:val="18"/>
              </w:rPr>
              <w:t>in</w:t>
            </w:r>
            <w:r>
              <w:rPr>
                <w:b/>
                <w:spacing w:val="-5"/>
                <w:sz w:val="18"/>
              </w:rPr>
              <w:t> </w:t>
            </w:r>
            <w:r>
              <w:rPr>
                <w:b/>
                <w:sz w:val="18"/>
              </w:rPr>
              <w:t>the</w:t>
            </w:r>
            <w:r>
              <w:rPr>
                <w:b/>
                <w:spacing w:val="-5"/>
                <w:sz w:val="18"/>
              </w:rPr>
              <w:t> </w:t>
            </w:r>
            <w:r>
              <w:rPr>
                <w:b/>
                <w:sz w:val="18"/>
              </w:rPr>
              <w:t>odds</w:t>
            </w:r>
            <w:r>
              <w:rPr>
                <w:b/>
                <w:spacing w:val="-7"/>
                <w:sz w:val="18"/>
              </w:rPr>
              <w:t> </w:t>
            </w:r>
            <w:r>
              <w:rPr>
                <w:b/>
                <w:sz w:val="18"/>
              </w:rPr>
              <w:t>a</w:t>
            </w:r>
            <w:r>
              <w:rPr>
                <w:b/>
                <w:spacing w:val="-5"/>
                <w:sz w:val="18"/>
              </w:rPr>
              <w:t> </w:t>
            </w:r>
            <w:r>
              <w:rPr>
                <w:b/>
                <w:sz w:val="18"/>
              </w:rPr>
              <w:t>site</w:t>
            </w:r>
            <w:r>
              <w:rPr>
                <w:b/>
                <w:spacing w:val="-7"/>
                <w:sz w:val="18"/>
              </w:rPr>
              <w:t> </w:t>
            </w:r>
            <w:r>
              <w:rPr>
                <w:b/>
                <w:sz w:val="18"/>
              </w:rPr>
              <w:t>is colonised with each year since the last fire</w:t>
            </w:r>
          </w:p>
        </w:tc>
      </w:tr>
      <w:tr>
        <w:trPr>
          <w:trHeight w:val="532" w:hRule="atLeast"/>
        </w:trPr>
        <w:tc>
          <w:tcPr>
            <w:tcW w:w="2850" w:type="dxa"/>
            <w:tcBorders>
              <w:top w:val="single" w:sz="4" w:space="0" w:color="004B96"/>
              <w:bottom w:val="single" w:sz="4" w:space="0" w:color="004B96"/>
            </w:tcBorders>
          </w:tcPr>
          <w:p>
            <w:pPr>
              <w:pStyle w:val="TableParagraph"/>
              <w:spacing w:before="59"/>
              <w:ind w:left="122" w:right="187"/>
              <w:rPr>
                <w:sz w:val="18"/>
              </w:rPr>
            </w:pPr>
            <w:r>
              <w:rPr>
                <w:sz w:val="18"/>
              </w:rPr>
              <w:t>Tall</w:t>
            </w:r>
            <w:r>
              <w:rPr>
                <w:spacing w:val="-11"/>
                <w:sz w:val="18"/>
              </w:rPr>
              <w:t> </w:t>
            </w:r>
            <w:r>
              <w:rPr>
                <w:sz w:val="18"/>
              </w:rPr>
              <w:t>mixed</w:t>
            </w:r>
            <w:r>
              <w:rPr>
                <w:spacing w:val="-11"/>
                <w:sz w:val="18"/>
              </w:rPr>
              <w:t> </w:t>
            </w:r>
            <w:r>
              <w:rPr>
                <w:sz w:val="18"/>
              </w:rPr>
              <w:t>Forest</w:t>
            </w:r>
            <w:r>
              <w:rPr>
                <w:spacing w:val="-9"/>
                <w:sz w:val="18"/>
              </w:rPr>
              <w:t> </w:t>
            </w:r>
            <w:r>
              <w:rPr>
                <w:sz w:val="18"/>
              </w:rPr>
              <w:t>(Eastern)</w:t>
            </w:r>
            <w:r>
              <w:rPr>
                <w:spacing w:val="-9"/>
                <w:sz w:val="18"/>
              </w:rPr>
              <w:t> </w:t>
            </w:r>
            <w:r>
              <w:rPr>
                <w:sz w:val="18"/>
              </w:rPr>
              <w:t>in fox control area</w:t>
            </w:r>
          </w:p>
        </w:tc>
        <w:tc>
          <w:tcPr>
            <w:tcW w:w="1723" w:type="dxa"/>
            <w:tcBorders>
              <w:top w:val="single" w:sz="4" w:space="0" w:color="004B96"/>
              <w:bottom w:val="single" w:sz="4" w:space="0" w:color="004B96"/>
            </w:tcBorders>
            <w:shd w:val="clear" w:color="auto" w:fill="CCDBEA"/>
          </w:tcPr>
          <w:p>
            <w:pPr>
              <w:pStyle w:val="TableParagraph"/>
              <w:spacing w:line="207" w:lineRule="exact" w:before="59"/>
              <w:ind w:left="3"/>
              <w:jc w:val="center"/>
              <w:rPr>
                <w:sz w:val="18"/>
              </w:rPr>
            </w:pPr>
            <w:r>
              <w:rPr>
                <w:spacing w:val="-2"/>
                <w:sz w:val="18"/>
              </w:rPr>
              <w:t>-</w:t>
            </w:r>
            <w:r>
              <w:rPr>
                <w:spacing w:val="-4"/>
                <w:sz w:val="18"/>
              </w:rPr>
              <w:t>0.60</w:t>
            </w:r>
          </w:p>
          <w:p>
            <w:pPr>
              <w:pStyle w:val="TableParagraph"/>
              <w:spacing w:line="207" w:lineRule="exact"/>
              <w:ind w:left="3"/>
              <w:jc w:val="center"/>
              <w:rPr>
                <w:sz w:val="18"/>
              </w:rPr>
            </w:pPr>
            <w:r>
              <w:rPr>
                <w:sz w:val="18"/>
              </w:rPr>
              <w:t>(-1.33,</w:t>
            </w:r>
            <w:r>
              <w:rPr>
                <w:spacing w:val="-6"/>
                <w:sz w:val="18"/>
              </w:rPr>
              <w:t> </w:t>
            </w:r>
            <w:r>
              <w:rPr>
                <w:spacing w:val="-2"/>
                <w:sz w:val="18"/>
              </w:rPr>
              <w:t>0.12)</w:t>
            </w:r>
          </w:p>
        </w:tc>
        <w:tc>
          <w:tcPr>
            <w:tcW w:w="1680" w:type="dxa"/>
            <w:tcBorders>
              <w:top w:val="single" w:sz="4" w:space="0" w:color="004B96"/>
              <w:bottom w:val="single" w:sz="4" w:space="0" w:color="004B96"/>
            </w:tcBorders>
          </w:tcPr>
          <w:p>
            <w:pPr>
              <w:pStyle w:val="TableParagraph"/>
              <w:spacing w:line="207" w:lineRule="exact" w:before="59"/>
              <w:ind w:left="2" w:right="1"/>
              <w:jc w:val="center"/>
              <w:rPr>
                <w:sz w:val="18"/>
              </w:rPr>
            </w:pPr>
            <w:r>
              <w:rPr>
                <w:spacing w:val="-4"/>
                <w:sz w:val="18"/>
              </w:rPr>
              <w:t>0.55</w:t>
            </w:r>
          </w:p>
          <w:p>
            <w:pPr>
              <w:pStyle w:val="TableParagraph"/>
              <w:spacing w:line="207" w:lineRule="exact"/>
              <w:ind w:left="2" w:right="1"/>
              <w:jc w:val="center"/>
              <w:rPr>
                <w:sz w:val="18"/>
              </w:rPr>
            </w:pPr>
            <w:r>
              <w:rPr>
                <w:sz w:val="18"/>
              </w:rPr>
              <w:t>(0.26,</w:t>
            </w:r>
            <w:r>
              <w:rPr>
                <w:spacing w:val="-5"/>
                <w:sz w:val="18"/>
              </w:rPr>
              <w:t> </w:t>
            </w:r>
            <w:r>
              <w:rPr>
                <w:spacing w:val="-2"/>
                <w:sz w:val="18"/>
              </w:rPr>
              <w:t>1.13)</w:t>
            </w:r>
          </w:p>
        </w:tc>
        <w:tc>
          <w:tcPr>
            <w:tcW w:w="3437" w:type="dxa"/>
            <w:tcBorders>
              <w:top w:val="single" w:sz="4" w:space="0" w:color="004B96"/>
              <w:bottom w:val="single" w:sz="4" w:space="0" w:color="004B96"/>
            </w:tcBorders>
            <w:shd w:val="clear" w:color="auto" w:fill="CCDBEA"/>
          </w:tcPr>
          <w:p>
            <w:pPr>
              <w:pStyle w:val="TableParagraph"/>
              <w:spacing w:before="59"/>
              <w:ind w:left="108"/>
              <w:rPr>
                <w:sz w:val="18"/>
              </w:rPr>
            </w:pPr>
            <w:r>
              <w:rPr>
                <w:sz w:val="18"/>
              </w:rPr>
              <w:t>No</w:t>
            </w:r>
            <w:r>
              <w:rPr>
                <w:spacing w:val="-7"/>
                <w:sz w:val="18"/>
              </w:rPr>
              <w:t> </w:t>
            </w:r>
            <w:r>
              <w:rPr>
                <w:sz w:val="18"/>
              </w:rPr>
              <w:t>relationship</w:t>
            </w:r>
            <w:r>
              <w:rPr>
                <w:spacing w:val="-7"/>
                <w:sz w:val="18"/>
              </w:rPr>
              <w:t> </w:t>
            </w:r>
            <w:r>
              <w:rPr>
                <w:sz w:val="18"/>
              </w:rPr>
              <w:t>with</w:t>
            </w:r>
            <w:r>
              <w:rPr>
                <w:spacing w:val="-9"/>
                <w:sz w:val="18"/>
              </w:rPr>
              <w:t> </w:t>
            </w:r>
            <w:r>
              <w:rPr>
                <w:sz w:val="18"/>
              </w:rPr>
              <w:t>EVD</w:t>
            </w:r>
            <w:r>
              <w:rPr>
                <w:spacing w:val="-7"/>
                <w:sz w:val="18"/>
              </w:rPr>
              <w:t> </w:t>
            </w:r>
            <w:r>
              <w:rPr>
                <w:sz w:val="18"/>
              </w:rPr>
              <w:t>in</w:t>
            </w:r>
            <w:r>
              <w:rPr>
                <w:spacing w:val="-7"/>
                <w:sz w:val="18"/>
              </w:rPr>
              <w:t> </w:t>
            </w:r>
            <w:r>
              <w:rPr>
                <w:sz w:val="18"/>
              </w:rPr>
              <w:t>fox</w:t>
            </w:r>
            <w:r>
              <w:rPr>
                <w:spacing w:val="-6"/>
                <w:sz w:val="18"/>
              </w:rPr>
              <w:t> </w:t>
            </w:r>
            <w:r>
              <w:rPr>
                <w:sz w:val="18"/>
              </w:rPr>
              <w:t>control </w:t>
            </w:r>
            <w:r>
              <w:rPr>
                <w:spacing w:val="-2"/>
                <w:sz w:val="18"/>
              </w:rPr>
              <w:t>areas</w:t>
            </w:r>
          </w:p>
        </w:tc>
      </w:tr>
      <w:tr>
        <w:trPr>
          <w:trHeight w:val="741" w:hRule="atLeast"/>
        </w:trPr>
        <w:tc>
          <w:tcPr>
            <w:tcW w:w="2850" w:type="dxa"/>
            <w:tcBorders>
              <w:top w:val="single" w:sz="4" w:space="0" w:color="004B96"/>
              <w:bottom w:val="single" w:sz="4" w:space="0" w:color="004B96"/>
            </w:tcBorders>
          </w:tcPr>
          <w:p>
            <w:pPr>
              <w:pStyle w:val="TableParagraph"/>
              <w:spacing w:before="60"/>
              <w:rPr>
                <w:b/>
                <w:sz w:val="18"/>
              </w:rPr>
            </w:pPr>
          </w:p>
          <w:p>
            <w:pPr>
              <w:pStyle w:val="TableParagraph"/>
              <w:ind w:left="122"/>
              <w:rPr>
                <w:b/>
                <w:sz w:val="18"/>
              </w:rPr>
            </w:pPr>
            <w:r>
              <w:rPr>
                <w:b/>
                <w:sz w:val="18"/>
              </w:rPr>
              <w:t>Fox</w:t>
            </w:r>
            <w:r>
              <w:rPr>
                <w:b/>
                <w:spacing w:val="-4"/>
                <w:sz w:val="18"/>
              </w:rPr>
              <w:t> </w:t>
            </w:r>
            <w:r>
              <w:rPr>
                <w:b/>
                <w:sz w:val="18"/>
              </w:rPr>
              <w:t>control</w:t>
            </w:r>
            <w:r>
              <w:rPr>
                <w:b/>
                <w:spacing w:val="-1"/>
                <w:sz w:val="18"/>
              </w:rPr>
              <w:t> </w:t>
            </w:r>
            <w:r>
              <w:rPr>
                <w:b/>
                <w:spacing w:val="-4"/>
                <w:sz w:val="18"/>
              </w:rPr>
              <w:t>area</w:t>
            </w:r>
          </w:p>
        </w:tc>
        <w:tc>
          <w:tcPr>
            <w:tcW w:w="1723" w:type="dxa"/>
            <w:tcBorders>
              <w:top w:val="single" w:sz="4" w:space="0" w:color="004B96"/>
              <w:bottom w:val="single" w:sz="4" w:space="0" w:color="004B96"/>
            </w:tcBorders>
            <w:shd w:val="clear" w:color="auto" w:fill="CCDBEA"/>
          </w:tcPr>
          <w:p>
            <w:pPr>
              <w:pStyle w:val="TableParagraph"/>
              <w:spacing w:before="162"/>
              <w:ind w:left="3" w:right="2"/>
              <w:jc w:val="center"/>
              <w:rPr>
                <w:b/>
                <w:sz w:val="18"/>
              </w:rPr>
            </w:pPr>
            <w:r>
              <w:rPr>
                <w:b/>
                <w:spacing w:val="-4"/>
                <w:sz w:val="18"/>
              </w:rPr>
              <w:t>1.17</w:t>
            </w:r>
          </w:p>
          <w:p>
            <w:pPr>
              <w:pStyle w:val="TableParagraph"/>
              <w:spacing w:before="2"/>
              <w:ind w:left="3" w:right="2"/>
              <w:jc w:val="center"/>
              <w:rPr>
                <w:b/>
                <w:sz w:val="18"/>
              </w:rPr>
            </w:pPr>
            <w:r>
              <w:rPr>
                <w:b/>
                <w:sz w:val="18"/>
              </w:rPr>
              <w:t>(0.67,</w:t>
            </w:r>
            <w:r>
              <w:rPr>
                <w:b/>
                <w:spacing w:val="-5"/>
                <w:sz w:val="18"/>
              </w:rPr>
              <w:t> </w:t>
            </w:r>
            <w:r>
              <w:rPr>
                <w:b/>
                <w:spacing w:val="-2"/>
                <w:sz w:val="18"/>
              </w:rPr>
              <w:t>1.67)</w:t>
            </w:r>
          </w:p>
        </w:tc>
        <w:tc>
          <w:tcPr>
            <w:tcW w:w="1680" w:type="dxa"/>
            <w:tcBorders>
              <w:top w:val="single" w:sz="4" w:space="0" w:color="004B96"/>
              <w:bottom w:val="single" w:sz="4" w:space="0" w:color="004B96"/>
            </w:tcBorders>
          </w:tcPr>
          <w:p>
            <w:pPr>
              <w:pStyle w:val="TableParagraph"/>
              <w:spacing w:before="162"/>
              <w:ind w:left="2" w:right="1"/>
              <w:jc w:val="center"/>
              <w:rPr>
                <w:b/>
                <w:sz w:val="18"/>
              </w:rPr>
            </w:pPr>
            <w:r>
              <w:rPr>
                <w:b/>
                <w:spacing w:val="-4"/>
                <w:sz w:val="18"/>
              </w:rPr>
              <w:t>3.22</w:t>
            </w:r>
          </w:p>
          <w:p>
            <w:pPr>
              <w:pStyle w:val="TableParagraph"/>
              <w:spacing w:before="2"/>
              <w:ind w:left="2" w:right="1"/>
              <w:jc w:val="center"/>
              <w:rPr>
                <w:b/>
                <w:sz w:val="18"/>
              </w:rPr>
            </w:pPr>
            <w:r>
              <w:rPr>
                <w:b/>
                <w:sz w:val="18"/>
              </w:rPr>
              <w:t>(1.95,</w:t>
            </w:r>
            <w:r>
              <w:rPr>
                <w:b/>
                <w:spacing w:val="-5"/>
                <w:sz w:val="18"/>
              </w:rPr>
              <w:t> </w:t>
            </w:r>
            <w:r>
              <w:rPr>
                <w:b/>
                <w:spacing w:val="-2"/>
                <w:sz w:val="18"/>
              </w:rPr>
              <w:t>5.31)</w:t>
            </w:r>
          </w:p>
        </w:tc>
        <w:tc>
          <w:tcPr>
            <w:tcW w:w="3437" w:type="dxa"/>
            <w:tcBorders>
              <w:top w:val="single" w:sz="4" w:space="0" w:color="004B96"/>
              <w:bottom w:val="single" w:sz="4" w:space="0" w:color="004B96"/>
            </w:tcBorders>
            <w:shd w:val="clear" w:color="auto" w:fill="CCDBEA"/>
          </w:tcPr>
          <w:p>
            <w:pPr>
              <w:pStyle w:val="TableParagraph"/>
              <w:spacing w:before="59"/>
              <w:ind w:left="108"/>
              <w:rPr>
                <w:b/>
                <w:sz w:val="18"/>
              </w:rPr>
            </w:pPr>
            <w:r>
              <w:rPr>
                <w:b/>
                <w:sz w:val="18"/>
              </w:rPr>
              <w:t>&gt;</w:t>
            </w:r>
            <w:r>
              <w:rPr>
                <w:b/>
                <w:spacing w:val="-2"/>
                <w:sz w:val="18"/>
              </w:rPr>
              <w:t> </w:t>
            </w:r>
            <w:r>
              <w:rPr>
                <w:b/>
                <w:sz w:val="18"/>
              </w:rPr>
              <w:t>3-fold</w:t>
            </w:r>
            <w:r>
              <w:rPr>
                <w:b/>
                <w:spacing w:val="-4"/>
                <w:sz w:val="18"/>
              </w:rPr>
              <w:t> </w:t>
            </w:r>
            <w:r>
              <w:rPr>
                <w:b/>
                <w:sz w:val="18"/>
              </w:rPr>
              <w:t>increase</w:t>
            </w:r>
            <w:r>
              <w:rPr>
                <w:b/>
                <w:spacing w:val="-2"/>
                <w:sz w:val="18"/>
              </w:rPr>
              <w:t> </w:t>
            </w:r>
            <w:r>
              <w:rPr>
                <w:b/>
                <w:sz w:val="18"/>
              </w:rPr>
              <w:t>in</w:t>
            </w:r>
            <w:r>
              <w:rPr>
                <w:b/>
                <w:spacing w:val="-4"/>
                <w:sz w:val="18"/>
              </w:rPr>
              <w:t> </w:t>
            </w:r>
            <w:r>
              <w:rPr>
                <w:b/>
                <w:sz w:val="18"/>
              </w:rPr>
              <w:t>the</w:t>
            </w:r>
            <w:r>
              <w:rPr>
                <w:b/>
                <w:spacing w:val="-2"/>
                <w:sz w:val="18"/>
              </w:rPr>
              <w:t> </w:t>
            </w:r>
            <w:r>
              <w:rPr>
                <w:b/>
                <w:sz w:val="18"/>
              </w:rPr>
              <w:t>odds</w:t>
            </w:r>
            <w:r>
              <w:rPr>
                <w:b/>
                <w:spacing w:val="-4"/>
                <w:sz w:val="18"/>
              </w:rPr>
              <w:t> </w:t>
            </w:r>
            <w:r>
              <w:rPr>
                <w:b/>
                <w:sz w:val="18"/>
              </w:rPr>
              <w:t>a</w:t>
            </w:r>
            <w:r>
              <w:rPr>
                <w:b/>
                <w:spacing w:val="-2"/>
                <w:sz w:val="18"/>
              </w:rPr>
              <w:t> </w:t>
            </w:r>
            <w:r>
              <w:rPr>
                <w:b/>
                <w:sz w:val="18"/>
              </w:rPr>
              <w:t>site</w:t>
            </w:r>
            <w:r>
              <w:rPr>
                <w:b/>
                <w:spacing w:val="-4"/>
                <w:sz w:val="18"/>
              </w:rPr>
              <w:t> </w:t>
            </w:r>
            <w:r>
              <w:rPr>
                <w:b/>
                <w:sz w:val="18"/>
              </w:rPr>
              <w:t>is colonised in fox control areas compared</w:t>
            </w:r>
            <w:r>
              <w:rPr>
                <w:b/>
                <w:spacing w:val="-9"/>
                <w:sz w:val="18"/>
              </w:rPr>
              <w:t> </w:t>
            </w:r>
            <w:r>
              <w:rPr>
                <w:b/>
                <w:sz w:val="18"/>
              </w:rPr>
              <w:t>with</w:t>
            </w:r>
            <w:r>
              <w:rPr>
                <w:b/>
                <w:spacing w:val="-9"/>
                <w:sz w:val="18"/>
              </w:rPr>
              <w:t> </w:t>
            </w:r>
            <w:r>
              <w:rPr>
                <w:b/>
                <w:sz w:val="18"/>
              </w:rPr>
              <w:t>non-fox</w:t>
            </w:r>
            <w:r>
              <w:rPr>
                <w:b/>
                <w:spacing w:val="-10"/>
                <w:sz w:val="18"/>
              </w:rPr>
              <w:t> </w:t>
            </w:r>
            <w:r>
              <w:rPr>
                <w:b/>
                <w:sz w:val="18"/>
              </w:rPr>
              <w:t>control</w:t>
            </w:r>
            <w:r>
              <w:rPr>
                <w:b/>
                <w:spacing w:val="-10"/>
                <w:sz w:val="18"/>
              </w:rPr>
              <w:t> </w:t>
            </w:r>
            <w:r>
              <w:rPr>
                <w:b/>
                <w:sz w:val="18"/>
              </w:rPr>
              <w:t>areas</w:t>
            </w:r>
          </w:p>
        </w:tc>
      </w:tr>
    </w:tbl>
    <w:p>
      <w:pPr>
        <w:spacing w:line="276" w:lineRule="auto" w:before="95"/>
        <w:ind w:left="140" w:right="507" w:firstLine="0"/>
        <w:jc w:val="left"/>
        <w:rPr>
          <w:sz w:val="18"/>
        </w:rPr>
      </w:pPr>
      <w:r>
        <w:rPr>
          <w:b/>
          <w:sz w:val="18"/>
        </w:rPr>
        <w:t>Bold</w:t>
      </w:r>
      <w:r>
        <w:rPr>
          <w:b/>
          <w:spacing w:val="-1"/>
          <w:sz w:val="18"/>
        </w:rPr>
        <w:t> </w:t>
      </w:r>
      <w:r>
        <w:rPr>
          <w:sz w:val="18"/>
        </w:rPr>
        <w:t>type</w:t>
      </w:r>
      <w:r>
        <w:rPr>
          <w:spacing w:val="-2"/>
          <w:sz w:val="18"/>
        </w:rPr>
        <w:t> </w:t>
      </w:r>
      <w:r>
        <w:rPr>
          <w:sz w:val="18"/>
        </w:rPr>
        <w:t>indicates</w:t>
      </w:r>
      <w:r>
        <w:rPr>
          <w:spacing w:val="-1"/>
          <w:sz w:val="18"/>
        </w:rPr>
        <w:t> </w:t>
      </w:r>
      <w:r>
        <w:rPr>
          <w:sz w:val="18"/>
        </w:rPr>
        <w:t>evidence</w:t>
      </w:r>
      <w:r>
        <w:rPr>
          <w:spacing w:val="-2"/>
          <w:sz w:val="18"/>
        </w:rPr>
        <w:t> </w:t>
      </w:r>
      <w:r>
        <w:rPr>
          <w:sz w:val="18"/>
        </w:rPr>
        <w:t>that</w:t>
      </w:r>
      <w:r>
        <w:rPr>
          <w:spacing w:val="-2"/>
          <w:sz w:val="18"/>
        </w:rPr>
        <w:t> </w:t>
      </w:r>
      <w:r>
        <w:rPr>
          <w:sz w:val="18"/>
        </w:rPr>
        <w:t>the</w:t>
      </w:r>
      <w:r>
        <w:rPr>
          <w:spacing w:val="-2"/>
          <w:sz w:val="18"/>
        </w:rPr>
        <w:t> </w:t>
      </w:r>
      <w:r>
        <w:rPr>
          <w:sz w:val="18"/>
        </w:rPr>
        <w:t>covariate</w:t>
      </w:r>
      <w:r>
        <w:rPr>
          <w:spacing w:val="-4"/>
          <w:sz w:val="18"/>
        </w:rPr>
        <w:t> </w:t>
      </w:r>
      <w:r>
        <w:rPr>
          <w:sz w:val="18"/>
        </w:rPr>
        <w:t>was</w:t>
      </w:r>
      <w:r>
        <w:rPr>
          <w:spacing w:val="-3"/>
          <w:sz w:val="18"/>
        </w:rPr>
        <w:t> </w:t>
      </w:r>
      <w:r>
        <w:rPr>
          <w:sz w:val="18"/>
        </w:rPr>
        <w:t>important.</w:t>
      </w:r>
      <w:r>
        <w:rPr>
          <w:spacing w:val="-2"/>
          <w:sz w:val="18"/>
        </w:rPr>
        <w:t> </w:t>
      </w:r>
      <w:r>
        <w:rPr>
          <w:sz w:val="18"/>
        </w:rPr>
        <w:t>All</w:t>
      </w:r>
      <w:r>
        <w:rPr>
          <w:spacing w:val="-4"/>
          <w:sz w:val="18"/>
        </w:rPr>
        <w:t> </w:t>
      </w:r>
      <w:r>
        <w:rPr>
          <w:sz w:val="18"/>
        </w:rPr>
        <w:t>estimates</w:t>
      </w:r>
      <w:r>
        <w:rPr>
          <w:spacing w:val="-3"/>
          <w:sz w:val="18"/>
        </w:rPr>
        <w:t> </w:t>
      </w:r>
      <w:r>
        <w:rPr>
          <w:sz w:val="18"/>
        </w:rPr>
        <w:t>are</w:t>
      </w:r>
      <w:r>
        <w:rPr>
          <w:spacing w:val="-4"/>
          <w:sz w:val="18"/>
        </w:rPr>
        <w:t> </w:t>
      </w:r>
      <w:r>
        <w:rPr>
          <w:sz w:val="18"/>
        </w:rPr>
        <w:t>on</w:t>
      </w:r>
      <w:r>
        <w:rPr>
          <w:spacing w:val="-2"/>
          <w:sz w:val="18"/>
        </w:rPr>
        <w:t> </w:t>
      </w:r>
      <w:r>
        <w:rPr>
          <w:sz w:val="18"/>
        </w:rPr>
        <w:t>the</w:t>
      </w:r>
      <w:r>
        <w:rPr>
          <w:spacing w:val="-2"/>
          <w:sz w:val="18"/>
        </w:rPr>
        <w:t> </w:t>
      </w:r>
      <w:r>
        <w:rPr>
          <w:sz w:val="18"/>
        </w:rPr>
        <w:t>logit</w:t>
      </w:r>
      <w:r>
        <w:rPr>
          <w:spacing w:val="-4"/>
          <w:sz w:val="18"/>
        </w:rPr>
        <w:t> </w:t>
      </w:r>
      <w:r>
        <w:rPr>
          <w:sz w:val="18"/>
        </w:rPr>
        <w:t>scale.</w:t>
      </w:r>
      <w:r>
        <w:rPr>
          <w:spacing w:val="-2"/>
          <w:sz w:val="18"/>
        </w:rPr>
        <w:t> </w:t>
      </w:r>
      <w:r>
        <w:rPr>
          <w:sz w:val="18"/>
        </w:rPr>
        <w:t>CI =</w:t>
      </w:r>
      <w:r>
        <w:rPr>
          <w:spacing w:val="-1"/>
          <w:sz w:val="18"/>
        </w:rPr>
        <w:t> </w:t>
      </w:r>
      <w:r>
        <w:rPr>
          <w:sz w:val="18"/>
        </w:rPr>
        <w:t>credible </w:t>
      </w:r>
      <w:r>
        <w:rPr>
          <w:spacing w:val="-2"/>
          <w:sz w:val="18"/>
        </w:rPr>
        <w:t>interval.</w:t>
      </w:r>
    </w:p>
    <w:p>
      <w:pPr>
        <w:spacing w:after="0" w:line="276" w:lineRule="auto"/>
        <w:jc w:val="left"/>
        <w:rPr>
          <w:sz w:val="18"/>
        </w:rPr>
        <w:sectPr>
          <w:footerReference w:type="default" r:id="rId92"/>
          <w:pgSz w:w="11910" w:h="16850"/>
          <w:pgMar w:header="0" w:footer="688" w:top="1060" w:bottom="880" w:left="992" w:right="850"/>
        </w:sectPr>
      </w:pPr>
    </w:p>
    <w:p>
      <w:pPr>
        <w:pStyle w:val="Heading5"/>
        <w:spacing w:before="71"/>
        <w:ind w:left="140"/>
      </w:pPr>
      <w:r>
        <w:rPr>
          <w:color w:val="1F1546"/>
        </w:rPr>
        <w:t>Table</w:t>
      </w:r>
      <w:r>
        <w:rPr>
          <w:color w:val="1F1546"/>
          <w:spacing w:val="-6"/>
        </w:rPr>
        <w:t> </w:t>
      </w:r>
      <w:r>
        <w:rPr>
          <w:color w:val="1F1546"/>
        </w:rPr>
        <w:t>A6.</w:t>
      </w:r>
      <w:r>
        <w:rPr>
          <w:color w:val="1F1546"/>
          <w:spacing w:val="-6"/>
        </w:rPr>
        <w:t> </w:t>
      </w:r>
      <w:r>
        <w:rPr>
          <w:color w:val="1F1546"/>
        </w:rPr>
        <w:t>Summary</w:t>
      </w:r>
      <w:r>
        <w:rPr>
          <w:color w:val="1F1546"/>
          <w:spacing w:val="-4"/>
        </w:rPr>
        <w:t> </w:t>
      </w:r>
      <w:r>
        <w:rPr>
          <w:color w:val="1F1546"/>
        </w:rPr>
        <w:t>of</w:t>
      </w:r>
      <w:r>
        <w:rPr>
          <w:color w:val="1F1546"/>
          <w:spacing w:val="-5"/>
        </w:rPr>
        <w:t> </w:t>
      </w:r>
      <w:r>
        <w:rPr>
          <w:color w:val="1F1546"/>
        </w:rPr>
        <w:t>the</w:t>
      </w:r>
      <w:r>
        <w:rPr>
          <w:color w:val="1F1546"/>
          <w:spacing w:val="-6"/>
        </w:rPr>
        <w:t> </w:t>
      </w:r>
      <w:r>
        <w:rPr>
          <w:color w:val="1F1546"/>
        </w:rPr>
        <w:t>fox</w:t>
      </w:r>
      <w:r>
        <w:rPr>
          <w:color w:val="1F1546"/>
          <w:spacing w:val="-6"/>
        </w:rPr>
        <w:t> </w:t>
      </w:r>
      <w:r>
        <w:rPr>
          <w:color w:val="1F1546"/>
        </w:rPr>
        <w:t>activity</w:t>
      </w:r>
      <w:r>
        <w:rPr>
          <w:color w:val="1F1546"/>
          <w:spacing w:val="-6"/>
        </w:rPr>
        <w:t> </w:t>
      </w:r>
      <w:r>
        <w:rPr>
          <w:color w:val="1F1546"/>
        </w:rPr>
        <w:t>index</w:t>
      </w:r>
      <w:r>
        <w:rPr>
          <w:color w:val="1F1546"/>
          <w:spacing w:val="-4"/>
        </w:rPr>
        <w:t> </w:t>
      </w:r>
      <w:r>
        <w:rPr>
          <w:color w:val="1F1546"/>
        </w:rPr>
        <w:t>model</w:t>
      </w:r>
      <w:r>
        <w:rPr>
          <w:color w:val="1F1546"/>
          <w:spacing w:val="-5"/>
        </w:rPr>
        <w:t> </w:t>
      </w:r>
      <w:r>
        <w:rPr>
          <w:color w:val="1F1546"/>
          <w:spacing w:val="-2"/>
        </w:rPr>
        <w:t>comparisons.</w:t>
      </w:r>
    </w:p>
    <w:p>
      <w:pPr>
        <w:pStyle w:val="BodyText"/>
        <w:spacing w:before="1"/>
        <w:rPr>
          <w:b/>
          <w:sz w:val="10"/>
        </w:rPr>
      </w:pPr>
    </w:p>
    <w:tbl>
      <w:tblPr>
        <w:tblW w:w="0" w:type="auto"/>
        <w:jc w:val="left"/>
        <w:tblInd w:w="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04"/>
        <w:gridCol w:w="993"/>
      </w:tblGrid>
      <w:tr>
        <w:trPr>
          <w:trHeight w:val="380" w:hRule="atLeast"/>
        </w:trPr>
        <w:tc>
          <w:tcPr>
            <w:tcW w:w="3404" w:type="dxa"/>
            <w:tcBorders>
              <w:bottom w:val="single" w:sz="2" w:space="0" w:color="000000"/>
            </w:tcBorders>
            <w:shd w:val="clear" w:color="auto" w:fill="004B96"/>
          </w:tcPr>
          <w:p>
            <w:pPr>
              <w:pStyle w:val="TableParagraph"/>
              <w:spacing w:before="79"/>
              <w:ind w:left="107"/>
              <w:rPr>
                <w:b/>
                <w:sz w:val="20"/>
              </w:rPr>
            </w:pPr>
            <w:r>
              <w:rPr>
                <w:b/>
                <w:color w:val="FFFFFF"/>
                <w:spacing w:val="-2"/>
                <w:sz w:val="20"/>
              </w:rPr>
              <w:t>Model</w:t>
            </w:r>
          </w:p>
        </w:tc>
        <w:tc>
          <w:tcPr>
            <w:tcW w:w="993" w:type="dxa"/>
            <w:tcBorders>
              <w:bottom w:val="single" w:sz="2" w:space="0" w:color="000000"/>
            </w:tcBorders>
            <w:shd w:val="clear" w:color="auto" w:fill="004B96"/>
          </w:tcPr>
          <w:p>
            <w:pPr>
              <w:pStyle w:val="TableParagraph"/>
              <w:spacing w:before="79"/>
              <w:ind w:left="108"/>
              <w:rPr>
                <w:b/>
                <w:sz w:val="20"/>
              </w:rPr>
            </w:pPr>
            <w:r>
              <w:rPr>
                <w:b/>
                <w:color w:val="FFFFFF"/>
                <w:spacing w:val="-2"/>
                <w:sz w:val="20"/>
              </w:rPr>
              <w:t>Weight</w:t>
            </w:r>
          </w:p>
        </w:tc>
      </w:tr>
      <w:tr>
        <w:trPr>
          <w:trHeight w:val="364" w:hRule="atLeast"/>
        </w:trPr>
        <w:tc>
          <w:tcPr>
            <w:tcW w:w="3404" w:type="dxa"/>
            <w:tcBorders>
              <w:top w:val="single" w:sz="2" w:space="0" w:color="000000"/>
            </w:tcBorders>
          </w:tcPr>
          <w:p>
            <w:pPr>
              <w:pStyle w:val="TableParagraph"/>
              <w:spacing w:before="65"/>
              <w:ind w:left="107"/>
              <w:rPr>
                <w:sz w:val="20"/>
              </w:rPr>
            </w:pPr>
            <w:r>
              <w:rPr>
                <w:sz w:val="20"/>
              </w:rPr>
              <w:t>Location</w:t>
            </w:r>
            <w:r>
              <w:rPr>
                <w:spacing w:val="-8"/>
                <w:sz w:val="20"/>
              </w:rPr>
              <w:t> </w:t>
            </w:r>
            <w:r>
              <w:rPr>
                <w:sz w:val="20"/>
              </w:rPr>
              <w:t>+</w:t>
            </w:r>
            <w:r>
              <w:rPr>
                <w:spacing w:val="-3"/>
                <w:sz w:val="20"/>
              </w:rPr>
              <w:t> </w:t>
            </w:r>
            <w:r>
              <w:rPr>
                <w:sz w:val="20"/>
              </w:rPr>
              <w:t>Year</w:t>
            </w:r>
            <w:r>
              <w:rPr>
                <w:spacing w:val="-5"/>
                <w:sz w:val="20"/>
              </w:rPr>
              <w:t> </w:t>
            </w:r>
            <w:r>
              <w:rPr>
                <w:sz w:val="20"/>
              </w:rPr>
              <w:t>+</w:t>
            </w:r>
            <w:r>
              <w:rPr>
                <w:spacing w:val="-6"/>
                <w:sz w:val="20"/>
              </w:rPr>
              <w:t> </w:t>
            </w:r>
            <w:r>
              <w:rPr>
                <w:spacing w:val="-2"/>
                <w:sz w:val="20"/>
              </w:rPr>
              <w:t>Treatment:Year</w:t>
            </w:r>
          </w:p>
        </w:tc>
        <w:tc>
          <w:tcPr>
            <w:tcW w:w="993" w:type="dxa"/>
            <w:tcBorders>
              <w:top w:val="single" w:sz="2" w:space="0" w:color="000000"/>
            </w:tcBorders>
            <w:shd w:val="clear" w:color="auto" w:fill="CCDBEA"/>
          </w:tcPr>
          <w:p>
            <w:pPr>
              <w:pStyle w:val="TableParagraph"/>
              <w:spacing w:before="65"/>
              <w:ind w:left="108"/>
              <w:rPr>
                <w:sz w:val="20"/>
              </w:rPr>
            </w:pPr>
            <w:r>
              <w:rPr>
                <w:spacing w:val="-2"/>
                <w:sz w:val="20"/>
              </w:rPr>
              <w:t>0.720</w:t>
            </w:r>
          </w:p>
        </w:tc>
      </w:tr>
      <w:tr>
        <w:trPr>
          <w:trHeight w:val="360" w:hRule="atLeast"/>
        </w:trPr>
        <w:tc>
          <w:tcPr>
            <w:tcW w:w="3404" w:type="dxa"/>
          </w:tcPr>
          <w:p>
            <w:pPr>
              <w:pStyle w:val="TableParagraph"/>
              <w:spacing w:before="61"/>
              <w:ind w:left="107"/>
              <w:rPr>
                <w:sz w:val="20"/>
              </w:rPr>
            </w:pPr>
            <w:r>
              <w:rPr>
                <w:sz w:val="20"/>
              </w:rPr>
              <w:t>s(Year)</w:t>
            </w:r>
            <w:r>
              <w:rPr>
                <w:spacing w:val="-5"/>
                <w:sz w:val="20"/>
              </w:rPr>
              <w:t> </w:t>
            </w:r>
            <w:r>
              <w:rPr>
                <w:sz w:val="20"/>
              </w:rPr>
              <w:t>+</w:t>
            </w:r>
            <w:r>
              <w:rPr>
                <w:spacing w:val="-3"/>
                <w:sz w:val="20"/>
              </w:rPr>
              <w:t> </w:t>
            </w:r>
            <w:r>
              <w:rPr>
                <w:spacing w:val="-2"/>
                <w:sz w:val="20"/>
              </w:rPr>
              <w:t>Location</w:t>
            </w:r>
          </w:p>
        </w:tc>
        <w:tc>
          <w:tcPr>
            <w:tcW w:w="993" w:type="dxa"/>
            <w:shd w:val="clear" w:color="auto" w:fill="CCDBEA"/>
          </w:tcPr>
          <w:p>
            <w:pPr>
              <w:pStyle w:val="TableParagraph"/>
              <w:spacing w:before="61"/>
              <w:ind w:left="108"/>
              <w:rPr>
                <w:sz w:val="20"/>
              </w:rPr>
            </w:pPr>
            <w:r>
              <w:rPr>
                <w:spacing w:val="-2"/>
                <w:sz w:val="20"/>
              </w:rPr>
              <w:t>0.213</w:t>
            </w:r>
          </w:p>
        </w:tc>
      </w:tr>
      <w:tr>
        <w:trPr>
          <w:trHeight w:val="360" w:hRule="atLeast"/>
        </w:trPr>
        <w:tc>
          <w:tcPr>
            <w:tcW w:w="3404" w:type="dxa"/>
          </w:tcPr>
          <w:p>
            <w:pPr>
              <w:pStyle w:val="TableParagraph"/>
              <w:spacing w:before="61"/>
              <w:ind w:left="107"/>
              <w:rPr>
                <w:sz w:val="20"/>
              </w:rPr>
            </w:pPr>
            <w:r>
              <w:rPr>
                <w:spacing w:val="-4"/>
                <w:sz w:val="20"/>
              </w:rPr>
              <w:t>Null</w:t>
            </w:r>
          </w:p>
        </w:tc>
        <w:tc>
          <w:tcPr>
            <w:tcW w:w="993" w:type="dxa"/>
            <w:shd w:val="clear" w:color="auto" w:fill="CCDBEA"/>
          </w:tcPr>
          <w:p>
            <w:pPr>
              <w:pStyle w:val="TableParagraph"/>
              <w:spacing w:before="61"/>
              <w:ind w:left="108"/>
              <w:rPr>
                <w:sz w:val="20"/>
              </w:rPr>
            </w:pPr>
            <w:r>
              <w:rPr>
                <w:spacing w:val="-2"/>
                <w:sz w:val="20"/>
              </w:rPr>
              <w:t>0.067</w:t>
            </w:r>
          </w:p>
        </w:tc>
      </w:tr>
      <w:tr>
        <w:trPr>
          <w:trHeight w:val="360" w:hRule="atLeast"/>
        </w:trPr>
        <w:tc>
          <w:tcPr>
            <w:tcW w:w="3404" w:type="dxa"/>
          </w:tcPr>
          <w:p>
            <w:pPr>
              <w:pStyle w:val="TableParagraph"/>
              <w:spacing w:before="61"/>
              <w:ind w:left="107"/>
              <w:rPr>
                <w:sz w:val="20"/>
              </w:rPr>
            </w:pPr>
            <w:r>
              <w:rPr>
                <w:sz w:val="20"/>
              </w:rPr>
              <w:t>Location</w:t>
            </w:r>
            <w:r>
              <w:rPr>
                <w:spacing w:val="-9"/>
                <w:sz w:val="20"/>
              </w:rPr>
              <w:t> </w:t>
            </w:r>
            <w:r>
              <w:rPr>
                <w:sz w:val="20"/>
              </w:rPr>
              <w:t>+</w:t>
            </w:r>
            <w:r>
              <w:rPr>
                <w:spacing w:val="-4"/>
                <w:sz w:val="20"/>
              </w:rPr>
              <w:t> Year</w:t>
            </w:r>
          </w:p>
        </w:tc>
        <w:tc>
          <w:tcPr>
            <w:tcW w:w="993" w:type="dxa"/>
            <w:shd w:val="clear" w:color="auto" w:fill="CCDBEA"/>
          </w:tcPr>
          <w:p>
            <w:pPr>
              <w:pStyle w:val="TableParagraph"/>
              <w:spacing w:before="61"/>
              <w:ind w:left="108"/>
              <w:rPr>
                <w:sz w:val="20"/>
              </w:rPr>
            </w:pPr>
            <w:r>
              <w:rPr>
                <w:spacing w:val="-2"/>
                <w:sz w:val="20"/>
              </w:rPr>
              <w:t>0.000</w:t>
            </w:r>
          </w:p>
        </w:tc>
      </w:tr>
      <w:tr>
        <w:trPr>
          <w:trHeight w:val="360" w:hRule="atLeast"/>
        </w:trPr>
        <w:tc>
          <w:tcPr>
            <w:tcW w:w="3404" w:type="dxa"/>
          </w:tcPr>
          <w:p>
            <w:pPr>
              <w:pStyle w:val="TableParagraph"/>
              <w:spacing w:before="61"/>
              <w:ind w:left="107"/>
              <w:rPr>
                <w:sz w:val="20"/>
              </w:rPr>
            </w:pPr>
            <w:r>
              <w:rPr>
                <w:spacing w:val="-2"/>
                <w:sz w:val="20"/>
              </w:rPr>
              <w:t>Location</w:t>
            </w:r>
          </w:p>
        </w:tc>
        <w:tc>
          <w:tcPr>
            <w:tcW w:w="993" w:type="dxa"/>
            <w:shd w:val="clear" w:color="auto" w:fill="CCDBEA"/>
          </w:tcPr>
          <w:p>
            <w:pPr>
              <w:pStyle w:val="TableParagraph"/>
              <w:spacing w:before="61"/>
              <w:ind w:left="108"/>
              <w:rPr>
                <w:sz w:val="20"/>
              </w:rPr>
            </w:pPr>
            <w:r>
              <w:rPr>
                <w:spacing w:val="-2"/>
                <w:sz w:val="20"/>
              </w:rPr>
              <w:t>0.000</w:t>
            </w:r>
          </w:p>
        </w:tc>
      </w:tr>
      <w:tr>
        <w:trPr>
          <w:trHeight w:val="352" w:hRule="atLeast"/>
        </w:trPr>
        <w:tc>
          <w:tcPr>
            <w:tcW w:w="3404" w:type="dxa"/>
            <w:tcBorders>
              <w:bottom w:val="single" w:sz="4" w:space="0" w:color="004B96"/>
            </w:tcBorders>
          </w:tcPr>
          <w:p>
            <w:pPr>
              <w:pStyle w:val="TableParagraph"/>
              <w:spacing w:before="61"/>
              <w:ind w:left="107"/>
              <w:rPr>
                <w:sz w:val="20"/>
              </w:rPr>
            </w:pPr>
            <w:r>
              <w:rPr>
                <w:sz w:val="20"/>
              </w:rPr>
              <w:t>Location</w:t>
            </w:r>
            <w:r>
              <w:rPr>
                <w:spacing w:val="-7"/>
                <w:sz w:val="20"/>
              </w:rPr>
              <w:t> </w:t>
            </w:r>
            <w:r>
              <w:rPr>
                <w:sz w:val="20"/>
              </w:rPr>
              <w:t>*</w:t>
            </w:r>
            <w:r>
              <w:rPr>
                <w:spacing w:val="-7"/>
                <w:sz w:val="20"/>
              </w:rPr>
              <w:t> </w:t>
            </w:r>
            <w:r>
              <w:rPr>
                <w:spacing w:val="-4"/>
                <w:sz w:val="20"/>
              </w:rPr>
              <w:t>Year</w:t>
            </w:r>
          </w:p>
        </w:tc>
        <w:tc>
          <w:tcPr>
            <w:tcW w:w="993" w:type="dxa"/>
            <w:tcBorders>
              <w:bottom w:val="single" w:sz="4" w:space="0" w:color="004B96"/>
            </w:tcBorders>
            <w:shd w:val="clear" w:color="auto" w:fill="CCDBEA"/>
          </w:tcPr>
          <w:p>
            <w:pPr>
              <w:pStyle w:val="TableParagraph"/>
              <w:spacing w:before="61"/>
              <w:ind w:left="108"/>
              <w:rPr>
                <w:sz w:val="20"/>
              </w:rPr>
            </w:pPr>
            <w:r>
              <w:rPr>
                <w:spacing w:val="-2"/>
                <w:sz w:val="20"/>
              </w:rPr>
              <w:t>0.000</w:t>
            </w:r>
          </w:p>
        </w:tc>
      </w:tr>
    </w:tbl>
    <w:p>
      <w:pPr>
        <w:pStyle w:val="BodyText"/>
        <w:rPr>
          <w:b/>
        </w:rPr>
      </w:pPr>
    </w:p>
    <w:p>
      <w:pPr>
        <w:pStyle w:val="BodyText"/>
        <w:spacing w:before="37"/>
        <w:rPr>
          <w:b/>
        </w:rPr>
      </w:pPr>
    </w:p>
    <w:p>
      <w:pPr>
        <w:spacing w:before="0"/>
        <w:ind w:left="140" w:right="0" w:firstLine="0"/>
        <w:jc w:val="left"/>
        <w:rPr>
          <w:b/>
          <w:sz w:val="20"/>
        </w:rPr>
      </w:pPr>
      <w:r>
        <w:rPr>
          <w:b/>
          <w:color w:val="1F1546"/>
          <w:sz w:val="20"/>
        </w:rPr>
        <w:t>Table</w:t>
      </w:r>
      <w:r>
        <w:rPr>
          <w:b/>
          <w:color w:val="1F1546"/>
          <w:spacing w:val="-6"/>
          <w:sz w:val="20"/>
        </w:rPr>
        <w:t> </w:t>
      </w:r>
      <w:r>
        <w:rPr>
          <w:b/>
          <w:color w:val="1F1546"/>
          <w:sz w:val="20"/>
        </w:rPr>
        <w:t>A7.</w:t>
      </w:r>
      <w:r>
        <w:rPr>
          <w:b/>
          <w:color w:val="1F1546"/>
          <w:spacing w:val="-6"/>
          <w:sz w:val="20"/>
        </w:rPr>
        <w:t> </w:t>
      </w:r>
      <w:r>
        <w:rPr>
          <w:b/>
          <w:color w:val="1F1546"/>
          <w:sz w:val="20"/>
        </w:rPr>
        <w:t>Summary</w:t>
      </w:r>
      <w:r>
        <w:rPr>
          <w:b/>
          <w:color w:val="1F1546"/>
          <w:spacing w:val="-4"/>
          <w:sz w:val="20"/>
        </w:rPr>
        <w:t> </w:t>
      </w:r>
      <w:r>
        <w:rPr>
          <w:b/>
          <w:color w:val="1F1546"/>
          <w:sz w:val="20"/>
        </w:rPr>
        <w:t>of</w:t>
      </w:r>
      <w:r>
        <w:rPr>
          <w:b/>
          <w:color w:val="1F1546"/>
          <w:spacing w:val="-4"/>
          <w:sz w:val="20"/>
        </w:rPr>
        <w:t> </w:t>
      </w:r>
      <w:r>
        <w:rPr>
          <w:b/>
          <w:color w:val="1F1546"/>
          <w:sz w:val="20"/>
        </w:rPr>
        <w:t>the</w:t>
      </w:r>
      <w:r>
        <w:rPr>
          <w:b/>
          <w:color w:val="1F1546"/>
          <w:spacing w:val="-6"/>
          <w:sz w:val="20"/>
        </w:rPr>
        <w:t> </w:t>
      </w:r>
      <w:r>
        <w:rPr>
          <w:b/>
          <w:color w:val="1F1546"/>
          <w:sz w:val="20"/>
        </w:rPr>
        <w:t>feral</w:t>
      </w:r>
      <w:r>
        <w:rPr>
          <w:b/>
          <w:color w:val="1F1546"/>
          <w:spacing w:val="-5"/>
          <w:sz w:val="20"/>
        </w:rPr>
        <w:t> </w:t>
      </w:r>
      <w:r>
        <w:rPr>
          <w:b/>
          <w:color w:val="1F1546"/>
          <w:sz w:val="20"/>
        </w:rPr>
        <w:t>cat</w:t>
      </w:r>
      <w:r>
        <w:rPr>
          <w:b/>
          <w:color w:val="1F1546"/>
          <w:spacing w:val="-4"/>
          <w:sz w:val="20"/>
        </w:rPr>
        <w:t> </w:t>
      </w:r>
      <w:r>
        <w:rPr>
          <w:b/>
          <w:color w:val="1F1546"/>
          <w:sz w:val="20"/>
        </w:rPr>
        <w:t>activity</w:t>
      </w:r>
      <w:r>
        <w:rPr>
          <w:b/>
          <w:color w:val="1F1546"/>
          <w:spacing w:val="-6"/>
          <w:sz w:val="20"/>
        </w:rPr>
        <w:t> </w:t>
      </w:r>
      <w:r>
        <w:rPr>
          <w:b/>
          <w:color w:val="1F1546"/>
          <w:sz w:val="20"/>
        </w:rPr>
        <w:t>index</w:t>
      </w:r>
      <w:r>
        <w:rPr>
          <w:b/>
          <w:color w:val="1F1546"/>
          <w:spacing w:val="-7"/>
          <w:sz w:val="20"/>
        </w:rPr>
        <w:t> </w:t>
      </w:r>
      <w:r>
        <w:rPr>
          <w:b/>
          <w:color w:val="1F1546"/>
          <w:sz w:val="20"/>
        </w:rPr>
        <w:t>model</w:t>
      </w:r>
      <w:r>
        <w:rPr>
          <w:b/>
          <w:color w:val="1F1546"/>
          <w:spacing w:val="-6"/>
          <w:sz w:val="20"/>
        </w:rPr>
        <w:t> </w:t>
      </w:r>
      <w:r>
        <w:rPr>
          <w:b/>
          <w:color w:val="1F1546"/>
          <w:spacing w:val="-2"/>
          <w:sz w:val="20"/>
        </w:rPr>
        <w:t>comparisons.</w:t>
      </w:r>
    </w:p>
    <w:p>
      <w:pPr>
        <w:pStyle w:val="BodyText"/>
        <w:spacing w:before="1"/>
        <w:rPr>
          <w:b/>
          <w:sz w:val="10"/>
        </w:rPr>
      </w:pPr>
    </w:p>
    <w:tbl>
      <w:tblPr>
        <w:tblW w:w="0" w:type="auto"/>
        <w:jc w:val="left"/>
        <w:tblInd w:w="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41"/>
        <w:gridCol w:w="1015"/>
      </w:tblGrid>
      <w:tr>
        <w:trPr>
          <w:trHeight w:val="377" w:hRule="atLeast"/>
        </w:trPr>
        <w:tc>
          <w:tcPr>
            <w:tcW w:w="3241" w:type="dxa"/>
            <w:tcBorders>
              <w:bottom w:val="single" w:sz="2" w:space="0" w:color="000000"/>
            </w:tcBorders>
            <w:shd w:val="clear" w:color="auto" w:fill="004B96"/>
          </w:tcPr>
          <w:p>
            <w:pPr>
              <w:pStyle w:val="TableParagraph"/>
              <w:spacing w:before="79"/>
              <w:ind w:left="107"/>
              <w:rPr>
                <w:b/>
                <w:sz w:val="20"/>
              </w:rPr>
            </w:pPr>
            <w:r>
              <w:rPr>
                <w:b/>
                <w:color w:val="FFFFFF"/>
                <w:spacing w:val="-2"/>
                <w:sz w:val="20"/>
              </w:rPr>
              <w:t>Model</w:t>
            </w:r>
          </w:p>
        </w:tc>
        <w:tc>
          <w:tcPr>
            <w:tcW w:w="1015" w:type="dxa"/>
            <w:tcBorders>
              <w:bottom w:val="single" w:sz="2" w:space="0" w:color="000000"/>
            </w:tcBorders>
            <w:shd w:val="clear" w:color="auto" w:fill="004B96"/>
          </w:tcPr>
          <w:p>
            <w:pPr>
              <w:pStyle w:val="TableParagraph"/>
              <w:spacing w:before="79"/>
              <w:ind w:left="108"/>
              <w:rPr>
                <w:b/>
                <w:sz w:val="20"/>
              </w:rPr>
            </w:pPr>
            <w:r>
              <w:rPr>
                <w:b/>
                <w:color w:val="FFFFFF"/>
                <w:spacing w:val="-2"/>
                <w:sz w:val="20"/>
              </w:rPr>
              <w:t>Weight</w:t>
            </w:r>
          </w:p>
        </w:tc>
      </w:tr>
      <w:tr>
        <w:trPr>
          <w:trHeight w:val="364" w:hRule="atLeast"/>
        </w:trPr>
        <w:tc>
          <w:tcPr>
            <w:tcW w:w="3241" w:type="dxa"/>
            <w:tcBorders>
              <w:top w:val="single" w:sz="2" w:space="0" w:color="000000"/>
            </w:tcBorders>
          </w:tcPr>
          <w:p>
            <w:pPr>
              <w:pStyle w:val="TableParagraph"/>
              <w:spacing w:before="66"/>
              <w:ind w:left="107"/>
              <w:rPr>
                <w:sz w:val="20"/>
              </w:rPr>
            </w:pPr>
            <w:r>
              <w:rPr>
                <w:sz w:val="20"/>
              </w:rPr>
              <w:t>Year</w:t>
            </w:r>
            <w:r>
              <w:rPr>
                <w:spacing w:val="-5"/>
                <w:sz w:val="20"/>
              </w:rPr>
              <w:t> </w:t>
            </w:r>
            <w:r>
              <w:rPr>
                <w:sz w:val="20"/>
              </w:rPr>
              <w:t>+</w:t>
            </w:r>
            <w:r>
              <w:rPr>
                <w:spacing w:val="-4"/>
                <w:sz w:val="20"/>
              </w:rPr>
              <w:t> </w:t>
            </w:r>
            <w:r>
              <w:rPr>
                <w:spacing w:val="-2"/>
                <w:sz w:val="20"/>
              </w:rPr>
              <w:t>Location</w:t>
            </w:r>
          </w:p>
        </w:tc>
        <w:tc>
          <w:tcPr>
            <w:tcW w:w="1015" w:type="dxa"/>
            <w:tcBorders>
              <w:top w:val="single" w:sz="2" w:space="0" w:color="000000"/>
            </w:tcBorders>
            <w:shd w:val="clear" w:color="auto" w:fill="CCDBEA"/>
          </w:tcPr>
          <w:p>
            <w:pPr>
              <w:pStyle w:val="TableParagraph"/>
              <w:spacing w:before="66"/>
              <w:ind w:left="108"/>
              <w:rPr>
                <w:sz w:val="20"/>
              </w:rPr>
            </w:pPr>
            <w:r>
              <w:rPr>
                <w:spacing w:val="-2"/>
                <w:sz w:val="20"/>
              </w:rPr>
              <w:t>0.785</w:t>
            </w:r>
          </w:p>
        </w:tc>
      </w:tr>
      <w:tr>
        <w:trPr>
          <w:trHeight w:val="360" w:hRule="atLeast"/>
        </w:trPr>
        <w:tc>
          <w:tcPr>
            <w:tcW w:w="3241" w:type="dxa"/>
          </w:tcPr>
          <w:p>
            <w:pPr>
              <w:pStyle w:val="TableParagraph"/>
              <w:spacing w:before="61"/>
              <w:ind w:left="107"/>
              <w:rPr>
                <w:sz w:val="20"/>
              </w:rPr>
            </w:pPr>
            <w:r>
              <w:rPr>
                <w:spacing w:val="-2"/>
                <w:sz w:val="20"/>
              </w:rPr>
              <w:t>Location</w:t>
            </w:r>
          </w:p>
        </w:tc>
        <w:tc>
          <w:tcPr>
            <w:tcW w:w="1015" w:type="dxa"/>
            <w:shd w:val="clear" w:color="auto" w:fill="CCDBEA"/>
          </w:tcPr>
          <w:p>
            <w:pPr>
              <w:pStyle w:val="TableParagraph"/>
              <w:spacing w:before="61"/>
              <w:ind w:left="108"/>
              <w:rPr>
                <w:sz w:val="20"/>
              </w:rPr>
            </w:pPr>
            <w:r>
              <w:rPr>
                <w:spacing w:val="-2"/>
                <w:sz w:val="20"/>
              </w:rPr>
              <w:t>0.215</w:t>
            </w:r>
          </w:p>
        </w:tc>
      </w:tr>
      <w:tr>
        <w:trPr>
          <w:trHeight w:val="360" w:hRule="atLeast"/>
        </w:trPr>
        <w:tc>
          <w:tcPr>
            <w:tcW w:w="3241" w:type="dxa"/>
          </w:tcPr>
          <w:p>
            <w:pPr>
              <w:pStyle w:val="TableParagraph"/>
              <w:spacing w:before="61"/>
              <w:ind w:left="107"/>
              <w:rPr>
                <w:sz w:val="20"/>
              </w:rPr>
            </w:pPr>
            <w:r>
              <w:rPr>
                <w:sz w:val="20"/>
              </w:rPr>
              <w:t>Location</w:t>
            </w:r>
            <w:r>
              <w:rPr>
                <w:spacing w:val="-9"/>
                <w:sz w:val="20"/>
              </w:rPr>
              <w:t> </w:t>
            </w:r>
            <w:r>
              <w:rPr>
                <w:sz w:val="20"/>
              </w:rPr>
              <w:t>+</w:t>
            </w:r>
            <w:r>
              <w:rPr>
                <w:spacing w:val="-4"/>
                <w:sz w:val="20"/>
              </w:rPr>
              <w:t> Year</w:t>
            </w:r>
          </w:p>
        </w:tc>
        <w:tc>
          <w:tcPr>
            <w:tcW w:w="1015" w:type="dxa"/>
            <w:shd w:val="clear" w:color="auto" w:fill="CCDBEA"/>
          </w:tcPr>
          <w:p>
            <w:pPr>
              <w:pStyle w:val="TableParagraph"/>
              <w:spacing w:before="61"/>
              <w:ind w:left="108"/>
              <w:rPr>
                <w:sz w:val="20"/>
              </w:rPr>
            </w:pPr>
            <w:r>
              <w:rPr>
                <w:spacing w:val="-2"/>
                <w:sz w:val="20"/>
              </w:rPr>
              <w:t>0.000</w:t>
            </w:r>
          </w:p>
        </w:tc>
      </w:tr>
      <w:tr>
        <w:trPr>
          <w:trHeight w:val="360" w:hRule="atLeast"/>
        </w:trPr>
        <w:tc>
          <w:tcPr>
            <w:tcW w:w="3241" w:type="dxa"/>
          </w:tcPr>
          <w:p>
            <w:pPr>
              <w:pStyle w:val="TableParagraph"/>
              <w:spacing w:before="61"/>
              <w:ind w:left="107"/>
              <w:rPr>
                <w:sz w:val="20"/>
              </w:rPr>
            </w:pPr>
            <w:r>
              <w:rPr>
                <w:sz w:val="20"/>
              </w:rPr>
              <w:t>Location</w:t>
            </w:r>
            <w:r>
              <w:rPr>
                <w:spacing w:val="-7"/>
                <w:sz w:val="20"/>
              </w:rPr>
              <w:t> </w:t>
            </w:r>
            <w:r>
              <w:rPr>
                <w:sz w:val="20"/>
              </w:rPr>
              <w:t>*</w:t>
            </w:r>
            <w:r>
              <w:rPr>
                <w:spacing w:val="-7"/>
                <w:sz w:val="20"/>
              </w:rPr>
              <w:t> </w:t>
            </w:r>
            <w:r>
              <w:rPr>
                <w:spacing w:val="-4"/>
                <w:sz w:val="20"/>
              </w:rPr>
              <w:t>Year</w:t>
            </w:r>
          </w:p>
        </w:tc>
        <w:tc>
          <w:tcPr>
            <w:tcW w:w="1015" w:type="dxa"/>
            <w:shd w:val="clear" w:color="auto" w:fill="CCDBEA"/>
          </w:tcPr>
          <w:p>
            <w:pPr>
              <w:pStyle w:val="TableParagraph"/>
              <w:spacing w:before="61"/>
              <w:ind w:left="108"/>
              <w:rPr>
                <w:sz w:val="20"/>
              </w:rPr>
            </w:pPr>
            <w:r>
              <w:rPr>
                <w:spacing w:val="-2"/>
                <w:sz w:val="20"/>
              </w:rPr>
              <w:t>0.000</w:t>
            </w:r>
          </w:p>
        </w:tc>
      </w:tr>
      <w:tr>
        <w:trPr>
          <w:trHeight w:val="354" w:hRule="atLeast"/>
        </w:trPr>
        <w:tc>
          <w:tcPr>
            <w:tcW w:w="3241" w:type="dxa"/>
            <w:tcBorders>
              <w:bottom w:val="single" w:sz="4" w:space="0" w:color="2C908B"/>
            </w:tcBorders>
          </w:tcPr>
          <w:p>
            <w:pPr>
              <w:pStyle w:val="TableParagraph"/>
              <w:spacing w:before="61"/>
              <w:ind w:left="107"/>
              <w:rPr>
                <w:sz w:val="20"/>
              </w:rPr>
            </w:pPr>
            <w:r>
              <w:rPr>
                <w:sz w:val="20"/>
              </w:rPr>
              <w:t>Location</w:t>
            </w:r>
            <w:r>
              <w:rPr>
                <w:spacing w:val="-8"/>
                <w:sz w:val="20"/>
              </w:rPr>
              <w:t> </w:t>
            </w:r>
            <w:r>
              <w:rPr>
                <w:sz w:val="20"/>
              </w:rPr>
              <w:t>+</w:t>
            </w:r>
            <w:r>
              <w:rPr>
                <w:spacing w:val="-3"/>
                <w:sz w:val="20"/>
              </w:rPr>
              <w:t> </w:t>
            </w:r>
            <w:r>
              <w:rPr>
                <w:sz w:val="20"/>
              </w:rPr>
              <w:t>Year</w:t>
            </w:r>
            <w:r>
              <w:rPr>
                <w:spacing w:val="-5"/>
                <w:sz w:val="20"/>
              </w:rPr>
              <w:t> </w:t>
            </w:r>
            <w:r>
              <w:rPr>
                <w:sz w:val="20"/>
              </w:rPr>
              <w:t>+</w:t>
            </w:r>
            <w:r>
              <w:rPr>
                <w:spacing w:val="-6"/>
                <w:sz w:val="20"/>
              </w:rPr>
              <w:t> </w:t>
            </w:r>
            <w:r>
              <w:rPr>
                <w:spacing w:val="-2"/>
                <w:sz w:val="20"/>
              </w:rPr>
              <w:t>Treatment:Year</w:t>
            </w:r>
          </w:p>
        </w:tc>
        <w:tc>
          <w:tcPr>
            <w:tcW w:w="1015" w:type="dxa"/>
            <w:tcBorders>
              <w:bottom w:val="single" w:sz="4" w:space="0" w:color="2C908B"/>
            </w:tcBorders>
            <w:shd w:val="clear" w:color="auto" w:fill="CCDBEA"/>
          </w:tcPr>
          <w:p>
            <w:pPr>
              <w:pStyle w:val="TableParagraph"/>
              <w:spacing w:before="61"/>
              <w:ind w:left="108"/>
              <w:rPr>
                <w:sz w:val="20"/>
              </w:rPr>
            </w:pPr>
            <w:r>
              <w:rPr>
                <w:spacing w:val="-2"/>
                <w:sz w:val="20"/>
              </w:rPr>
              <w:t>0.000</w:t>
            </w:r>
          </w:p>
        </w:tc>
      </w:tr>
    </w:tbl>
    <w:p>
      <w:pPr>
        <w:pStyle w:val="TableParagraph"/>
        <w:spacing w:after="0"/>
        <w:rPr>
          <w:sz w:val="20"/>
        </w:rPr>
        <w:sectPr>
          <w:footerReference w:type="default" r:id="rId93"/>
          <w:pgSz w:w="11910" w:h="16850"/>
          <w:pgMar w:header="0" w:footer="688" w:top="1060" w:bottom="880" w:left="992" w:right="850"/>
        </w:sectPr>
      </w:pPr>
    </w:p>
    <w:p>
      <w:pPr>
        <w:spacing w:line="240" w:lineRule="auto"/>
        <w:ind w:left="221" w:right="0" w:firstLine="0"/>
        <w:rPr>
          <w:sz w:val="20"/>
        </w:rPr>
      </w:pPr>
      <w:r>
        <w:rPr>
          <w:sz w:val="20"/>
        </w:rPr>
        <w:drawing>
          <wp:inline distT="0" distB="0" distL="0" distR="0">
            <wp:extent cx="5246411" cy="7799832"/>
            <wp:effectExtent l="0" t="0" r="0" b="0"/>
            <wp:docPr id="170" name="Image 170"/>
            <wp:cNvGraphicFramePr>
              <a:graphicFrameLocks/>
            </wp:cNvGraphicFramePr>
            <a:graphic>
              <a:graphicData uri="http://schemas.openxmlformats.org/drawingml/2006/picture">
                <pic:pic>
                  <pic:nvPicPr>
                    <pic:cNvPr id="170" name="Image 170"/>
                    <pic:cNvPicPr/>
                  </pic:nvPicPr>
                  <pic:blipFill>
                    <a:blip r:embed="rId95" cstate="print"/>
                    <a:stretch>
                      <a:fillRect/>
                    </a:stretch>
                  </pic:blipFill>
                  <pic:spPr>
                    <a:xfrm>
                      <a:off x="0" y="0"/>
                      <a:ext cx="5246411" cy="7799832"/>
                    </a:xfrm>
                    <a:prstGeom prst="rect">
                      <a:avLst/>
                    </a:prstGeom>
                  </pic:spPr>
                </pic:pic>
              </a:graphicData>
            </a:graphic>
          </wp:inline>
        </w:drawing>
      </w:r>
      <w:r>
        <w:rPr>
          <w:sz w:val="20"/>
        </w:rPr>
      </w:r>
    </w:p>
    <w:p>
      <w:pPr>
        <w:pStyle w:val="BodyText"/>
        <w:spacing w:before="199"/>
        <w:rPr>
          <w:b/>
        </w:rPr>
      </w:pPr>
    </w:p>
    <w:p>
      <w:pPr>
        <w:pStyle w:val="Heading5"/>
        <w:ind w:left="140" w:right="74"/>
      </w:pPr>
      <w:r>
        <w:rPr>
          <w:color w:val="1F1546"/>
        </w:rPr>
        <w:t>Figure</w:t>
      </w:r>
      <w:r>
        <w:rPr>
          <w:color w:val="1F1546"/>
          <w:spacing w:val="-3"/>
        </w:rPr>
        <w:t> </w:t>
      </w:r>
      <w:r>
        <w:rPr>
          <w:color w:val="1F1546"/>
        </w:rPr>
        <w:t>A1.</w:t>
      </w:r>
      <w:r>
        <w:rPr>
          <w:color w:val="1F1546"/>
          <w:spacing w:val="-4"/>
        </w:rPr>
        <w:t> </w:t>
      </w:r>
      <w:r>
        <w:rPr>
          <w:color w:val="1F1546"/>
        </w:rPr>
        <w:t>The</w:t>
      </w:r>
      <w:r>
        <w:rPr>
          <w:color w:val="1F1546"/>
          <w:spacing w:val="-4"/>
        </w:rPr>
        <w:t> </w:t>
      </w:r>
      <w:r>
        <w:rPr>
          <w:color w:val="1F1546"/>
        </w:rPr>
        <w:t>average</w:t>
      </w:r>
      <w:r>
        <w:rPr>
          <w:color w:val="1F1546"/>
          <w:spacing w:val="-4"/>
        </w:rPr>
        <w:t> </w:t>
      </w:r>
      <w:r>
        <w:rPr>
          <w:color w:val="1F1546"/>
        </w:rPr>
        <w:t>naïve</w:t>
      </w:r>
      <w:r>
        <w:rPr>
          <w:color w:val="1F1546"/>
          <w:spacing w:val="-4"/>
        </w:rPr>
        <w:t> </w:t>
      </w:r>
      <w:r>
        <w:rPr>
          <w:color w:val="1F1546"/>
        </w:rPr>
        <w:t>occupancy</w:t>
      </w:r>
      <w:r>
        <w:rPr>
          <w:color w:val="1F1546"/>
          <w:spacing w:val="-4"/>
        </w:rPr>
        <w:t> </w:t>
      </w:r>
      <w:r>
        <w:rPr>
          <w:color w:val="1F1546"/>
        </w:rPr>
        <w:t>(percentage</w:t>
      </w:r>
      <w:r>
        <w:rPr>
          <w:color w:val="1F1546"/>
          <w:spacing w:val="-4"/>
        </w:rPr>
        <w:t> </w:t>
      </w:r>
      <w:r>
        <w:rPr>
          <w:color w:val="1F1546"/>
        </w:rPr>
        <w:t>of</w:t>
      </w:r>
      <w:r>
        <w:rPr>
          <w:color w:val="1F1546"/>
          <w:spacing w:val="-3"/>
        </w:rPr>
        <w:t> </w:t>
      </w:r>
      <w:r>
        <w:rPr>
          <w:color w:val="1F1546"/>
        </w:rPr>
        <w:t>sites</w:t>
      </w:r>
      <w:r>
        <w:rPr>
          <w:color w:val="1F1546"/>
          <w:spacing w:val="-5"/>
        </w:rPr>
        <w:t> </w:t>
      </w:r>
      <w:r>
        <w:rPr>
          <w:color w:val="1F1546"/>
        </w:rPr>
        <w:t>occupied)</w:t>
      </w:r>
      <w:r>
        <w:rPr>
          <w:color w:val="1F1546"/>
          <w:spacing w:val="-3"/>
        </w:rPr>
        <w:t> </w:t>
      </w:r>
      <w:r>
        <w:rPr>
          <w:color w:val="1F1546"/>
        </w:rPr>
        <w:t>of</w:t>
      </w:r>
      <w:r>
        <w:rPr>
          <w:color w:val="1F1546"/>
          <w:spacing w:val="-2"/>
        </w:rPr>
        <w:t> </w:t>
      </w:r>
      <w:r>
        <w:rPr>
          <w:color w:val="1F1546"/>
        </w:rPr>
        <w:t>native</w:t>
      </w:r>
      <w:r>
        <w:rPr>
          <w:color w:val="1F1546"/>
          <w:spacing w:val="-4"/>
        </w:rPr>
        <w:t> </w:t>
      </w:r>
      <w:r>
        <w:rPr>
          <w:color w:val="1F1546"/>
        </w:rPr>
        <w:t>and</w:t>
      </w:r>
      <w:r>
        <w:rPr>
          <w:color w:val="1F1546"/>
          <w:spacing w:val="-1"/>
        </w:rPr>
        <w:t> </w:t>
      </w:r>
      <w:r>
        <w:rPr>
          <w:color w:val="1F1546"/>
        </w:rPr>
        <w:t>introduced species at Glenelg Ark FCMLs' and 'NFCMLs' from 2013 to 2023.</w:t>
      </w:r>
    </w:p>
    <w:p>
      <w:pPr>
        <w:spacing w:before="121"/>
        <w:ind w:left="140" w:right="0" w:firstLine="0"/>
        <w:jc w:val="left"/>
        <w:rPr>
          <w:sz w:val="18"/>
        </w:rPr>
      </w:pPr>
      <w:r>
        <w:rPr>
          <w:sz w:val="18"/>
        </w:rPr>
        <w:t>Red</w:t>
      </w:r>
      <w:r>
        <w:rPr>
          <w:spacing w:val="-4"/>
          <w:sz w:val="18"/>
        </w:rPr>
        <w:t> </w:t>
      </w:r>
      <w:r>
        <w:rPr>
          <w:sz w:val="18"/>
        </w:rPr>
        <w:t>solid</w:t>
      </w:r>
      <w:r>
        <w:rPr>
          <w:spacing w:val="-6"/>
          <w:sz w:val="18"/>
        </w:rPr>
        <w:t> </w:t>
      </w:r>
      <w:r>
        <w:rPr>
          <w:sz w:val="18"/>
        </w:rPr>
        <w:t>lines:</w:t>
      </w:r>
      <w:r>
        <w:rPr>
          <w:spacing w:val="-5"/>
          <w:sz w:val="18"/>
        </w:rPr>
        <w:t> </w:t>
      </w:r>
      <w:r>
        <w:rPr>
          <w:sz w:val="18"/>
        </w:rPr>
        <w:t>treated</w:t>
      </w:r>
      <w:r>
        <w:rPr>
          <w:spacing w:val="-6"/>
          <w:sz w:val="18"/>
        </w:rPr>
        <w:t> </w:t>
      </w:r>
      <w:r>
        <w:rPr>
          <w:sz w:val="18"/>
        </w:rPr>
        <w:t>locations;</w:t>
      </w:r>
      <w:r>
        <w:rPr>
          <w:spacing w:val="-3"/>
          <w:sz w:val="18"/>
        </w:rPr>
        <w:t> </w:t>
      </w:r>
      <w:r>
        <w:rPr>
          <w:sz w:val="18"/>
        </w:rPr>
        <w:t>aqua</w:t>
      </w:r>
      <w:r>
        <w:rPr>
          <w:spacing w:val="-5"/>
          <w:sz w:val="18"/>
        </w:rPr>
        <w:t> </w:t>
      </w:r>
      <w:r>
        <w:rPr>
          <w:sz w:val="18"/>
        </w:rPr>
        <w:t>dashed</w:t>
      </w:r>
      <w:r>
        <w:rPr>
          <w:spacing w:val="-6"/>
          <w:sz w:val="18"/>
        </w:rPr>
        <w:t> </w:t>
      </w:r>
      <w:r>
        <w:rPr>
          <w:sz w:val="18"/>
        </w:rPr>
        <w:t>lines:</w:t>
      </w:r>
      <w:r>
        <w:rPr>
          <w:spacing w:val="-5"/>
          <w:sz w:val="18"/>
        </w:rPr>
        <w:t> </w:t>
      </w:r>
      <w:r>
        <w:rPr>
          <w:sz w:val="18"/>
        </w:rPr>
        <w:t>untreated</w:t>
      </w:r>
      <w:r>
        <w:rPr>
          <w:spacing w:val="-3"/>
          <w:sz w:val="18"/>
        </w:rPr>
        <w:t> </w:t>
      </w:r>
      <w:r>
        <w:rPr>
          <w:spacing w:val="-2"/>
          <w:sz w:val="18"/>
        </w:rPr>
        <w:t>locations.</w:t>
      </w:r>
    </w:p>
    <w:p>
      <w:pPr>
        <w:spacing w:after="0"/>
        <w:jc w:val="left"/>
        <w:rPr>
          <w:sz w:val="18"/>
        </w:rPr>
        <w:sectPr>
          <w:footerReference w:type="default" r:id="rId94"/>
          <w:pgSz w:w="11910" w:h="16850"/>
          <w:pgMar w:header="0" w:footer="688" w:top="1200" w:bottom="880" w:left="992" w:right="850"/>
        </w:sectPr>
      </w:pPr>
    </w:p>
    <w:p>
      <w:pPr>
        <w:spacing w:line="240" w:lineRule="auto"/>
        <w:ind w:left="226" w:right="0" w:firstLine="0"/>
        <w:rPr>
          <w:sz w:val="20"/>
        </w:rPr>
      </w:pPr>
      <w:r>
        <w:rPr>
          <w:sz w:val="20"/>
        </w:rPr>
        <w:drawing>
          <wp:inline distT="0" distB="0" distL="0" distR="0">
            <wp:extent cx="5505688" cy="8179593"/>
            <wp:effectExtent l="0" t="0" r="0" b="0"/>
            <wp:docPr id="174" name="Image 174"/>
            <wp:cNvGraphicFramePr>
              <a:graphicFrameLocks/>
            </wp:cNvGraphicFramePr>
            <a:graphic>
              <a:graphicData uri="http://schemas.openxmlformats.org/drawingml/2006/picture">
                <pic:pic>
                  <pic:nvPicPr>
                    <pic:cNvPr id="174" name="Image 174"/>
                    <pic:cNvPicPr/>
                  </pic:nvPicPr>
                  <pic:blipFill>
                    <a:blip r:embed="rId97" cstate="print"/>
                    <a:stretch>
                      <a:fillRect/>
                    </a:stretch>
                  </pic:blipFill>
                  <pic:spPr>
                    <a:xfrm>
                      <a:off x="0" y="0"/>
                      <a:ext cx="5505688" cy="8179593"/>
                    </a:xfrm>
                    <a:prstGeom prst="rect">
                      <a:avLst/>
                    </a:prstGeom>
                  </pic:spPr>
                </pic:pic>
              </a:graphicData>
            </a:graphic>
          </wp:inline>
        </w:drawing>
      </w:r>
      <w:r>
        <w:rPr>
          <w:sz w:val="20"/>
        </w:rPr>
      </w:r>
    </w:p>
    <w:p>
      <w:pPr>
        <w:pStyle w:val="Heading5"/>
        <w:spacing w:before="179"/>
        <w:ind w:left="140"/>
      </w:pPr>
      <w:r>
        <w:rPr>
          <w:color w:val="1F1546"/>
        </w:rPr>
        <w:t>Figure</w:t>
      </w:r>
      <w:r>
        <w:rPr>
          <w:color w:val="1F1546"/>
          <w:spacing w:val="-4"/>
        </w:rPr>
        <w:t> </w:t>
      </w:r>
      <w:r>
        <w:rPr>
          <w:color w:val="1F1546"/>
        </w:rPr>
        <w:t>A1</w:t>
      </w:r>
      <w:r>
        <w:rPr>
          <w:color w:val="1F1546"/>
          <w:spacing w:val="-3"/>
        </w:rPr>
        <w:t> </w:t>
      </w:r>
      <w:r>
        <w:rPr>
          <w:color w:val="1F1546"/>
        </w:rPr>
        <w:t>continued.</w:t>
      </w:r>
      <w:r>
        <w:rPr>
          <w:color w:val="1F1546"/>
          <w:spacing w:val="-5"/>
        </w:rPr>
        <w:t> </w:t>
      </w:r>
      <w:r>
        <w:rPr>
          <w:color w:val="1F1546"/>
        </w:rPr>
        <w:t>The</w:t>
      </w:r>
      <w:r>
        <w:rPr>
          <w:color w:val="1F1546"/>
          <w:spacing w:val="-3"/>
        </w:rPr>
        <w:t> </w:t>
      </w:r>
      <w:r>
        <w:rPr>
          <w:color w:val="1F1546"/>
        </w:rPr>
        <w:t>average</w:t>
      </w:r>
      <w:r>
        <w:rPr>
          <w:color w:val="1F1546"/>
          <w:spacing w:val="-5"/>
        </w:rPr>
        <w:t> </w:t>
      </w:r>
      <w:r>
        <w:rPr>
          <w:color w:val="1F1546"/>
        </w:rPr>
        <w:t>naïve</w:t>
      </w:r>
      <w:r>
        <w:rPr>
          <w:color w:val="1F1546"/>
          <w:spacing w:val="-3"/>
        </w:rPr>
        <w:t> </w:t>
      </w:r>
      <w:r>
        <w:rPr>
          <w:color w:val="1F1546"/>
        </w:rPr>
        <w:t>occupancy</w:t>
      </w:r>
      <w:r>
        <w:rPr>
          <w:color w:val="1F1546"/>
          <w:spacing w:val="-3"/>
        </w:rPr>
        <w:t> </w:t>
      </w:r>
      <w:r>
        <w:rPr>
          <w:color w:val="1F1546"/>
        </w:rPr>
        <w:t>(percentage</w:t>
      </w:r>
      <w:r>
        <w:rPr>
          <w:color w:val="1F1546"/>
          <w:spacing w:val="-5"/>
        </w:rPr>
        <w:t> </w:t>
      </w:r>
      <w:r>
        <w:rPr>
          <w:color w:val="1F1546"/>
        </w:rPr>
        <w:t>of</w:t>
      </w:r>
      <w:r>
        <w:rPr>
          <w:color w:val="1F1546"/>
          <w:spacing w:val="-4"/>
        </w:rPr>
        <w:t> </w:t>
      </w:r>
      <w:r>
        <w:rPr>
          <w:color w:val="1F1546"/>
        </w:rPr>
        <w:t>sites</w:t>
      </w:r>
      <w:r>
        <w:rPr>
          <w:color w:val="1F1546"/>
          <w:spacing w:val="-3"/>
        </w:rPr>
        <w:t> </w:t>
      </w:r>
      <w:r>
        <w:rPr>
          <w:color w:val="1F1546"/>
        </w:rPr>
        <w:t>occupied)</w:t>
      </w:r>
      <w:r>
        <w:rPr>
          <w:color w:val="1F1546"/>
          <w:spacing w:val="-4"/>
        </w:rPr>
        <w:t> </w:t>
      </w:r>
      <w:r>
        <w:rPr>
          <w:color w:val="1F1546"/>
        </w:rPr>
        <w:t>of</w:t>
      </w:r>
      <w:r>
        <w:rPr>
          <w:color w:val="1F1546"/>
          <w:spacing w:val="-3"/>
        </w:rPr>
        <w:t> </w:t>
      </w:r>
      <w:r>
        <w:rPr>
          <w:color w:val="1F1546"/>
        </w:rPr>
        <w:t>native</w:t>
      </w:r>
      <w:r>
        <w:rPr>
          <w:color w:val="1F1546"/>
          <w:spacing w:val="-6"/>
        </w:rPr>
        <w:t> </w:t>
      </w:r>
      <w:r>
        <w:rPr>
          <w:color w:val="1F1546"/>
        </w:rPr>
        <w:t>and introduced species at Glenelg Ark FCMLs' and 'NFCMLs' from 2013 to 2023.</w:t>
      </w:r>
    </w:p>
    <w:p>
      <w:pPr>
        <w:spacing w:before="117"/>
        <w:ind w:left="140" w:right="0" w:firstLine="0"/>
        <w:jc w:val="left"/>
        <w:rPr>
          <w:sz w:val="18"/>
        </w:rPr>
      </w:pPr>
      <w:r>
        <w:rPr>
          <w:sz w:val="18"/>
        </w:rPr>
        <w:t>Red</w:t>
      </w:r>
      <w:r>
        <w:rPr>
          <w:spacing w:val="-4"/>
          <w:sz w:val="18"/>
        </w:rPr>
        <w:t> </w:t>
      </w:r>
      <w:r>
        <w:rPr>
          <w:sz w:val="18"/>
        </w:rPr>
        <w:t>solid</w:t>
      </w:r>
      <w:r>
        <w:rPr>
          <w:spacing w:val="-6"/>
          <w:sz w:val="18"/>
        </w:rPr>
        <w:t> </w:t>
      </w:r>
      <w:r>
        <w:rPr>
          <w:sz w:val="18"/>
        </w:rPr>
        <w:t>lines:</w:t>
      </w:r>
      <w:r>
        <w:rPr>
          <w:spacing w:val="-5"/>
          <w:sz w:val="18"/>
        </w:rPr>
        <w:t> </w:t>
      </w:r>
      <w:r>
        <w:rPr>
          <w:sz w:val="18"/>
        </w:rPr>
        <w:t>treated</w:t>
      </w:r>
      <w:r>
        <w:rPr>
          <w:spacing w:val="-6"/>
          <w:sz w:val="18"/>
        </w:rPr>
        <w:t> </w:t>
      </w:r>
      <w:r>
        <w:rPr>
          <w:sz w:val="18"/>
        </w:rPr>
        <w:t>locations;</w:t>
      </w:r>
      <w:r>
        <w:rPr>
          <w:spacing w:val="-3"/>
          <w:sz w:val="18"/>
        </w:rPr>
        <w:t> </w:t>
      </w:r>
      <w:r>
        <w:rPr>
          <w:sz w:val="18"/>
        </w:rPr>
        <w:t>aqua</w:t>
      </w:r>
      <w:r>
        <w:rPr>
          <w:spacing w:val="-5"/>
          <w:sz w:val="18"/>
        </w:rPr>
        <w:t> </w:t>
      </w:r>
      <w:r>
        <w:rPr>
          <w:sz w:val="18"/>
        </w:rPr>
        <w:t>dashed</w:t>
      </w:r>
      <w:r>
        <w:rPr>
          <w:spacing w:val="-6"/>
          <w:sz w:val="18"/>
        </w:rPr>
        <w:t> </w:t>
      </w:r>
      <w:r>
        <w:rPr>
          <w:sz w:val="18"/>
        </w:rPr>
        <w:t>lines:</w:t>
      </w:r>
      <w:r>
        <w:rPr>
          <w:spacing w:val="-5"/>
          <w:sz w:val="18"/>
        </w:rPr>
        <w:t> </w:t>
      </w:r>
      <w:r>
        <w:rPr>
          <w:sz w:val="18"/>
        </w:rPr>
        <w:t>untreated</w:t>
      </w:r>
      <w:r>
        <w:rPr>
          <w:spacing w:val="-3"/>
          <w:sz w:val="18"/>
        </w:rPr>
        <w:t> </w:t>
      </w:r>
      <w:r>
        <w:rPr>
          <w:spacing w:val="-2"/>
          <w:sz w:val="18"/>
        </w:rPr>
        <w:t>locations.</w:t>
      </w:r>
    </w:p>
    <w:p>
      <w:pPr>
        <w:spacing w:after="0"/>
        <w:jc w:val="left"/>
        <w:rPr>
          <w:sz w:val="18"/>
        </w:rPr>
        <w:sectPr>
          <w:footerReference w:type="default" r:id="rId96"/>
          <w:pgSz w:w="11910" w:h="16850"/>
          <w:pgMar w:header="0" w:footer="688" w:top="1220" w:bottom="880" w:left="992" w:right="850"/>
        </w:sectPr>
      </w:pPr>
    </w:p>
    <w:p>
      <w:pPr>
        <w:spacing w:line="240" w:lineRule="auto"/>
        <w:ind w:left="227" w:right="0" w:firstLine="0"/>
        <w:rPr>
          <w:sz w:val="20"/>
        </w:rPr>
      </w:pPr>
      <w:r>
        <w:rPr>
          <w:sz w:val="20"/>
        </w:rPr>
        <w:drawing>
          <wp:inline distT="0" distB="0" distL="0" distR="0">
            <wp:extent cx="5505049" cy="8179593"/>
            <wp:effectExtent l="0" t="0" r="0" b="0"/>
            <wp:docPr id="178" name="Image 178"/>
            <wp:cNvGraphicFramePr>
              <a:graphicFrameLocks/>
            </wp:cNvGraphicFramePr>
            <a:graphic>
              <a:graphicData uri="http://schemas.openxmlformats.org/drawingml/2006/picture">
                <pic:pic>
                  <pic:nvPicPr>
                    <pic:cNvPr id="178" name="Image 178"/>
                    <pic:cNvPicPr/>
                  </pic:nvPicPr>
                  <pic:blipFill>
                    <a:blip r:embed="rId99" cstate="print"/>
                    <a:stretch>
                      <a:fillRect/>
                    </a:stretch>
                  </pic:blipFill>
                  <pic:spPr>
                    <a:xfrm>
                      <a:off x="0" y="0"/>
                      <a:ext cx="5505049" cy="8179593"/>
                    </a:xfrm>
                    <a:prstGeom prst="rect">
                      <a:avLst/>
                    </a:prstGeom>
                  </pic:spPr>
                </pic:pic>
              </a:graphicData>
            </a:graphic>
          </wp:inline>
        </w:drawing>
      </w:r>
      <w:r>
        <w:rPr>
          <w:sz w:val="20"/>
        </w:rPr>
      </w:r>
    </w:p>
    <w:p>
      <w:pPr>
        <w:pStyle w:val="BodyText"/>
        <w:spacing w:before="162"/>
      </w:pPr>
    </w:p>
    <w:p>
      <w:pPr>
        <w:pStyle w:val="Heading5"/>
        <w:ind w:left="140"/>
      </w:pPr>
      <w:r>
        <w:rPr>
          <w:color w:val="1F1546"/>
        </w:rPr>
        <w:t>Figure</w:t>
      </w:r>
      <w:r>
        <w:rPr>
          <w:color w:val="1F1546"/>
          <w:spacing w:val="-4"/>
        </w:rPr>
        <w:t> </w:t>
      </w:r>
      <w:r>
        <w:rPr>
          <w:color w:val="1F1546"/>
        </w:rPr>
        <w:t>A1</w:t>
      </w:r>
      <w:r>
        <w:rPr>
          <w:color w:val="1F1546"/>
          <w:spacing w:val="-3"/>
        </w:rPr>
        <w:t> </w:t>
      </w:r>
      <w:r>
        <w:rPr>
          <w:color w:val="1F1546"/>
        </w:rPr>
        <w:t>continued.</w:t>
      </w:r>
      <w:r>
        <w:rPr>
          <w:color w:val="1F1546"/>
          <w:spacing w:val="-5"/>
        </w:rPr>
        <w:t> </w:t>
      </w:r>
      <w:r>
        <w:rPr>
          <w:color w:val="1F1546"/>
        </w:rPr>
        <w:t>The</w:t>
      </w:r>
      <w:r>
        <w:rPr>
          <w:color w:val="1F1546"/>
          <w:spacing w:val="-3"/>
        </w:rPr>
        <w:t> </w:t>
      </w:r>
      <w:r>
        <w:rPr>
          <w:color w:val="1F1546"/>
        </w:rPr>
        <w:t>average</w:t>
      </w:r>
      <w:r>
        <w:rPr>
          <w:color w:val="1F1546"/>
          <w:spacing w:val="-5"/>
        </w:rPr>
        <w:t> </w:t>
      </w:r>
      <w:r>
        <w:rPr>
          <w:color w:val="1F1546"/>
        </w:rPr>
        <w:t>naïve</w:t>
      </w:r>
      <w:r>
        <w:rPr>
          <w:color w:val="1F1546"/>
          <w:spacing w:val="-3"/>
        </w:rPr>
        <w:t> </w:t>
      </w:r>
      <w:r>
        <w:rPr>
          <w:color w:val="1F1546"/>
        </w:rPr>
        <w:t>occupancy</w:t>
      </w:r>
      <w:r>
        <w:rPr>
          <w:color w:val="1F1546"/>
          <w:spacing w:val="-3"/>
        </w:rPr>
        <w:t> </w:t>
      </w:r>
      <w:r>
        <w:rPr>
          <w:color w:val="1F1546"/>
        </w:rPr>
        <w:t>(percentage</w:t>
      </w:r>
      <w:r>
        <w:rPr>
          <w:color w:val="1F1546"/>
          <w:spacing w:val="-5"/>
        </w:rPr>
        <w:t> </w:t>
      </w:r>
      <w:r>
        <w:rPr>
          <w:color w:val="1F1546"/>
        </w:rPr>
        <w:t>of</w:t>
      </w:r>
      <w:r>
        <w:rPr>
          <w:color w:val="1F1546"/>
          <w:spacing w:val="-4"/>
        </w:rPr>
        <w:t> </w:t>
      </w:r>
      <w:r>
        <w:rPr>
          <w:color w:val="1F1546"/>
        </w:rPr>
        <w:t>sites</w:t>
      </w:r>
      <w:r>
        <w:rPr>
          <w:color w:val="1F1546"/>
          <w:spacing w:val="-3"/>
        </w:rPr>
        <w:t> </w:t>
      </w:r>
      <w:r>
        <w:rPr>
          <w:color w:val="1F1546"/>
        </w:rPr>
        <w:t>occupied)</w:t>
      </w:r>
      <w:r>
        <w:rPr>
          <w:color w:val="1F1546"/>
          <w:spacing w:val="-4"/>
        </w:rPr>
        <w:t> </w:t>
      </w:r>
      <w:r>
        <w:rPr>
          <w:color w:val="1F1546"/>
        </w:rPr>
        <w:t>of</w:t>
      </w:r>
      <w:r>
        <w:rPr>
          <w:color w:val="1F1546"/>
          <w:spacing w:val="-3"/>
        </w:rPr>
        <w:t> </w:t>
      </w:r>
      <w:r>
        <w:rPr>
          <w:color w:val="1F1546"/>
        </w:rPr>
        <w:t>native</w:t>
      </w:r>
      <w:r>
        <w:rPr>
          <w:color w:val="1F1546"/>
          <w:spacing w:val="-6"/>
        </w:rPr>
        <w:t> </w:t>
      </w:r>
      <w:r>
        <w:rPr>
          <w:color w:val="1F1546"/>
        </w:rPr>
        <w:t>and introduced species at Glenelg Ark FCMLs' and 'NFCMLs' from 2013 to 2023.</w:t>
      </w:r>
    </w:p>
    <w:p>
      <w:pPr>
        <w:spacing w:before="118"/>
        <w:ind w:left="140" w:right="0" w:firstLine="0"/>
        <w:jc w:val="left"/>
        <w:rPr>
          <w:sz w:val="18"/>
        </w:rPr>
      </w:pPr>
      <w:r>
        <w:rPr>
          <w:sz w:val="18"/>
        </w:rPr>
        <w:t>Red</w:t>
      </w:r>
      <w:r>
        <w:rPr>
          <w:spacing w:val="-4"/>
          <w:sz w:val="18"/>
        </w:rPr>
        <w:t> </w:t>
      </w:r>
      <w:r>
        <w:rPr>
          <w:sz w:val="18"/>
        </w:rPr>
        <w:t>solid</w:t>
      </w:r>
      <w:r>
        <w:rPr>
          <w:spacing w:val="-6"/>
          <w:sz w:val="18"/>
        </w:rPr>
        <w:t> </w:t>
      </w:r>
      <w:r>
        <w:rPr>
          <w:sz w:val="18"/>
        </w:rPr>
        <w:t>lines:</w:t>
      </w:r>
      <w:r>
        <w:rPr>
          <w:spacing w:val="-5"/>
          <w:sz w:val="18"/>
        </w:rPr>
        <w:t> </w:t>
      </w:r>
      <w:r>
        <w:rPr>
          <w:sz w:val="18"/>
        </w:rPr>
        <w:t>treated</w:t>
      </w:r>
      <w:r>
        <w:rPr>
          <w:spacing w:val="-6"/>
          <w:sz w:val="18"/>
        </w:rPr>
        <w:t> </w:t>
      </w:r>
      <w:r>
        <w:rPr>
          <w:sz w:val="18"/>
        </w:rPr>
        <w:t>locations;</w:t>
      </w:r>
      <w:r>
        <w:rPr>
          <w:spacing w:val="-3"/>
          <w:sz w:val="18"/>
        </w:rPr>
        <w:t> </w:t>
      </w:r>
      <w:r>
        <w:rPr>
          <w:sz w:val="18"/>
        </w:rPr>
        <w:t>aqua</w:t>
      </w:r>
      <w:r>
        <w:rPr>
          <w:spacing w:val="-5"/>
          <w:sz w:val="18"/>
        </w:rPr>
        <w:t> </w:t>
      </w:r>
      <w:r>
        <w:rPr>
          <w:sz w:val="18"/>
        </w:rPr>
        <w:t>dashed</w:t>
      </w:r>
      <w:r>
        <w:rPr>
          <w:spacing w:val="-6"/>
          <w:sz w:val="18"/>
        </w:rPr>
        <w:t> </w:t>
      </w:r>
      <w:r>
        <w:rPr>
          <w:sz w:val="18"/>
        </w:rPr>
        <w:t>lines:</w:t>
      </w:r>
      <w:r>
        <w:rPr>
          <w:spacing w:val="-5"/>
          <w:sz w:val="18"/>
        </w:rPr>
        <w:t> </w:t>
      </w:r>
      <w:r>
        <w:rPr>
          <w:sz w:val="18"/>
        </w:rPr>
        <w:t>untreated</w:t>
      </w:r>
      <w:r>
        <w:rPr>
          <w:spacing w:val="-3"/>
          <w:sz w:val="18"/>
        </w:rPr>
        <w:t> </w:t>
      </w:r>
      <w:r>
        <w:rPr>
          <w:spacing w:val="-2"/>
          <w:sz w:val="18"/>
        </w:rPr>
        <w:t>locations.</w:t>
      </w:r>
    </w:p>
    <w:p>
      <w:pPr>
        <w:spacing w:after="0"/>
        <w:jc w:val="left"/>
        <w:rPr>
          <w:sz w:val="18"/>
        </w:rPr>
        <w:sectPr>
          <w:footerReference w:type="default" r:id="rId98"/>
          <w:pgSz w:w="11910" w:h="16850"/>
          <w:pgMar w:header="0" w:footer="688" w:top="1220" w:bottom="880" w:left="992" w:right="850"/>
        </w:sectPr>
      </w:pPr>
    </w:p>
    <w:p>
      <w:pPr>
        <w:spacing w:line="240" w:lineRule="auto"/>
        <w:ind w:left="228" w:right="0" w:firstLine="0"/>
        <w:rPr>
          <w:sz w:val="20"/>
        </w:rPr>
      </w:pPr>
      <w:r>
        <w:rPr>
          <w:sz w:val="20"/>
        </w:rPr>
        <w:drawing>
          <wp:inline distT="0" distB="0" distL="0" distR="0">
            <wp:extent cx="5505036" cy="8179593"/>
            <wp:effectExtent l="0" t="0" r="0" b="0"/>
            <wp:docPr id="182" name="Image 182"/>
            <wp:cNvGraphicFramePr>
              <a:graphicFrameLocks/>
            </wp:cNvGraphicFramePr>
            <a:graphic>
              <a:graphicData uri="http://schemas.openxmlformats.org/drawingml/2006/picture">
                <pic:pic>
                  <pic:nvPicPr>
                    <pic:cNvPr id="182" name="Image 182"/>
                    <pic:cNvPicPr/>
                  </pic:nvPicPr>
                  <pic:blipFill>
                    <a:blip r:embed="rId101" cstate="print"/>
                    <a:stretch>
                      <a:fillRect/>
                    </a:stretch>
                  </pic:blipFill>
                  <pic:spPr>
                    <a:xfrm>
                      <a:off x="0" y="0"/>
                      <a:ext cx="5505036" cy="8179593"/>
                    </a:xfrm>
                    <a:prstGeom prst="rect">
                      <a:avLst/>
                    </a:prstGeom>
                  </pic:spPr>
                </pic:pic>
              </a:graphicData>
            </a:graphic>
          </wp:inline>
        </w:drawing>
      </w:r>
      <w:r>
        <w:rPr>
          <w:sz w:val="20"/>
        </w:rPr>
      </w:r>
    </w:p>
    <w:p>
      <w:pPr>
        <w:pStyle w:val="BodyText"/>
        <w:spacing w:before="167"/>
      </w:pPr>
    </w:p>
    <w:p>
      <w:pPr>
        <w:pStyle w:val="Heading5"/>
        <w:ind w:left="140"/>
      </w:pPr>
      <w:r>
        <w:rPr>
          <w:color w:val="1F1546"/>
        </w:rPr>
        <w:t>Figure</w:t>
      </w:r>
      <w:r>
        <w:rPr>
          <w:color w:val="1F1546"/>
          <w:spacing w:val="-4"/>
        </w:rPr>
        <w:t> </w:t>
      </w:r>
      <w:r>
        <w:rPr>
          <w:color w:val="1F1546"/>
        </w:rPr>
        <w:t>A1</w:t>
      </w:r>
      <w:r>
        <w:rPr>
          <w:color w:val="1F1546"/>
          <w:spacing w:val="-3"/>
        </w:rPr>
        <w:t> </w:t>
      </w:r>
      <w:r>
        <w:rPr>
          <w:color w:val="1F1546"/>
        </w:rPr>
        <w:t>continued.</w:t>
      </w:r>
      <w:r>
        <w:rPr>
          <w:color w:val="1F1546"/>
          <w:spacing w:val="-5"/>
        </w:rPr>
        <w:t> </w:t>
      </w:r>
      <w:r>
        <w:rPr>
          <w:color w:val="1F1546"/>
        </w:rPr>
        <w:t>The</w:t>
      </w:r>
      <w:r>
        <w:rPr>
          <w:color w:val="1F1546"/>
          <w:spacing w:val="-3"/>
        </w:rPr>
        <w:t> </w:t>
      </w:r>
      <w:r>
        <w:rPr>
          <w:color w:val="1F1546"/>
        </w:rPr>
        <w:t>average</w:t>
      </w:r>
      <w:r>
        <w:rPr>
          <w:color w:val="1F1546"/>
          <w:spacing w:val="-5"/>
        </w:rPr>
        <w:t> </w:t>
      </w:r>
      <w:r>
        <w:rPr>
          <w:color w:val="1F1546"/>
        </w:rPr>
        <w:t>naïve</w:t>
      </w:r>
      <w:r>
        <w:rPr>
          <w:color w:val="1F1546"/>
          <w:spacing w:val="-3"/>
        </w:rPr>
        <w:t> </w:t>
      </w:r>
      <w:r>
        <w:rPr>
          <w:color w:val="1F1546"/>
        </w:rPr>
        <w:t>occupancy</w:t>
      </w:r>
      <w:r>
        <w:rPr>
          <w:color w:val="1F1546"/>
          <w:spacing w:val="-3"/>
        </w:rPr>
        <w:t> </w:t>
      </w:r>
      <w:r>
        <w:rPr>
          <w:color w:val="1F1546"/>
        </w:rPr>
        <w:t>(percentage</w:t>
      </w:r>
      <w:r>
        <w:rPr>
          <w:color w:val="1F1546"/>
          <w:spacing w:val="-5"/>
        </w:rPr>
        <w:t> </w:t>
      </w:r>
      <w:r>
        <w:rPr>
          <w:color w:val="1F1546"/>
        </w:rPr>
        <w:t>of</w:t>
      </w:r>
      <w:r>
        <w:rPr>
          <w:color w:val="1F1546"/>
          <w:spacing w:val="-4"/>
        </w:rPr>
        <w:t> </w:t>
      </w:r>
      <w:r>
        <w:rPr>
          <w:color w:val="1F1546"/>
        </w:rPr>
        <w:t>sites</w:t>
      </w:r>
      <w:r>
        <w:rPr>
          <w:color w:val="1F1546"/>
          <w:spacing w:val="-3"/>
        </w:rPr>
        <w:t> </w:t>
      </w:r>
      <w:r>
        <w:rPr>
          <w:color w:val="1F1546"/>
        </w:rPr>
        <w:t>occupied)</w:t>
      </w:r>
      <w:r>
        <w:rPr>
          <w:color w:val="1F1546"/>
          <w:spacing w:val="-4"/>
        </w:rPr>
        <w:t> </w:t>
      </w:r>
      <w:r>
        <w:rPr>
          <w:color w:val="1F1546"/>
        </w:rPr>
        <w:t>of</w:t>
      </w:r>
      <w:r>
        <w:rPr>
          <w:color w:val="1F1546"/>
          <w:spacing w:val="-3"/>
        </w:rPr>
        <w:t> </w:t>
      </w:r>
      <w:r>
        <w:rPr>
          <w:color w:val="1F1546"/>
        </w:rPr>
        <w:t>native</w:t>
      </w:r>
      <w:r>
        <w:rPr>
          <w:color w:val="1F1546"/>
          <w:spacing w:val="-6"/>
        </w:rPr>
        <w:t> </w:t>
      </w:r>
      <w:r>
        <w:rPr>
          <w:color w:val="1F1546"/>
        </w:rPr>
        <w:t>and introduced species at Glenelg Ark FCMLs' and 'NFCMLs' from 2013 to 2023.</w:t>
      </w:r>
    </w:p>
    <w:p>
      <w:pPr>
        <w:spacing w:before="120"/>
        <w:ind w:left="140" w:right="0" w:firstLine="0"/>
        <w:jc w:val="left"/>
        <w:rPr>
          <w:sz w:val="18"/>
        </w:rPr>
      </w:pPr>
      <w:r>
        <w:rPr>
          <w:sz w:val="18"/>
        </w:rPr>
        <w:t>Red</w:t>
      </w:r>
      <w:r>
        <w:rPr>
          <w:spacing w:val="-4"/>
          <w:sz w:val="18"/>
        </w:rPr>
        <w:t> </w:t>
      </w:r>
      <w:r>
        <w:rPr>
          <w:sz w:val="18"/>
        </w:rPr>
        <w:t>solid</w:t>
      </w:r>
      <w:r>
        <w:rPr>
          <w:spacing w:val="-6"/>
          <w:sz w:val="18"/>
        </w:rPr>
        <w:t> </w:t>
      </w:r>
      <w:r>
        <w:rPr>
          <w:sz w:val="18"/>
        </w:rPr>
        <w:t>lines:</w:t>
      </w:r>
      <w:r>
        <w:rPr>
          <w:spacing w:val="-5"/>
          <w:sz w:val="18"/>
        </w:rPr>
        <w:t> </w:t>
      </w:r>
      <w:r>
        <w:rPr>
          <w:sz w:val="18"/>
        </w:rPr>
        <w:t>treated</w:t>
      </w:r>
      <w:r>
        <w:rPr>
          <w:spacing w:val="-6"/>
          <w:sz w:val="18"/>
        </w:rPr>
        <w:t> </w:t>
      </w:r>
      <w:r>
        <w:rPr>
          <w:sz w:val="18"/>
        </w:rPr>
        <w:t>locations;</w:t>
      </w:r>
      <w:r>
        <w:rPr>
          <w:spacing w:val="-3"/>
          <w:sz w:val="18"/>
        </w:rPr>
        <w:t> </w:t>
      </w:r>
      <w:r>
        <w:rPr>
          <w:sz w:val="18"/>
        </w:rPr>
        <w:t>aqua</w:t>
      </w:r>
      <w:r>
        <w:rPr>
          <w:spacing w:val="-5"/>
          <w:sz w:val="18"/>
        </w:rPr>
        <w:t> </w:t>
      </w:r>
      <w:r>
        <w:rPr>
          <w:sz w:val="18"/>
        </w:rPr>
        <w:t>dashed</w:t>
      </w:r>
      <w:r>
        <w:rPr>
          <w:spacing w:val="-6"/>
          <w:sz w:val="18"/>
        </w:rPr>
        <w:t> </w:t>
      </w:r>
      <w:r>
        <w:rPr>
          <w:sz w:val="18"/>
        </w:rPr>
        <w:t>lines:</w:t>
      </w:r>
      <w:r>
        <w:rPr>
          <w:spacing w:val="-5"/>
          <w:sz w:val="18"/>
        </w:rPr>
        <w:t> </w:t>
      </w:r>
      <w:r>
        <w:rPr>
          <w:sz w:val="18"/>
        </w:rPr>
        <w:t>untreated</w:t>
      </w:r>
      <w:r>
        <w:rPr>
          <w:spacing w:val="-3"/>
          <w:sz w:val="18"/>
        </w:rPr>
        <w:t> </w:t>
      </w:r>
      <w:r>
        <w:rPr>
          <w:spacing w:val="-2"/>
          <w:sz w:val="18"/>
        </w:rPr>
        <w:t>locations.</w:t>
      </w:r>
    </w:p>
    <w:p>
      <w:pPr>
        <w:spacing w:after="0"/>
        <w:jc w:val="left"/>
        <w:rPr>
          <w:sz w:val="18"/>
        </w:rPr>
        <w:sectPr>
          <w:footerReference w:type="default" r:id="rId100"/>
          <w:pgSz w:w="11910" w:h="16850"/>
          <w:pgMar w:header="0" w:footer="688" w:top="1220" w:bottom="880" w:left="992" w:right="850"/>
        </w:sectPr>
      </w:pPr>
    </w:p>
    <w:p>
      <w:pPr>
        <w:spacing w:line="240" w:lineRule="auto"/>
        <w:ind w:left="230" w:right="0" w:firstLine="0"/>
        <w:rPr>
          <w:sz w:val="20"/>
        </w:rPr>
      </w:pPr>
      <w:r>
        <w:rPr>
          <w:sz w:val="20"/>
        </w:rPr>
        <w:drawing>
          <wp:inline distT="0" distB="0" distL="0" distR="0">
            <wp:extent cx="5726882" cy="2265997"/>
            <wp:effectExtent l="0" t="0" r="0" b="0"/>
            <wp:docPr id="186" name="Image 186"/>
            <wp:cNvGraphicFramePr>
              <a:graphicFrameLocks/>
            </wp:cNvGraphicFramePr>
            <a:graphic>
              <a:graphicData uri="http://schemas.openxmlformats.org/drawingml/2006/picture">
                <pic:pic>
                  <pic:nvPicPr>
                    <pic:cNvPr id="186" name="Image 186"/>
                    <pic:cNvPicPr/>
                  </pic:nvPicPr>
                  <pic:blipFill>
                    <a:blip r:embed="rId103" cstate="print"/>
                    <a:stretch>
                      <a:fillRect/>
                    </a:stretch>
                  </pic:blipFill>
                  <pic:spPr>
                    <a:xfrm>
                      <a:off x="0" y="0"/>
                      <a:ext cx="5726882" cy="2265997"/>
                    </a:xfrm>
                    <a:prstGeom prst="rect">
                      <a:avLst/>
                    </a:prstGeom>
                  </pic:spPr>
                </pic:pic>
              </a:graphicData>
            </a:graphic>
          </wp:inline>
        </w:drawing>
      </w:r>
      <w:r>
        <w:rPr>
          <w:sz w:val="20"/>
        </w:rPr>
      </w:r>
    </w:p>
    <w:p>
      <w:pPr>
        <w:pStyle w:val="BodyText"/>
      </w:pPr>
    </w:p>
    <w:p>
      <w:pPr>
        <w:pStyle w:val="BodyText"/>
        <w:spacing w:before="57"/>
      </w:pPr>
    </w:p>
    <w:p>
      <w:pPr>
        <w:pStyle w:val="Heading5"/>
        <w:ind w:left="140"/>
      </w:pPr>
      <w:r>
        <w:rPr>
          <w:color w:val="1F1546"/>
        </w:rPr>
        <w:t>Figure</w:t>
      </w:r>
      <w:r>
        <w:rPr>
          <w:color w:val="1F1546"/>
          <w:spacing w:val="-4"/>
        </w:rPr>
        <w:t> </w:t>
      </w:r>
      <w:r>
        <w:rPr>
          <w:color w:val="1F1546"/>
        </w:rPr>
        <w:t>A1</w:t>
      </w:r>
      <w:r>
        <w:rPr>
          <w:color w:val="1F1546"/>
          <w:spacing w:val="-3"/>
        </w:rPr>
        <w:t> </w:t>
      </w:r>
      <w:r>
        <w:rPr>
          <w:color w:val="1F1546"/>
        </w:rPr>
        <w:t>continued.</w:t>
      </w:r>
      <w:r>
        <w:rPr>
          <w:color w:val="1F1546"/>
          <w:spacing w:val="-5"/>
        </w:rPr>
        <w:t> </w:t>
      </w:r>
      <w:r>
        <w:rPr>
          <w:color w:val="1F1546"/>
        </w:rPr>
        <w:t>The</w:t>
      </w:r>
      <w:r>
        <w:rPr>
          <w:color w:val="1F1546"/>
          <w:spacing w:val="-3"/>
        </w:rPr>
        <w:t> </w:t>
      </w:r>
      <w:r>
        <w:rPr>
          <w:color w:val="1F1546"/>
        </w:rPr>
        <w:t>average</w:t>
      </w:r>
      <w:r>
        <w:rPr>
          <w:color w:val="1F1546"/>
          <w:spacing w:val="-5"/>
        </w:rPr>
        <w:t> </w:t>
      </w:r>
      <w:r>
        <w:rPr>
          <w:color w:val="1F1546"/>
        </w:rPr>
        <w:t>naïve</w:t>
      </w:r>
      <w:r>
        <w:rPr>
          <w:color w:val="1F1546"/>
          <w:spacing w:val="-3"/>
        </w:rPr>
        <w:t> </w:t>
      </w:r>
      <w:r>
        <w:rPr>
          <w:color w:val="1F1546"/>
        </w:rPr>
        <w:t>occupancy</w:t>
      </w:r>
      <w:r>
        <w:rPr>
          <w:color w:val="1F1546"/>
          <w:spacing w:val="-3"/>
        </w:rPr>
        <w:t> </w:t>
      </w:r>
      <w:r>
        <w:rPr>
          <w:color w:val="1F1546"/>
        </w:rPr>
        <w:t>(percentage</w:t>
      </w:r>
      <w:r>
        <w:rPr>
          <w:color w:val="1F1546"/>
          <w:spacing w:val="-5"/>
        </w:rPr>
        <w:t> </w:t>
      </w:r>
      <w:r>
        <w:rPr>
          <w:color w:val="1F1546"/>
        </w:rPr>
        <w:t>of</w:t>
      </w:r>
      <w:r>
        <w:rPr>
          <w:color w:val="1F1546"/>
          <w:spacing w:val="-4"/>
        </w:rPr>
        <w:t> </w:t>
      </w:r>
      <w:r>
        <w:rPr>
          <w:color w:val="1F1546"/>
        </w:rPr>
        <w:t>sites</w:t>
      </w:r>
      <w:r>
        <w:rPr>
          <w:color w:val="1F1546"/>
          <w:spacing w:val="-3"/>
        </w:rPr>
        <w:t> </w:t>
      </w:r>
      <w:r>
        <w:rPr>
          <w:color w:val="1F1546"/>
        </w:rPr>
        <w:t>occupied)</w:t>
      </w:r>
      <w:r>
        <w:rPr>
          <w:color w:val="1F1546"/>
          <w:spacing w:val="-4"/>
        </w:rPr>
        <w:t> </w:t>
      </w:r>
      <w:r>
        <w:rPr>
          <w:color w:val="1F1546"/>
        </w:rPr>
        <w:t>of</w:t>
      </w:r>
      <w:r>
        <w:rPr>
          <w:color w:val="1F1546"/>
          <w:spacing w:val="-3"/>
        </w:rPr>
        <w:t> </w:t>
      </w:r>
      <w:r>
        <w:rPr>
          <w:color w:val="1F1546"/>
        </w:rPr>
        <w:t>native</w:t>
      </w:r>
      <w:r>
        <w:rPr>
          <w:color w:val="1F1546"/>
          <w:spacing w:val="-6"/>
        </w:rPr>
        <w:t> </w:t>
      </w:r>
      <w:r>
        <w:rPr>
          <w:color w:val="1F1546"/>
        </w:rPr>
        <w:t>and introduced species at Glenelg Ark FCMLs' and 'NFCMLs' from 2013 to 2023.</w:t>
      </w:r>
    </w:p>
    <w:p>
      <w:pPr>
        <w:spacing w:before="120"/>
        <w:ind w:left="140" w:right="0" w:firstLine="0"/>
        <w:jc w:val="left"/>
        <w:rPr>
          <w:sz w:val="18"/>
        </w:rPr>
      </w:pPr>
      <w:r>
        <w:rPr>
          <w:sz w:val="18"/>
        </w:rPr>
        <w:t>Red</w:t>
      </w:r>
      <w:r>
        <w:rPr>
          <w:spacing w:val="-4"/>
          <w:sz w:val="18"/>
        </w:rPr>
        <w:t> </w:t>
      </w:r>
      <w:r>
        <w:rPr>
          <w:sz w:val="18"/>
        </w:rPr>
        <w:t>solid</w:t>
      </w:r>
      <w:r>
        <w:rPr>
          <w:spacing w:val="-6"/>
          <w:sz w:val="18"/>
        </w:rPr>
        <w:t> </w:t>
      </w:r>
      <w:r>
        <w:rPr>
          <w:sz w:val="18"/>
        </w:rPr>
        <w:t>lines:</w:t>
      </w:r>
      <w:r>
        <w:rPr>
          <w:spacing w:val="-5"/>
          <w:sz w:val="18"/>
        </w:rPr>
        <w:t> </w:t>
      </w:r>
      <w:r>
        <w:rPr>
          <w:sz w:val="18"/>
        </w:rPr>
        <w:t>treated</w:t>
      </w:r>
      <w:r>
        <w:rPr>
          <w:spacing w:val="-6"/>
          <w:sz w:val="18"/>
        </w:rPr>
        <w:t> </w:t>
      </w:r>
      <w:r>
        <w:rPr>
          <w:sz w:val="18"/>
        </w:rPr>
        <w:t>locations;</w:t>
      </w:r>
      <w:r>
        <w:rPr>
          <w:spacing w:val="-3"/>
          <w:sz w:val="18"/>
        </w:rPr>
        <w:t> </w:t>
      </w:r>
      <w:r>
        <w:rPr>
          <w:sz w:val="18"/>
        </w:rPr>
        <w:t>aqua</w:t>
      </w:r>
      <w:r>
        <w:rPr>
          <w:spacing w:val="-5"/>
          <w:sz w:val="18"/>
        </w:rPr>
        <w:t> </w:t>
      </w:r>
      <w:r>
        <w:rPr>
          <w:sz w:val="18"/>
        </w:rPr>
        <w:t>dashed</w:t>
      </w:r>
      <w:r>
        <w:rPr>
          <w:spacing w:val="-6"/>
          <w:sz w:val="18"/>
        </w:rPr>
        <w:t> </w:t>
      </w:r>
      <w:r>
        <w:rPr>
          <w:sz w:val="18"/>
        </w:rPr>
        <w:t>lines:</w:t>
      </w:r>
      <w:r>
        <w:rPr>
          <w:spacing w:val="-5"/>
          <w:sz w:val="18"/>
        </w:rPr>
        <w:t> </w:t>
      </w:r>
      <w:r>
        <w:rPr>
          <w:sz w:val="18"/>
        </w:rPr>
        <w:t>untreated</w:t>
      </w:r>
      <w:r>
        <w:rPr>
          <w:spacing w:val="-3"/>
          <w:sz w:val="18"/>
        </w:rPr>
        <w:t> </w:t>
      </w:r>
      <w:r>
        <w:rPr>
          <w:spacing w:val="-2"/>
          <w:sz w:val="18"/>
        </w:rPr>
        <w:t>locations.</w:t>
      </w:r>
    </w:p>
    <w:p>
      <w:pPr>
        <w:spacing w:after="0"/>
        <w:jc w:val="left"/>
        <w:rPr>
          <w:sz w:val="18"/>
        </w:rPr>
        <w:sectPr>
          <w:footerReference w:type="default" r:id="rId102"/>
          <w:pgSz w:w="11910" w:h="16850"/>
          <w:pgMar w:header="0" w:footer="688" w:top="1220" w:bottom="880" w:left="992" w:right="850"/>
        </w:sectPr>
      </w:pPr>
    </w:p>
    <w:p>
      <w:pPr>
        <w:pStyle w:val="BodyText"/>
        <w:rPr>
          <w:sz w:val="32"/>
        </w:rPr>
      </w:pPr>
      <w:r>
        <w:rPr>
          <w:sz w:val="32"/>
        </w:rPr>
        <mc:AlternateContent>
          <mc:Choice Requires="wps">
            <w:drawing>
              <wp:anchor distT="0" distB="0" distL="0" distR="0" allowOverlap="1" layoutInCell="1" locked="0" behindDoc="1" simplePos="0" relativeHeight="485932032">
                <wp:simplePos x="0" y="0"/>
                <wp:positionH relativeFrom="page">
                  <wp:posOffset>484505</wp:posOffset>
                </wp:positionH>
                <wp:positionV relativeFrom="page">
                  <wp:posOffset>358139</wp:posOffset>
                </wp:positionV>
                <wp:extent cx="6839584" cy="9971405"/>
                <wp:effectExtent l="0" t="0" r="0" b="0"/>
                <wp:wrapNone/>
                <wp:docPr id="187" name="Graphic 187"/>
                <wp:cNvGraphicFramePr>
                  <a:graphicFrameLocks/>
                </wp:cNvGraphicFramePr>
                <a:graphic>
                  <a:graphicData uri="http://schemas.microsoft.com/office/word/2010/wordprocessingShape">
                    <wps:wsp>
                      <wps:cNvPr id="187" name="Graphic 187"/>
                      <wps:cNvSpPr/>
                      <wps:spPr>
                        <a:xfrm>
                          <a:off x="0" y="0"/>
                          <a:ext cx="6839584" cy="9971405"/>
                        </a:xfrm>
                        <a:custGeom>
                          <a:avLst/>
                          <a:gdLst/>
                          <a:ahLst/>
                          <a:cxnLst/>
                          <a:rect l="l" t="t" r="r" b="b"/>
                          <a:pathLst>
                            <a:path w="6839584" h="9971405">
                              <a:moveTo>
                                <a:pt x="6839584" y="0"/>
                              </a:moveTo>
                              <a:lnTo>
                                <a:pt x="0" y="0"/>
                              </a:lnTo>
                              <a:lnTo>
                                <a:pt x="0" y="9971405"/>
                              </a:lnTo>
                              <a:lnTo>
                                <a:pt x="6839584" y="9971405"/>
                              </a:lnTo>
                              <a:lnTo>
                                <a:pt x="6839584" y="0"/>
                              </a:lnTo>
                              <a:close/>
                            </a:path>
                          </a:pathLst>
                        </a:custGeom>
                        <a:solidFill>
                          <a:srgbClr val="1F1546"/>
                        </a:solidFill>
                      </wps:spPr>
                      <wps:bodyPr wrap="square" lIns="0" tIns="0" rIns="0" bIns="0" rtlCol="0">
                        <a:prstTxWarp prst="textNoShape">
                          <a:avLst/>
                        </a:prstTxWarp>
                        <a:noAutofit/>
                      </wps:bodyPr>
                    </wps:wsp>
                  </a:graphicData>
                </a:graphic>
              </wp:anchor>
            </w:drawing>
          </mc:Choice>
          <mc:Fallback>
            <w:pict>
              <v:rect style="position:absolute;margin-left:38.150002pt;margin-top:28.199978pt;width:538.550pt;height:785.15pt;mso-position-horizontal-relative:page;mso-position-vertical-relative:page;z-index:-17384448" id="docshape159" filled="true" fillcolor="#1f1546" stroked="false">
                <v:fill type="solid"/>
                <w10:wrap type="none"/>
              </v:rect>
            </w:pict>
          </mc:Fallback>
        </mc:AlternateConten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6"/>
        <w:rPr>
          <w:sz w:val="32"/>
        </w:rPr>
      </w:pPr>
    </w:p>
    <w:p>
      <w:pPr>
        <w:spacing w:line="398" w:lineRule="auto" w:before="0"/>
        <w:ind w:left="292" w:right="3634" w:firstLine="0"/>
        <w:jc w:val="left"/>
        <w:rPr>
          <w:b/>
          <w:sz w:val="32"/>
        </w:rPr>
      </w:pPr>
      <w:hyperlink r:id="rId105">
        <w:r>
          <w:rPr>
            <w:b/>
            <w:color w:val="0000FF"/>
            <w:spacing w:val="-4"/>
            <w:sz w:val="32"/>
            <w:u w:val="single" w:color="0000FF"/>
          </w:rPr>
          <w:t>www.decca.vic.gov.au</w:t>
        </w:r>
      </w:hyperlink>
      <w:r>
        <w:rPr>
          <w:b/>
          <w:color w:val="0000FF"/>
          <w:spacing w:val="-4"/>
          <w:sz w:val="32"/>
          <w:u w:val="none"/>
        </w:rPr>
        <w:t> </w:t>
      </w:r>
      <w:hyperlink r:id="rId17">
        <w:r>
          <w:rPr>
            <w:b/>
            <w:color w:val="FFFFFF"/>
            <w:spacing w:val="-2"/>
            <w:sz w:val="32"/>
            <w:u w:val="none"/>
          </w:rPr>
          <w:t>www.ari.vic.gov.au</w:t>
        </w:r>
      </w:hyperlink>
    </w:p>
    <w:sectPr>
      <w:footerReference w:type="default" r:id="rId104"/>
      <w:pgSz w:w="11910" w:h="16850"/>
      <w:pgMar w:header="0" w:footer="0" w:top="1940" w:bottom="280" w:left="992"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Math">
    <w:altName w:val="Cambria Math"/>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19232">
              <wp:simplePos x="0" y="0"/>
              <wp:positionH relativeFrom="page">
                <wp:posOffset>3493134</wp:posOffset>
              </wp:positionH>
              <wp:positionV relativeFrom="page">
                <wp:posOffset>10373055</wp:posOffset>
              </wp:positionV>
              <wp:extent cx="575945" cy="17780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776001pt;width:45.35pt;height:14pt;mso-position-horizontal-relative:page;mso-position-vertical-relative:page;z-index:-17397248" type="#_x0000_t202" id="docshape24"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32544">
              <wp:simplePos x="0" y="0"/>
              <wp:positionH relativeFrom="page">
                <wp:posOffset>706627</wp:posOffset>
              </wp:positionH>
              <wp:positionV relativeFrom="page">
                <wp:posOffset>10117487</wp:posOffset>
              </wp:positionV>
              <wp:extent cx="89535" cy="153670"/>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89535" cy="153670"/>
                      </a:xfrm>
                      <a:prstGeom prst="rect">
                        <a:avLst/>
                      </a:prstGeom>
                    </wps:spPr>
                    <wps:txbx>
                      <w:txbxContent>
                        <w:p>
                          <w:pPr>
                            <w:spacing w:before="14"/>
                            <w:ind w:left="20" w:right="0" w:firstLine="0"/>
                            <w:jc w:val="left"/>
                            <w:rPr>
                              <w:sz w:val="18"/>
                            </w:rPr>
                          </w:pPr>
                          <w:r>
                            <w:rPr>
                              <w:spacing w:val="-10"/>
                              <w:sz w:val="18"/>
                            </w:rPr>
                            <w:t>6</w:t>
                          </w:r>
                        </w:p>
                      </w:txbxContent>
                    </wps:txbx>
                    <wps:bodyPr wrap="square" lIns="0" tIns="0" rIns="0" bIns="0" rtlCol="0">
                      <a:noAutofit/>
                    </wps:bodyPr>
                  </wps:wsp>
                </a:graphicData>
              </a:graphic>
            </wp:anchor>
          </w:drawing>
        </mc:Choice>
        <mc:Fallback>
          <w:pict>
            <v:shape style="position:absolute;margin-left:55.639999pt;margin-top:796.652527pt;width:7.05pt;height:12.1pt;mso-position-horizontal-relative:page;mso-position-vertical-relative:page;z-index:-17383936" type="#_x0000_t202" id="docshape55" filled="false" stroked="false">
              <v:textbox inset="0,0,0,0">
                <w:txbxContent>
                  <w:p>
                    <w:pPr>
                      <w:spacing w:before="14"/>
                      <w:ind w:left="20" w:right="0" w:firstLine="0"/>
                      <w:jc w:val="left"/>
                      <w:rPr>
                        <w:sz w:val="18"/>
                      </w:rPr>
                    </w:pPr>
                    <w:r>
                      <w:rPr>
                        <w:spacing w:val="-10"/>
                        <w:sz w:val="18"/>
                      </w:rPr>
                      <w:t>6</w:t>
                    </w:r>
                  </w:p>
                </w:txbxContent>
              </v:textbox>
              <w10:wrap type="none"/>
            </v:shape>
          </w:pict>
        </mc:Fallback>
      </mc:AlternateContent>
    </w:r>
    <w:r>
      <w:rPr/>
      <mc:AlternateContent>
        <mc:Choice Requires="wps">
          <w:drawing>
            <wp:anchor distT="0" distB="0" distL="0" distR="0" allowOverlap="1" layoutInCell="1" locked="0" behindDoc="1" simplePos="0" relativeHeight="485933056">
              <wp:simplePos x="0" y="0"/>
              <wp:positionH relativeFrom="page">
                <wp:posOffset>5569077</wp:posOffset>
              </wp:positionH>
              <wp:positionV relativeFrom="page">
                <wp:posOffset>10117487</wp:posOffset>
              </wp:positionV>
              <wp:extent cx="1228090" cy="153670"/>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1228090"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438.51001pt;margin-top:796.652527pt;width:96.7pt;height:12.1pt;mso-position-horizontal-relative:page;mso-position-vertical-relative:page;z-index:-17383424" type="#_x0000_t202" id="docshape56"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33568">
              <wp:simplePos x="0" y="0"/>
              <wp:positionH relativeFrom="page">
                <wp:posOffset>3493134</wp:posOffset>
              </wp:positionH>
              <wp:positionV relativeFrom="page">
                <wp:posOffset>10374883</wp:posOffset>
              </wp:positionV>
              <wp:extent cx="575945" cy="177800"/>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82912" type="#_x0000_t202" id="docshape57"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34080">
              <wp:simplePos x="0" y="0"/>
              <wp:positionH relativeFrom="page">
                <wp:posOffset>706627</wp:posOffset>
              </wp:positionH>
              <wp:positionV relativeFrom="page">
                <wp:posOffset>10117487</wp:posOffset>
              </wp:positionV>
              <wp:extent cx="1227455" cy="153670"/>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1227455"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55.639999pt;margin-top:796.652527pt;width:96.65pt;height:12.1pt;mso-position-horizontal-relative:page;mso-position-vertical-relative:page;z-index:-17382400" type="#_x0000_t202" id="docshape58"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34592">
              <wp:simplePos x="0" y="0"/>
              <wp:positionH relativeFrom="page">
                <wp:posOffset>6558533</wp:posOffset>
              </wp:positionH>
              <wp:positionV relativeFrom="page">
                <wp:posOffset>10117487</wp:posOffset>
              </wp:positionV>
              <wp:extent cx="89535" cy="153670"/>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89535" cy="153670"/>
                      </a:xfrm>
                      <a:prstGeom prst="rect">
                        <a:avLst/>
                      </a:prstGeom>
                    </wps:spPr>
                    <wps:txbx>
                      <w:txbxContent>
                        <w:p>
                          <w:pPr>
                            <w:spacing w:before="14"/>
                            <w:ind w:left="20" w:right="0" w:firstLine="0"/>
                            <w:jc w:val="left"/>
                            <w:rPr>
                              <w:sz w:val="18"/>
                            </w:rPr>
                          </w:pPr>
                          <w:r>
                            <w:rPr>
                              <w:spacing w:val="-10"/>
                              <w:sz w:val="18"/>
                            </w:rPr>
                            <w:t>7</w:t>
                          </w:r>
                        </w:p>
                      </w:txbxContent>
                    </wps:txbx>
                    <wps:bodyPr wrap="square" lIns="0" tIns="0" rIns="0" bIns="0" rtlCol="0">
                      <a:noAutofit/>
                    </wps:bodyPr>
                  </wps:wsp>
                </a:graphicData>
              </a:graphic>
            </wp:anchor>
          </w:drawing>
        </mc:Choice>
        <mc:Fallback>
          <w:pict>
            <v:shape style="position:absolute;margin-left:516.419983pt;margin-top:796.652527pt;width:7.05pt;height:12.1pt;mso-position-horizontal-relative:page;mso-position-vertical-relative:page;z-index:-17381888" type="#_x0000_t202" id="docshape59" filled="false" stroked="false">
              <v:textbox inset="0,0,0,0">
                <w:txbxContent>
                  <w:p>
                    <w:pPr>
                      <w:spacing w:before="14"/>
                      <w:ind w:left="20" w:right="0" w:firstLine="0"/>
                      <w:jc w:val="left"/>
                      <w:rPr>
                        <w:sz w:val="18"/>
                      </w:rPr>
                    </w:pPr>
                    <w:r>
                      <w:rPr>
                        <w:spacing w:val="-10"/>
                        <w:sz w:val="18"/>
                      </w:rPr>
                      <w:t>7</w:t>
                    </w:r>
                  </w:p>
                </w:txbxContent>
              </v:textbox>
              <w10:wrap type="none"/>
            </v:shape>
          </w:pict>
        </mc:Fallback>
      </mc:AlternateContent>
    </w:r>
    <w:r>
      <w:rPr/>
      <mc:AlternateContent>
        <mc:Choice Requires="wps">
          <w:drawing>
            <wp:anchor distT="0" distB="0" distL="0" distR="0" allowOverlap="1" layoutInCell="1" locked="0" behindDoc="1" simplePos="0" relativeHeight="485935104">
              <wp:simplePos x="0" y="0"/>
              <wp:positionH relativeFrom="page">
                <wp:posOffset>3493134</wp:posOffset>
              </wp:positionH>
              <wp:positionV relativeFrom="page">
                <wp:posOffset>10374883</wp:posOffset>
              </wp:positionV>
              <wp:extent cx="575945" cy="177800"/>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81376" type="#_x0000_t202" id="docshape60"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35616">
              <wp:simplePos x="0" y="0"/>
              <wp:positionH relativeFrom="page">
                <wp:posOffset>706627</wp:posOffset>
              </wp:positionH>
              <wp:positionV relativeFrom="page">
                <wp:posOffset>10117487</wp:posOffset>
              </wp:positionV>
              <wp:extent cx="89535" cy="153670"/>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89535" cy="153670"/>
                      </a:xfrm>
                      <a:prstGeom prst="rect">
                        <a:avLst/>
                      </a:prstGeom>
                    </wps:spPr>
                    <wps:txbx>
                      <w:txbxContent>
                        <w:p>
                          <w:pPr>
                            <w:spacing w:before="14"/>
                            <w:ind w:left="20" w:right="0" w:firstLine="0"/>
                            <w:jc w:val="left"/>
                            <w:rPr>
                              <w:sz w:val="18"/>
                            </w:rPr>
                          </w:pPr>
                          <w:r>
                            <w:rPr>
                              <w:spacing w:val="-10"/>
                              <w:sz w:val="18"/>
                            </w:rPr>
                            <w:t>8</w:t>
                          </w:r>
                        </w:p>
                      </w:txbxContent>
                    </wps:txbx>
                    <wps:bodyPr wrap="square" lIns="0" tIns="0" rIns="0" bIns="0" rtlCol="0">
                      <a:noAutofit/>
                    </wps:bodyPr>
                  </wps:wsp>
                </a:graphicData>
              </a:graphic>
            </wp:anchor>
          </w:drawing>
        </mc:Choice>
        <mc:Fallback>
          <w:pict>
            <v:shape style="position:absolute;margin-left:55.639999pt;margin-top:796.652527pt;width:7.05pt;height:12.1pt;mso-position-horizontal-relative:page;mso-position-vertical-relative:page;z-index:-17380864" type="#_x0000_t202" id="docshape61" filled="false" stroked="false">
              <v:textbox inset="0,0,0,0">
                <w:txbxContent>
                  <w:p>
                    <w:pPr>
                      <w:spacing w:before="14"/>
                      <w:ind w:left="20" w:right="0" w:firstLine="0"/>
                      <w:jc w:val="left"/>
                      <w:rPr>
                        <w:sz w:val="18"/>
                      </w:rPr>
                    </w:pPr>
                    <w:r>
                      <w:rPr>
                        <w:spacing w:val="-10"/>
                        <w:sz w:val="18"/>
                      </w:rPr>
                      <w:t>8</w:t>
                    </w:r>
                  </w:p>
                </w:txbxContent>
              </v:textbox>
              <w10:wrap type="none"/>
            </v:shape>
          </w:pict>
        </mc:Fallback>
      </mc:AlternateContent>
    </w:r>
    <w:r>
      <w:rPr/>
      <mc:AlternateContent>
        <mc:Choice Requires="wps">
          <w:drawing>
            <wp:anchor distT="0" distB="0" distL="0" distR="0" allowOverlap="1" layoutInCell="1" locked="0" behindDoc="1" simplePos="0" relativeHeight="485936128">
              <wp:simplePos x="0" y="0"/>
              <wp:positionH relativeFrom="page">
                <wp:posOffset>5569077</wp:posOffset>
              </wp:positionH>
              <wp:positionV relativeFrom="page">
                <wp:posOffset>10117487</wp:posOffset>
              </wp:positionV>
              <wp:extent cx="1228090" cy="153670"/>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1228090"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438.51001pt;margin-top:796.652527pt;width:96.7pt;height:12.1pt;mso-position-horizontal-relative:page;mso-position-vertical-relative:page;z-index:-17380352" type="#_x0000_t202" id="docshape62"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36640">
              <wp:simplePos x="0" y="0"/>
              <wp:positionH relativeFrom="page">
                <wp:posOffset>3493134</wp:posOffset>
              </wp:positionH>
              <wp:positionV relativeFrom="page">
                <wp:posOffset>10374883</wp:posOffset>
              </wp:positionV>
              <wp:extent cx="575945" cy="177800"/>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79840" type="#_x0000_t202" id="docshape63"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37152">
              <wp:simplePos x="0" y="0"/>
              <wp:positionH relativeFrom="page">
                <wp:posOffset>706627</wp:posOffset>
              </wp:positionH>
              <wp:positionV relativeFrom="page">
                <wp:posOffset>10117487</wp:posOffset>
              </wp:positionV>
              <wp:extent cx="1227455" cy="153670"/>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1227455"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55.639999pt;margin-top:796.652527pt;width:96.65pt;height:12.1pt;mso-position-horizontal-relative:page;mso-position-vertical-relative:page;z-index:-17379328" type="#_x0000_t202" id="docshape65"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37664">
              <wp:simplePos x="0" y="0"/>
              <wp:positionH relativeFrom="page">
                <wp:posOffset>6558533</wp:posOffset>
              </wp:positionH>
              <wp:positionV relativeFrom="page">
                <wp:posOffset>10117487</wp:posOffset>
              </wp:positionV>
              <wp:extent cx="89535" cy="153670"/>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89535" cy="153670"/>
                      </a:xfrm>
                      <a:prstGeom prst="rect">
                        <a:avLst/>
                      </a:prstGeom>
                    </wps:spPr>
                    <wps:txbx>
                      <w:txbxContent>
                        <w:p>
                          <w:pPr>
                            <w:spacing w:before="14"/>
                            <w:ind w:left="20" w:right="0" w:firstLine="0"/>
                            <w:jc w:val="left"/>
                            <w:rPr>
                              <w:sz w:val="18"/>
                            </w:rPr>
                          </w:pPr>
                          <w:r>
                            <w:rPr>
                              <w:spacing w:val="-10"/>
                              <w:sz w:val="18"/>
                            </w:rPr>
                            <w:t>9</w:t>
                          </w:r>
                        </w:p>
                      </w:txbxContent>
                    </wps:txbx>
                    <wps:bodyPr wrap="square" lIns="0" tIns="0" rIns="0" bIns="0" rtlCol="0">
                      <a:noAutofit/>
                    </wps:bodyPr>
                  </wps:wsp>
                </a:graphicData>
              </a:graphic>
            </wp:anchor>
          </w:drawing>
        </mc:Choice>
        <mc:Fallback>
          <w:pict>
            <v:shape style="position:absolute;margin-left:516.419983pt;margin-top:796.652527pt;width:7.05pt;height:12.1pt;mso-position-horizontal-relative:page;mso-position-vertical-relative:page;z-index:-17378816" type="#_x0000_t202" id="docshape66" filled="false" stroked="false">
              <v:textbox inset="0,0,0,0">
                <w:txbxContent>
                  <w:p>
                    <w:pPr>
                      <w:spacing w:before="14"/>
                      <w:ind w:left="20" w:right="0" w:firstLine="0"/>
                      <w:jc w:val="left"/>
                      <w:rPr>
                        <w:sz w:val="18"/>
                      </w:rPr>
                    </w:pPr>
                    <w:r>
                      <w:rPr>
                        <w:spacing w:val="-10"/>
                        <w:sz w:val="18"/>
                      </w:rPr>
                      <w:t>9</w:t>
                    </w:r>
                  </w:p>
                </w:txbxContent>
              </v:textbox>
              <w10:wrap type="none"/>
            </v:shape>
          </w:pict>
        </mc:Fallback>
      </mc:AlternateContent>
    </w:r>
    <w:r>
      <w:rPr/>
      <mc:AlternateContent>
        <mc:Choice Requires="wps">
          <w:drawing>
            <wp:anchor distT="0" distB="0" distL="0" distR="0" allowOverlap="1" layoutInCell="1" locked="0" behindDoc="1" simplePos="0" relativeHeight="485938176">
              <wp:simplePos x="0" y="0"/>
              <wp:positionH relativeFrom="page">
                <wp:posOffset>3493134</wp:posOffset>
              </wp:positionH>
              <wp:positionV relativeFrom="page">
                <wp:posOffset>10374883</wp:posOffset>
              </wp:positionV>
              <wp:extent cx="575945" cy="177800"/>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78304" type="#_x0000_t202" id="docshape67"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38688">
              <wp:simplePos x="0" y="0"/>
              <wp:positionH relativeFrom="page">
                <wp:posOffset>706627</wp:posOffset>
              </wp:positionH>
              <wp:positionV relativeFrom="page">
                <wp:posOffset>10117487</wp:posOffset>
              </wp:positionV>
              <wp:extent cx="153670" cy="153670"/>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153670" cy="153670"/>
                      </a:xfrm>
                      <a:prstGeom prst="rect">
                        <a:avLst/>
                      </a:prstGeom>
                    </wps:spPr>
                    <wps:txbx>
                      <w:txbxContent>
                        <w:p>
                          <w:pPr>
                            <w:spacing w:before="14"/>
                            <w:ind w:left="20" w:right="0" w:firstLine="0"/>
                            <w:jc w:val="left"/>
                            <w:rPr>
                              <w:sz w:val="18"/>
                            </w:rPr>
                          </w:pPr>
                          <w:r>
                            <w:rPr>
                              <w:spacing w:val="-5"/>
                              <w:sz w:val="18"/>
                            </w:rPr>
                            <w:t>10</w:t>
                          </w:r>
                        </w:p>
                      </w:txbxContent>
                    </wps:txbx>
                    <wps:bodyPr wrap="square" lIns="0" tIns="0" rIns="0" bIns="0" rtlCol="0">
                      <a:noAutofit/>
                    </wps:bodyPr>
                  </wps:wsp>
                </a:graphicData>
              </a:graphic>
            </wp:anchor>
          </w:drawing>
        </mc:Choice>
        <mc:Fallback>
          <w:pict>
            <v:shape style="position:absolute;margin-left:55.639999pt;margin-top:796.652527pt;width:12.1pt;height:12.1pt;mso-position-horizontal-relative:page;mso-position-vertical-relative:page;z-index:-17377792" type="#_x0000_t202" id="docshape68" filled="false" stroked="false">
              <v:textbox inset="0,0,0,0">
                <w:txbxContent>
                  <w:p>
                    <w:pPr>
                      <w:spacing w:before="14"/>
                      <w:ind w:left="20" w:right="0" w:firstLine="0"/>
                      <w:jc w:val="left"/>
                      <w:rPr>
                        <w:sz w:val="18"/>
                      </w:rPr>
                    </w:pPr>
                    <w:r>
                      <w:rPr>
                        <w:spacing w:val="-5"/>
                        <w:sz w:val="18"/>
                      </w:rPr>
                      <w:t>10</w:t>
                    </w:r>
                  </w:p>
                </w:txbxContent>
              </v:textbox>
              <w10:wrap type="none"/>
            </v:shape>
          </w:pict>
        </mc:Fallback>
      </mc:AlternateContent>
    </w:r>
    <w:r>
      <w:rPr/>
      <mc:AlternateContent>
        <mc:Choice Requires="wps">
          <w:drawing>
            <wp:anchor distT="0" distB="0" distL="0" distR="0" allowOverlap="1" layoutInCell="1" locked="0" behindDoc="1" simplePos="0" relativeHeight="485939200">
              <wp:simplePos x="0" y="0"/>
              <wp:positionH relativeFrom="page">
                <wp:posOffset>5569077</wp:posOffset>
              </wp:positionH>
              <wp:positionV relativeFrom="page">
                <wp:posOffset>10117487</wp:posOffset>
              </wp:positionV>
              <wp:extent cx="1228090" cy="153670"/>
              <wp:effectExtent l="0" t="0" r="0" b="0"/>
              <wp:wrapNone/>
              <wp:docPr id="80" name="Textbox 80"/>
              <wp:cNvGraphicFramePr>
                <a:graphicFrameLocks/>
              </wp:cNvGraphicFramePr>
              <a:graphic>
                <a:graphicData uri="http://schemas.microsoft.com/office/word/2010/wordprocessingShape">
                  <wps:wsp>
                    <wps:cNvPr id="80" name="Textbox 80"/>
                    <wps:cNvSpPr txBox="1"/>
                    <wps:spPr>
                      <a:xfrm>
                        <a:off x="0" y="0"/>
                        <a:ext cx="1228090"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438.51001pt;margin-top:796.652527pt;width:96.7pt;height:12.1pt;mso-position-horizontal-relative:page;mso-position-vertical-relative:page;z-index:-17377280" type="#_x0000_t202" id="docshape69"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39712">
              <wp:simplePos x="0" y="0"/>
              <wp:positionH relativeFrom="page">
                <wp:posOffset>3493134</wp:posOffset>
              </wp:positionH>
              <wp:positionV relativeFrom="page">
                <wp:posOffset>10374883</wp:posOffset>
              </wp:positionV>
              <wp:extent cx="575945" cy="177800"/>
              <wp:effectExtent l="0" t="0" r="0" b="0"/>
              <wp:wrapNone/>
              <wp:docPr id="81" name="Textbox 81"/>
              <wp:cNvGraphicFramePr>
                <a:graphicFrameLocks/>
              </wp:cNvGraphicFramePr>
              <a:graphic>
                <a:graphicData uri="http://schemas.microsoft.com/office/word/2010/wordprocessingShape">
                  <wps:wsp>
                    <wps:cNvPr id="81" name="Textbox 81"/>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76768" type="#_x0000_t202" id="docshape70"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40224">
              <wp:simplePos x="0" y="0"/>
              <wp:positionH relativeFrom="page">
                <wp:posOffset>706627</wp:posOffset>
              </wp:positionH>
              <wp:positionV relativeFrom="page">
                <wp:posOffset>10117487</wp:posOffset>
              </wp:positionV>
              <wp:extent cx="1227455" cy="153670"/>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1227455"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55.639999pt;margin-top:796.652527pt;width:96.65pt;height:12.1pt;mso-position-horizontal-relative:page;mso-position-vertical-relative:page;z-index:-17376256" type="#_x0000_t202" id="docshape71"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40736">
              <wp:simplePos x="0" y="0"/>
              <wp:positionH relativeFrom="page">
                <wp:posOffset>6558533</wp:posOffset>
              </wp:positionH>
              <wp:positionV relativeFrom="page">
                <wp:posOffset>10117487</wp:posOffset>
              </wp:positionV>
              <wp:extent cx="153670" cy="153670"/>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153670" cy="153670"/>
                      </a:xfrm>
                      <a:prstGeom prst="rect">
                        <a:avLst/>
                      </a:prstGeom>
                    </wps:spPr>
                    <wps:txbx>
                      <w:txbxContent>
                        <w:p>
                          <w:pPr>
                            <w:spacing w:before="14"/>
                            <w:ind w:left="20" w:right="0" w:firstLine="0"/>
                            <w:jc w:val="left"/>
                            <w:rPr>
                              <w:sz w:val="18"/>
                            </w:rPr>
                          </w:pPr>
                          <w:r>
                            <w:rPr>
                              <w:spacing w:val="-5"/>
                              <w:sz w:val="18"/>
                            </w:rPr>
                            <w:t>11</w:t>
                          </w:r>
                        </w:p>
                      </w:txbxContent>
                    </wps:txbx>
                    <wps:bodyPr wrap="square" lIns="0" tIns="0" rIns="0" bIns="0" rtlCol="0">
                      <a:noAutofit/>
                    </wps:bodyPr>
                  </wps:wsp>
                </a:graphicData>
              </a:graphic>
            </wp:anchor>
          </w:drawing>
        </mc:Choice>
        <mc:Fallback>
          <w:pict>
            <v:shape style="position:absolute;margin-left:516.419983pt;margin-top:796.652527pt;width:12.1pt;height:12.1pt;mso-position-horizontal-relative:page;mso-position-vertical-relative:page;z-index:-17375744" type="#_x0000_t202" id="docshape72" filled="false" stroked="false">
              <v:textbox inset="0,0,0,0">
                <w:txbxContent>
                  <w:p>
                    <w:pPr>
                      <w:spacing w:before="14"/>
                      <w:ind w:left="20" w:right="0" w:firstLine="0"/>
                      <w:jc w:val="left"/>
                      <w:rPr>
                        <w:sz w:val="18"/>
                      </w:rPr>
                    </w:pPr>
                    <w:r>
                      <w:rPr>
                        <w:spacing w:val="-5"/>
                        <w:sz w:val="18"/>
                      </w:rPr>
                      <w:t>11</w:t>
                    </w:r>
                  </w:p>
                </w:txbxContent>
              </v:textbox>
              <w10:wrap type="none"/>
            </v:shape>
          </w:pict>
        </mc:Fallback>
      </mc:AlternateContent>
    </w:r>
    <w:r>
      <w:rPr/>
      <mc:AlternateContent>
        <mc:Choice Requires="wps">
          <w:drawing>
            <wp:anchor distT="0" distB="0" distL="0" distR="0" allowOverlap="1" layoutInCell="1" locked="0" behindDoc="1" simplePos="0" relativeHeight="485941248">
              <wp:simplePos x="0" y="0"/>
              <wp:positionH relativeFrom="page">
                <wp:posOffset>3493134</wp:posOffset>
              </wp:positionH>
              <wp:positionV relativeFrom="page">
                <wp:posOffset>10374883</wp:posOffset>
              </wp:positionV>
              <wp:extent cx="575945" cy="177800"/>
              <wp:effectExtent l="0" t="0" r="0" b="0"/>
              <wp:wrapNone/>
              <wp:docPr id="86" name="Textbox 86"/>
              <wp:cNvGraphicFramePr>
                <a:graphicFrameLocks/>
              </wp:cNvGraphicFramePr>
              <a:graphic>
                <a:graphicData uri="http://schemas.microsoft.com/office/word/2010/wordprocessingShape">
                  <wps:wsp>
                    <wps:cNvPr id="86" name="Textbox 86"/>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75232" type="#_x0000_t202" id="docshape73"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41760">
              <wp:simplePos x="0" y="0"/>
              <wp:positionH relativeFrom="page">
                <wp:posOffset>706627</wp:posOffset>
              </wp:positionH>
              <wp:positionV relativeFrom="page">
                <wp:posOffset>10117487</wp:posOffset>
              </wp:positionV>
              <wp:extent cx="153670" cy="153670"/>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153670" cy="153670"/>
                      </a:xfrm>
                      <a:prstGeom prst="rect">
                        <a:avLst/>
                      </a:prstGeom>
                    </wps:spPr>
                    <wps:txbx>
                      <w:txbxContent>
                        <w:p>
                          <w:pPr>
                            <w:spacing w:before="14"/>
                            <w:ind w:left="20" w:right="0" w:firstLine="0"/>
                            <w:jc w:val="left"/>
                            <w:rPr>
                              <w:sz w:val="18"/>
                            </w:rPr>
                          </w:pPr>
                          <w:r>
                            <w:rPr>
                              <w:spacing w:val="-5"/>
                              <w:sz w:val="18"/>
                            </w:rPr>
                            <w:t>12</w:t>
                          </w:r>
                        </w:p>
                      </w:txbxContent>
                    </wps:txbx>
                    <wps:bodyPr wrap="square" lIns="0" tIns="0" rIns="0" bIns="0" rtlCol="0">
                      <a:noAutofit/>
                    </wps:bodyPr>
                  </wps:wsp>
                </a:graphicData>
              </a:graphic>
            </wp:anchor>
          </w:drawing>
        </mc:Choice>
        <mc:Fallback>
          <w:pict>
            <v:shape style="position:absolute;margin-left:55.639999pt;margin-top:796.652527pt;width:12.1pt;height:12.1pt;mso-position-horizontal-relative:page;mso-position-vertical-relative:page;z-index:-17374720" type="#_x0000_t202" id="docshape74" filled="false" stroked="false">
              <v:textbox inset="0,0,0,0">
                <w:txbxContent>
                  <w:p>
                    <w:pPr>
                      <w:spacing w:before="14"/>
                      <w:ind w:left="20" w:right="0" w:firstLine="0"/>
                      <w:jc w:val="left"/>
                      <w:rPr>
                        <w:sz w:val="18"/>
                      </w:rPr>
                    </w:pPr>
                    <w:r>
                      <w:rPr>
                        <w:spacing w:val="-5"/>
                        <w:sz w:val="18"/>
                      </w:rPr>
                      <w:t>12</w:t>
                    </w:r>
                  </w:p>
                </w:txbxContent>
              </v:textbox>
              <w10:wrap type="none"/>
            </v:shape>
          </w:pict>
        </mc:Fallback>
      </mc:AlternateContent>
    </w:r>
    <w:r>
      <w:rPr/>
      <mc:AlternateContent>
        <mc:Choice Requires="wps">
          <w:drawing>
            <wp:anchor distT="0" distB="0" distL="0" distR="0" allowOverlap="1" layoutInCell="1" locked="0" behindDoc="1" simplePos="0" relativeHeight="485942272">
              <wp:simplePos x="0" y="0"/>
              <wp:positionH relativeFrom="page">
                <wp:posOffset>5569077</wp:posOffset>
              </wp:positionH>
              <wp:positionV relativeFrom="page">
                <wp:posOffset>10117487</wp:posOffset>
              </wp:positionV>
              <wp:extent cx="1228090" cy="153670"/>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1228090"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438.51001pt;margin-top:796.652527pt;width:96.7pt;height:12.1pt;mso-position-horizontal-relative:page;mso-position-vertical-relative:page;z-index:-17374208" type="#_x0000_t202" id="docshape75"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42784">
              <wp:simplePos x="0" y="0"/>
              <wp:positionH relativeFrom="page">
                <wp:posOffset>3493134</wp:posOffset>
              </wp:positionH>
              <wp:positionV relativeFrom="page">
                <wp:posOffset>10374883</wp:posOffset>
              </wp:positionV>
              <wp:extent cx="575945" cy="177800"/>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73696" type="#_x0000_t202" id="docshape76"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43296">
              <wp:simplePos x="0" y="0"/>
              <wp:positionH relativeFrom="page">
                <wp:posOffset>706627</wp:posOffset>
              </wp:positionH>
              <wp:positionV relativeFrom="page">
                <wp:posOffset>10117487</wp:posOffset>
              </wp:positionV>
              <wp:extent cx="1227455" cy="153670"/>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1227455"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55.639999pt;margin-top:796.652527pt;width:96.65pt;height:12.1pt;mso-position-horizontal-relative:page;mso-position-vertical-relative:page;z-index:-17373184" type="#_x0000_t202" id="docshape77"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43808">
              <wp:simplePos x="0" y="0"/>
              <wp:positionH relativeFrom="page">
                <wp:posOffset>6558533</wp:posOffset>
              </wp:positionH>
              <wp:positionV relativeFrom="page">
                <wp:posOffset>10117487</wp:posOffset>
              </wp:positionV>
              <wp:extent cx="153670" cy="153670"/>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153670" cy="153670"/>
                      </a:xfrm>
                      <a:prstGeom prst="rect">
                        <a:avLst/>
                      </a:prstGeom>
                    </wps:spPr>
                    <wps:txbx>
                      <w:txbxContent>
                        <w:p>
                          <w:pPr>
                            <w:spacing w:before="14"/>
                            <w:ind w:left="20" w:right="0" w:firstLine="0"/>
                            <w:jc w:val="left"/>
                            <w:rPr>
                              <w:sz w:val="18"/>
                            </w:rPr>
                          </w:pPr>
                          <w:r>
                            <w:rPr>
                              <w:spacing w:val="-5"/>
                              <w:sz w:val="18"/>
                            </w:rPr>
                            <w:t>13</w:t>
                          </w:r>
                        </w:p>
                      </w:txbxContent>
                    </wps:txbx>
                    <wps:bodyPr wrap="square" lIns="0" tIns="0" rIns="0" bIns="0" rtlCol="0">
                      <a:noAutofit/>
                    </wps:bodyPr>
                  </wps:wsp>
                </a:graphicData>
              </a:graphic>
            </wp:anchor>
          </w:drawing>
        </mc:Choice>
        <mc:Fallback>
          <w:pict>
            <v:shape style="position:absolute;margin-left:516.419983pt;margin-top:796.652527pt;width:12.1pt;height:12.1pt;mso-position-horizontal-relative:page;mso-position-vertical-relative:page;z-index:-17372672" type="#_x0000_t202" id="docshape78" filled="false" stroked="false">
              <v:textbox inset="0,0,0,0">
                <w:txbxContent>
                  <w:p>
                    <w:pPr>
                      <w:spacing w:before="14"/>
                      <w:ind w:left="20" w:right="0" w:firstLine="0"/>
                      <w:jc w:val="left"/>
                      <w:rPr>
                        <w:sz w:val="18"/>
                      </w:rPr>
                    </w:pPr>
                    <w:r>
                      <w:rPr>
                        <w:spacing w:val="-5"/>
                        <w:sz w:val="18"/>
                      </w:rPr>
                      <w:t>13</w:t>
                    </w:r>
                  </w:p>
                </w:txbxContent>
              </v:textbox>
              <w10:wrap type="none"/>
            </v:shape>
          </w:pict>
        </mc:Fallback>
      </mc:AlternateContent>
    </w:r>
    <w:r>
      <w:rPr/>
      <mc:AlternateContent>
        <mc:Choice Requires="wps">
          <w:drawing>
            <wp:anchor distT="0" distB="0" distL="0" distR="0" allowOverlap="1" layoutInCell="1" locked="0" behindDoc="1" simplePos="0" relativeHeight="485944320">
              <wp:simplePos x="0" y="0"/>
              <wp:positionH relativeFrom="page">
                <wp:posOffset>3493134</wp:posOffset>
              </wp:positionH>
              <wp:positionV relativeFrom="page">
                <wp:posOffset>10374883</wp:posOffset>
              </wp:positionV>
              <wp:extent cx="575945" cy="177800"/>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72160" type="#_x0000_t202" id="docshape79"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44832">
              <wp:simplePos x="0" y="0"/>
              <wp:positionH relativeFrom="page">
                <wp:posOffset>706627</wp:posOffset>
              </wp:positionH>
              <wp:positionV relativeFrom="page">
                <wp:posOffset>10117487</wp:posOffset>
              </wp:positionV>
              <wp:extent cx="153670" cy="153670"/>
              <wp:effectExtent l="0" t="0" r="0" b="0"/>
              <wp:wrapNone/>
              <wp:docPr id="97" name="Textbox 97"/>
              <wp:cNvGraphicFramePr>
                <a:graphicFrameLocks/>
              </wp:cNvGraphicFramePr>
              <a:graphic>
                <a:graphicData uri="http://schemas.microsoft.com/office/word/2010/wordprocessingShape">
                  <wps:wsp>
                    <wps:cNvPr id="97" name="Textbox 97"/>
                    <wps:cNvSpPr txBox="1"/>
                    <wps:spPr>
                      <a:xfrm>
                        <a:off x="0" y="0"/>
                        <a:ext cx="153670" cy="153670"/>
                      </a:xfrm>
                      <a:prstGeom prst="rect">
                        <a:avLst/>
                      </a:prstGeom>
                    </wps:spPr>
                    <wps:txbx>
                      <w:txbxContent>
                        <w:p>
                          <w:pPr>
                            <w:spacing w:before="14"/>
                            <w:ind w:left="20" w:right="0" w:firstLine="0"/>
                            <w:jc w:val="left"/>
                            <w:rPr>
                              <w:sz w:val="18"/>
                            </w:rPr>
                          </w:pPr>
                          <w:r>
                            <w:rPr>
                              <w:spacing w:val="-5"/>
                              <w:sz w:val="18"/>
                            </w:rPr>
                            <w:t>14</w:t>
                          </w:r>
                        </w:p>
                      </w:txbxContent>
                    </wps:txbx>
                    <wps:bodyPr wrap="square" lIns="0" tIns="0" rIns="0" bIns="0" rtlCol="0">
                      <a:noAutofit/>
                    </wps:bodyPr>
                  </wps:wsp>
                </a:graphicData>
              </a:graphic>
            </wp:anchor>
          </w:drawing>
        </mc:Choice>
        <mc:Fallback>
          <w:pict>
            <v:shape style="position:absolute;margin-left:55.639999pt;margin-top:796.652527pt;width:12.1pt;height:12.1pt;mso-position-horizontal-relative:page;mso-position-vertical-relative:page;z-index:-17371648" type="#_x0000_t202" id="docshape80" filled="false" stroked="false">
              <v:textbox inset="0,0,0,0">
                <w:txbxContent>
                  <w:p>
                    <w:pPr>
                      <w:spacing w:before="14"/>
                      <w:ind w:left="20" w:right="0" w:firstLine="0"/>
                      <w:jc w:val="left"/>
                      <w:rPr>
                        <w:sz w:val="18"/>
                      </w:rPr>
                    </w:pPr>
                    <w:r>
                      <w:rPr>
                        <w:spacing w:val="-5"/>
                        <w:sz w:val="18"/>
                      </w:rPr>
                      <w:t>14</w:t>
                    </w:r>
                  </w:p>
                </w:txbxContent>
              </v:textbox>
              <w10:wrap type="none"/>
            </v:shape>
          </w:pict>
        </mc:Fallback>
      </mc:AlternateContent>
    </w:r>
    <w:r>
      <w:rPr/>
      <mc:AlternateContent>
        <mc:Choice Requires="wps">
          <w:drawing>
            <wp:anchor distT="0" distB="0" distL="0" distR="0" allowOverlap="1" layoutInCell="1" locked="0" behindDoc="1" simplePos="0" relativeHeight="485945344">
              <wp:simplePos x="0" y="0"/>
              <wp:positionH relativeFrom="page">
                <wp:posOffset>5569077</wp:posOffset>
              </wp:positionH>
              <wp:positionV relativeFrom="page">
                <wp:posOffset>10117487</wp:posOffset>
              </wp:positionV>
              <wp:extent cx="1228090" cy="153670"/>
              <wp:effectExtent l="0" t="0" r="0" b="0"/>
              <wp:wrapNone/>
              <wp:docPr id="98" name="Textbox 98"/>
              <wp:cNvGraphicFramePr>
                <a:graphicFrameLocks/>
              </wp:cNvGraphicFramePr>
              <a:graphic>
                <a:graphicData uri="http://schemas.microsoft.com/office/word/2010/wordprocessingShape">
                  <wps:wsp>
                    <wps:cNvPr id="98" name="Textbox 98"/>
                    <wps:cNvSpPr txBox="1"/>
                    <wps:spPr>
                      <a:xfrm>
                        <a:off x="0" y="0"/>
                        <a:ext cx="1228090"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438.51001pt;margin-top:796.652527pt;width:96.7pt;height:12.1pt;mso-position-horizontal-relative:page;mso-position-vertical-relative:page;z-index:-17371136" type="#_x0000_t202" id="docshape81"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45856">
              <wp:simplePos x="0" y="0"/>
              <wp:positionH relativeFrom="page">
                <wp:posOffset>3493134</wp:posOffset>
              </wp:positionH>
              <wp:positionV relativeFrom="page">
                <wp:posOffset>10374883</wp:posOffset>
              </wp:positionV>
              <wp:extent cx="575945" cy="177800"/>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70624" type="#_x0000_t202" id="docshape82"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46368">
              <wp:simplePos x="0" y="0"/>
              <wp:positionH relativeFrom="page">
                <wp:posOffset>706627</wp:posOffset>
              </wp:positionH>
              <wp:positionV relativeFrom="page">
                <wp:posOffset>10117487</wp:posOffset>
              </wp:positionV>
              <wp:extent cx="1227455" cy="153670"/>
              <wp:effectExtent l="0" t="0" r="0" b="0"/>
              <wp:wrapNone/>
              <wp:docPr id="101" name="Textbox 101"/>
              <wp:cNvGraphicFramePr>
                <a:graphicFrameLocks/>
              </wp:cNvGraphicFramePr>
              <a:graphic>
                <a:graphicData uri="http://schemas.microsoft.com/office/word/2010/wordprocessingShape">
                  <wps:wsp>
                    <wps:cNvPr id="101" name="Textbox 101"/>
                    <wps:cNvSpPr txBox="1"/>
                    <wps:spPr>
                      <a:xfrm>
                        <a:off x="0" y="0"/>
                        <a:ext cx="1227455"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55.639999pt;margin-top:796.652527pt;width:96.65pt;height:12.1pt;mso-position-horizontal-relative:page;mso-position-vertical-relative:page;z-index:-17370112" type="#_x0000_t202" id="docshape83"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46880">
              <wp:simplePos x="0" y="0"/>
              <wp:positionH relativeFrom="page">
                <wp:posOffset>6558533</wp:posOffset>
              </wp:positionH>
              <wp:positionV relativeFrom="page">
                <wp:posOffset>10117487</wp:posOffset>
              </wp:positionV>
              <wp:extent cx="153670" cy="153670"/>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153670" cy="153670"/>
                      </a:xfrm>
                      <a:prstGeom prst="rect">
                        <a:avLst/>
                      </a:prstGeom>
                    </wps:spPr>
                    <wps:txbx>
                      <w:txbxContent>
                        <w:p>
                          <w:pPr>
                            <w:spacing w:before="14"/>
                            <w:ind w:left="20" w:right="0" w:firstLine="0"/>
                            <w:jc w:val="left"/>
                            <w:rPr>
                              <w:sz w:val="18"/>
                            </w:rPr>
                          </w:pPr>
                          <w:r>
                            <w:rPr>
                              <w:spacing w:val="-5"/>
                              <w:sz w:val="18"/>
                            </w:rPr>
                            <w:t>15</w:t>
                          </w:r>
                        </w:p>
                      </w:txbxContent>
                    </wps:txbx>
                    <wps:bodyPr wrap="square" lIns="0" tIns="0" rIns="0" bIns="0" rtlCol="0">
                      <a:noAutofit/>
                    </wps:bodyPr>
                  </wps:wsp>
                </a:graphicData>
              </a:graphic>
            </wp:anchor>
          </w:drawing>
        </mc:Choice>
        <mc:Fallback>
          <w:pict>
            <v:shape style="position:absolute;margin-left:516.419983pt;margin-top:796.652527pt;width:12.1pt;height:12.1pt;mso-position-horizontal-relative:page;mso-position-vertical-relative:page;z-index:-17369600" type="#_x0000_t202" id="docshape84" filled="false" stroked="false">
              <v:textbox inset="0,0,0,0">
                <w:txbxContent>
                  <w:p>
                    <w:pPr>
                      <w:spacing w:before="14"/>
                      <w:ind w:left="20" w:right="0" w:firstLine="0"/>
                      <w:jc w:val="left"/>
                      <w:rPr>
                        <w:sz w:val="18"/>
                      </w:rPr>
                    </w:pPr>
                    <w:r>
                      <w:rPr>
                        <w:spacing w:val="-5"/>
                        <w:sz w:val="18"/>
                      </w:rPr>
                      <w:t>15</w:t>
                    </w:r>
                  </w:p>
                </w:txbxContent>
              </v:textbox>
              <w10:wrap type="none"/>
            </v:shape>
          </w:pict>
        </mc:Fallback>
      </mc:AlternateContent>
    </w:r>
    <w:r>
      <w:rPr/>
      <mc:AlternateContent>
        <mc:Choice Requires="wps">
          <w:drawing>
            <wp:anchor distT="0" distB="0" distL="0" distR="0" allowOverlap="1" layoutInCell="1" locked="0" behindDoc="1" simplePos="0" relativeHeight="485947392">
              <wp:simplePos x="0" y="0"/>
              <wp:positionH relativeFrom="page">
                <wp:posOffset>3493134</wp:posOffset>
              </wp:positionH>
              <wp:positionV relativeFrom="page">
                <wp:posOffset>10374883</wp:posOffset>
              </wp:positionV>
              <wp:extent cx="575945" cy="177800"/>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69088" type="#_x0000_t202" id="docshape85"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19744">
              <wp:simplePos x="0" y="0"/>
              <wp:positionH relativeFrom="page">
                <wp:posOffset>706627</wp:posOffset>
              </wp:positionH>
              <wp:positionV relativeFrom="page">
                <wp:posOffset>10117487</wp:posOffset>
              </wp:positionV>
              <wp:extent cx="77470" cy="15367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77470" cy="153670"/>
                      </a:xfrm>
                      <a:prstGeom prst="rect">
                        <a:avLst/>
                      </a:prstGeom>
                    </wps:spPr>
                    <wps:txbx>
                      <w:txbxContent>
                        <w:p>
                          <w:pPr>
                            <w:spacing w:before="14"/>
                            <w:ind w:left="20" w:right="0" w:firstLine="0"/>
                            <w:jc w:val="left"/>
                            <w:rPr>
                              <w:sz w:val="18"/>
                            </w:rPr>
                          </w:pPr>
                          <w:r>
                            <w:rPr>
                              <w:spacing w:val="-5"/>
                              <w:sz w:val="18"/>
                            </w:rPr>
                            <w:t>ii</w:t>
                          </w:r>
                        </w:p>
                      </w:txbxContent>
                    </wps:txbx>
                    <wps:bodyPr wrap="square" lIns="0" tIns="0" rIns="0" bIns="0" rtlCol="0">
                      <a:noAutofit/>
                    </wps:bodyPr>
                  </wps:wsp>
                </a:graphicData>
              </a:graphic>
            </wp:anchor>
          </w:drawing>
        </mc:Choice>
        <mc:Fallback>
          <w:pict>
            <v:shape style="position:absolute;margin-left:55.639999pt;margin-top:796.652527pt;width:6.1pt;height:12.1pt;mso-position-horizontal-relative:page;mso-position-vertical-relative:page;z-index:-17396736" type="#_x0000_t202" id="docshape29" filled="false" stroked="false">
              <v:textbox inset="0,0,0,0">
                <w:txbxContent>
                  <w:p>
                    <w:pPr>
                      <w:spacing w:before="14"/>
                      <w:ind w:left="20" w:right="0" w:firstLine="0"/>
                      <w:jc w:val="left"/>
                      <w:rPr>
                        <w:sz w:val="18"/>
                      </w:rPr>
                    </w:pPr>
                    <w:r>
                      <w:rPr>
                        <w:spacing w:val="-5"/>
                        <w:sz w:val="18"/>
                      </w:rPr>
                      <w:t>ii</w:t>
                    </w:r>
                  </w:p>
                </w:txbxContent>
              </v:textbox>
              <w10:wrap type="none"/>
            </v:shape>
          </w:pict>
        </mc:Fallback>
      </mc:AlternateContent>
    </w:r>
    <w:r>
      <w:rPr/>
      <mc:AlternateContent>
        <mc:Choice Requires="wps">
          <w:drawing>
            <wp:anchor distT="0" distB="0" distL="0" distR="0" allowOverlap="1" layoutInCell="1" locked="0" behindDoc="1" simplePos="0" relativeHeight="485920256">
              <wp:simplePos x="0" y="0"/>
              <wp:positionH relativeFrom="page">
                <wp:posOffset>4365116</wp:posOffset>
              </wp:positionH>
              <wp:positionV relativeFrom="page">
                <wp:posOffset>10117487</wp:posOffset>
              </wp:positionV>
              <wp:extent cx="63500" cy="15367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63500" cy="153670"/>
                      </a:xfrm>
                      <a:prstGeom prst="rect">
                        <a:avLst/>
                      </a:prstGeom>
                    </wps:spPr>
                    <wps:txbx>
                      <w:txbxContent>
                        <w:p>
                          <w:pPr>
                            <w:spacing w:before="14"/>
                            <w:ind w:left="20" w:right="0" w:firstLine="0"/>
                            <w:jc w:val="left"/>
                            <w:rPr>
                              <w:sz w:val="18"/>
                            </w:rPr>
                          </w:pPr>
                          <w:r>
                            <w:rPr>
                              <w:spacing w:val="-10"/>
                              <w:sz w:val="18"/>
                            </w:rPr>
                            <w:t>`</w:t>
                          </w:r>
                        </w:p>
                      </w:txbxContent>
                    </wps:txbx>
                    <wps:bodyPr wrap="square" lIns="0" tIns="0" rIns="0" bIns="0" rtlCol="0">
                      <a:noAutofit/>
                    </wps:bodyPr>
                  </wps:wsp>
                </a:graphicData>
              </a:graphic>
            </wp:anchor>
          </w:drawing>
        </mc:Choice>
        <mc:Fallback>
          <w:pict>
            <v:shape style="position:absolute;margin-left:343.709991pt;margin-top:796.652527pt;width:5pt;height:12.1pt;mso-position-horizontal-relative:page;mso-position-vertical-relative:page;z-index:-17396224" type="#_x0000_t202" id="docshape30" filled="false" stroked="false">
              <v:textbox inset="0,0,0,0">
                <w:txbxContent>
                  <w:p>
                    <w:pPr>
                      <w:spacing w:before="14"/>
                      <w:ind w:left="20" w:right="0" w:firstLine="0"/>
                      <w:jc w:val="left"/>
                      <w:rPr>
                        <w:sz w:val="18"/>
                      </w:rPr>
                    </w:pPr>
                    <w:r>
                      <w:rPr>
                        <w:spacing w:val="-10"/>
                        <w:sz w:val="18"/>
                      </w:rPr>
                      <w:t>`</w:t>
                    </w:r>
                  </w:p>
                </w:txbxContent>
              </v:textbox>
              <w10:wrap type="none"/>
            </v:shape>
          </w:pict>
        </mc:Fallback>
      </mc:AlternateContent>
    </w:r>
    <w:r>
      <w:rPr/>
      <mc:AlternateContent>
        <mc:Choice Requires="wps">
          <w:drawing>
            <wp:anchor distT="0" distB="0" distL="0" distR="0" allowOverlap="1" layoutInCell="1" locked="0" behindDoc="1" simplePos="0" relativeHeight="485920768">
              <wp:simplePos x="0" y="0"/>
              <wp:positionH relativeFrom="page">
                <wp:posOffset>5279516</wp:posOffset>
              </wp:positionH>
              <wp:positionV relativeFrom="page">
                <wp:posOffset>10117487</wp:posOffset>
              </wp:positionV>
              <wp:extent cx="1228090" cy="153670"/>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1228090"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415.709991pt;margin-top:796.652527pt;width:96.7pt;height:12.1pt;mso-position-horizontal-relative:page;mso-position-vertical-relative:page;z-index:-17395712" type="#_x0000_t202" id="docshape31"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21280">
              <wp:simplePos x="0" y="0"/>
              <wp:positionH relativeFrom="page">
                <wp:posOffset>3595242</wp:posOffset>
              </wp:positionH>
              <wp:positionV relativeFrom="page">
                <wp:posOffset>10368788</wp:posOffset>
              </wp:positionV>
              <wp:extent cx="575945" cy="177800"/>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83.089996pt;margin-top:816.440002pt;width:45.35pt;height:14pt;mso-position-horizontal-relative:page;mso-position-vertical-relative:page;z-index:-17395200" type="#_x0000_t202" id="docshape32"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47904">
              <wp:simplePos x="0" y="0"/>
              <wp:positionH relativeFrom="page">
                <wp:posOffset>706627</wp:posOffset>
              </wp:positionH>
              <wp:positionV relativeFrom="page">
                <wp:posOffset>10117487</wp:posOffset>
              </wp:positionV>
              <wp:extent cx="153670" cy="153670"/>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153670" cy="153670"/>
                      </a:xfrm>
                      <a:prstGeom prst="rect">
                        <a:avLst/>
                      </a:prstGeom>
                    </wps:spPr>
                    <wps:txbx>
                      <w:txbxContent>
                        <w:p>
                          <w:pPr>
                            <w:spacing w:before="14"/>
                            <w:ind w:left="20" w:right="0" w:firstLine="0"/>
                            <w:jc w:val="left"/>
                            <w:rPr>
                              <w:sz w:val="18"/>
                            </w:rPr>
                          </w:pPr>
                          <w:r>
                            <w:rPr>
                              <w:spacing w:val="-5"/>
                              <w:sz w:val="18"/>
                            </w:rPr>
                            <w:t>16</w:t>
                          </w:r>
                        </w:p>
                      </w:txbxContent>
                    </wps:txbx>
                    <wps:bodyPr wrap="square" lIns="0" tIns="0" rIns="0" bIns="0" rtlCol="0">
                      <a:noAutofit/>
                    </wps:bodyPr>
                  </wps:wsp>
                </a:graphicData>
              </a:graphic>
            </wp:anchor>
          </w:drawing>
        </mc:Choice>
        <mc:Fallback>
          <w:pict>
            <v:shape style="position:absolute;margin-left:55.639999pt;margin-top:796.652527pt;width:12.1pt;height:12.1pt;mso-position-horizontal-relative:page;mso-position-vertical-relative:page;z-index:-17368576" type="#_x0000_t202" id="docshape86" filled="false" stroked="false">
              <v:textbox inset="0,0,0,0">
                <w:txbxContent>
                  <w:p>
                    <w:pPr>
                      <w:spacing w:before="14"/>
                      <w:ind w:left="20" w:right="0" w:firstLine="0"/>
                      <w:jc w:val="left"/>
                      <w:rPr>
                        <w:sz w:val="18"/>
                      </w:rPr>
                    </w:pPr>
                    <w:r>
                      <w:rPr>
                        <w:spacing w:val="-5"/>
                        <w:sz w:val="18"/>
                      </w:rPr>
                      <w:t>16</w:t>
                    </w:r>
                  </w:p>
                </w:txbxContent>
              </v:textbox>
              <w10:wrap type="none"/>
            </v:shape>
          </w:pict>
        </mc:Fallback>
      </mc:AlternateContent>
    </w:r>
    <w:r>
      <w:rPr/>
      <mc:AlternateContent>
        <mc:Choice Requires="wps">
          <w:drawing>
            <wp:anchor distT="0" distB="0" distL="0" distR="0" allowOverlap="1" layoutInCell="1" locked="0" behindDoc="1" simplePos="0" relativeHeight="485948416">
              <wp:simplePos x="0" y="0"/>
              <wp:positionH relativeFrom="page">
                <wp:posOffset>5569077</wp:posOffset>
              </wp:positionH>
              <wp:positionV relativeFrom="page">
                <wp:posOffset>10117487</wp:posOffset>
              </wp:positionV>
              <wp:extent cx="1228090" cy="153670"/>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1228090"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438.51001pt;margin-top:796.652527pt;width:96.7pt;height:12.1pt;mso-position-horizontal-relative:page;mso-position-vertical-relative:page;z-index:-17368064" type="#_x0000_t202" id="docshape87"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48928">
              <wp:simplePos x="0" y="0"/>
              <wp:positionH relativeFrom="page">
                <wp:posOffset>3493134</wp:posOffset>
              </wp:positionH>
              <wp:positionV relativeFrom="page">
                <wp:posOffset>10374883</wp:posOffset>
              </wp:positionV>
              <wp:extent cx="575945" cy="177800"/>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67552" type="#_x0000_t202" id="docshape88"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49440">
              <wp:simplePos x="0" y="0"/>
              <wp:positionH relativeFrom="page">
                <wp:posOffset>706627</wp:posOffset>
              </wp:positionH>
              <wp:positionV relativeFrom="page">
                <wp:posOffset>10117487</wp:posOffset>
              </wp:positionV>
              <wp:extent cx="1227455" cy="153670"/>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1227455"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55.639999pt;margin-top:796.652527pt;width:96.65pt;height:12.1pt;mso-position-horizontal-relative:page;mso-position-vertical-relative:page;z-index:-17367040" type="#_x0000_t202" id="docshape89"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49952">
              <wp:simplePos x="0" y="0"/>
              <wp:positionH relativeFrom="page">
                <wp:posOffset>6558533</wp:posOffset>
              </wp:positionH>
              <wp:positionV relativeFrom="page">
                <wp:posOffset>10117487</wp:posOffset>
              </wp:positionV>
              <wp:extent cx="153670" cy="153670"/>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153670" cy="153670"/>
                      </a:xfrm>
                      <a:prstGeom prst="rect">
                        <a:avLst/>
                      </a:prstGeom>
                    </wps:spPr>
                    <wps:txbx>
                      <w:txbxContent>
                        <w:p>
                          <w:pPr>
                            <w:spacing w:before="14"/>
                            <w:ind w:left="20" w:right="0" w:firstLine="0"/>
                            <w:jc w:val="left"/>
                            <w:rPr>
                              <w:sz w:val="18"/>
                            </w:rPr>
                          </w:pPr>
                          <w:r>
                            <w:rPr>
                              <w:spacing w:val="-5"/>
                              <w:sz w:val="18"/>
                            </w:rPr>
                            <w:t>17</w:t>
                          </w:r>
                        </w:p>
                      </w:txbxContent>
                    </wps:txbx>
                    <wps:bodyPr wrap="square" lIns="0" tIns="0" rIns="0" bIns="0" rtlCol="0">
                      <a:noAutofit/>
                    </wps:bodyPr>
                  </wps:wsp>
                </a:graphicData>
              </a:graphic>
            </wp:anchor>
          </w:drawing>
        </mc:Choice>
        <mc:Fallback>
          <w:pict>
            <v:shape style="position:absolute;margin-left:516.419983pt;margin-top:796.652527pt;width:12.1pt;height:12.1pt;mso-position-horizontal-relative:page;mso-position-vertical-relative:page;z-index:-17366528" type="#_x0000_t202" id="docshape90" filled="false" stroked="false">
              <v:textbox inset="0,0,0,0">
                <w:txbxContent>
                  <w:p>
                    <w:pPr>
                      <w:spacing w:before="14"/>
                      <w:ind w:left="20" w:right="0" w:firstLine="0"/>
                      <w:jc w:val="left"/>
                      <w:rPr>
                        <w:sz w:val="18"/>
                      </w:rPr>
                    </w:pPr>
                    <w:r>
                      <w:rPr>
                        <w:spacing w:val="-5"/>
                        <w:sz w:val="18"/>
                      </w:rPr>
                      <w:t>17</w:t>
                    </w:r>
                  </w:p>
                </w:txbxContent>
              </v:textbox>
              <w10:wrap type="none"/>
            </v:shape>
          </w:pict>
        </mc:Fallback>
      </mc:AlternateContent>
    </w:r>
    <w:r>
      <w:rPr/>
      <mc:AlternateContent>
        <mc:Choice Requires="wps">
          <w:drawing>
            <wp:anchor distT="0" distB="0" distL="0" distR="0" allowOverlap="1" layoutInCell="1" locked="0" behindDoc="1" simplePos="0" relativeHeight="485950464">
              <wp:simplePos x="0" y="0"/>
              <wp:positionH relativeFrom="page">
                <wp:posOffset>3493134</wp:posOffset>
              </wp:positionH>
              <wp:positionV relativeFrom="page">
                <wp:posOffset>10374883</wp:posOffset>
              </wp:positionV>
              <wp:extent cx="575945" cy="177800"/>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66016" type="#_x0000_t202" id="docshape91"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50976">
              <wp:simplePos x="0" y="0"/>
              <wp:positionH relativeFrom="page">
                <wp:posOffset>706627</wp:posOffset>
              </wp:positionH>
              <wp:positionV relativeFrom="page">
                <wp:posOffset>10117487</wp:posOffset>
              </wp:positionV>
              <wp:extent cx="153670" cy="153670"/>
              <wp:effectExtent l="0" t="0" r="0" b="0"/>
              <wp:wrapNone/>
              <wp:docPr id="114" name="Textbox 114"/>
              <wp:cNvGraphicFramePr>
                <a:graphicFrameLocks/>
              </wp:cNvGraphicFramePr>
              <a:graphic>
                <a:graphicData uri="http://schemas.microsoft.com/office/word/2010/wordprocessingShape">
                  <wps:wsp>
                    <wps:cNvPr id="114" name="Textbox 114"/>
                    <wps:cNvSpPr txBox="1"/>
                    <wps:spPr>
                      <a:xfrm>
                        <a:off x="0" y="0"/>
                        <a:ext cx="153670" cy="153670"/>
                      </a:xfrm>
                      <a:prstGeom prst="rect">
                        <a:avLst/>
                      </a:prstGeom>
                    </wps:spPr>
                    <wps:txbx>
                      <w:txbxContent>
                        <w:p>
                          <w:pPr>
                            <w:spacing w:before="14"/>
                            <w:ind w:left="20" w:right="0" w:firstLine="0"/>
                            <w:jc w:val="left"/>
                            <w:rPr>
                              <w:sz w:val="18"/>
                            </w:rPr>
                          </w:pPr>
                          <w:r>
                            <w:rPr>
                              <w:spacing w:val="-5"/>
                              <w:sz w:val="18"/>
                            </w:rPr>
                            <w:t>18</w:t>
                          </w:r>
                        </w:p>
                      </w:txbxContent>
                    </wps:txbx>
                    <wps:bodyPr wrap="square" lIns="0" tIns="0" rIns="0" bIns="0" rtlCol="0">
                      <a:noAutofit/>
                    </wps:bodyPr>
                  </wps:wsp>
                </a:graphicData>
              </a:graphic>
            </wp:anchor>
          </w:drawing>
        </mc:Choice>
        <mc:Fallback>
          <w:pict>
            <v:shape style="position:absolute;margin-left:55.639999pt;margin-top:796.652527pt;width:12.1pt;height:12.1pt;mso-position-horizontal-relative:page;mso-position-vertical-relative:page;z-index:-17365504" type="#_x0000_t202" id="docshape92" filled="false" stroked="false">
              <v:textbox inset="0,0,0,0">
                <w:txbxContent>
                  <w:p>
                    <w:pPr>
                      <w:spacing w:before="14"/>
                      <w:ind w:left="20" w:right="0" w:firstLine="0"/>
                      <w:jc w:val="left"/>
                      <w:rPr>
                        <w:sz w:val="18"/>
                      </w:rPr>
                    </w:pPr>
                    <w:r>
                      <w:rPr>
                        <w:spacing w:val="-5"/>
                        <w:sz w:val="18"/>
                      </w:rPr>
                      <w:t>18</w:t>
                    </w:r>
                  </w:p>
                </w:txbxContent>
              </v:textbox>
              <w10:wrap type="none"/>
            </v:shape>
          </w:pict>
        </mc:Fallback>
      </mc:AlternateContent>
    </w:r>
    <w:r>
      <w:rPr/>
      <mc:AlternateContent>
        <mc:Choice Requires="wps">
          <w:drawing>
            <wp:anchor distT="0" distB="0" distL="0" distR="0" allowOverlap="1" layoutInCell="1" locked="0" behindDoc="1" simplePos="0" relativeHeight="485951488">
              <wp:simplePos x="0" y="0"/>
              <wp:positionH relativeFrom="page">
                <wp:posOffset>5569077</wp:posOffset>
              </wp:positionH>
              <wp:positionV relativeFrom="page">
                <wp:posOffset>10117487</wp:posOffset>
              </wp:positionV>
              <wp:extent cx="1228090" cy="153670"/>
              <wp:effectExtent l="0" t="0" r="0" b="0"/>
              <wp:wrapNone/>
              <wp:docPr id="115" name="Textbox 115"/>
              <wp:cNvGraphicFramePr>
                <a:graphicFrameLocks/>
              </wp:cNvGraphicFramePr>
              <a:graphic>
                <a:graphicData uri="http://schemas.microsoft.com/office/word/2010/wordprocessingShape">
                  <wps:wsp>
                    <wps:cNvPr id="115" name="Textbox 115"/>
                    <wps:cNvSpPr txBox="1"/>
                    <wps:spPr>
                      <a:xfrm>
                        <a:off x="0" y="0"/>
                        <a:ext cx="1228090"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438.51001pt;margin-top:796.652527pt;width:96.7pt;height:12.1pt;mso-position-horizontal-relative:page;mso-position-vertical-relative:page;z-index:-17364992" type="#_x0000_t202" id="docshape93"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52000">
              <wp:simplePos x="0" y="0"/>
              <wp:positionH relativeFrom="page">
                <wp:posOffset>3493134</wp:posOffset>
              </wp:positionH>
              <wp:positionV relativeFrom="page">
                <wp:posOffset>10374883</wp:posOffset>
              </wp:positionV>
              <wp:extent cx="575945" cy="177800"/>
              <wp:effectExtent l="0" t="0" r="0" b="0"/>
              <wp:wrapNone/>
              <wp:docPr id="116" name="Textbox 116"/>
              <wp:cNvGraphicFramePr>
                <a:graphicFrameLocks/>
              </wp:cNvGraphicFramePr>
              <a:graphic>
                <a:graphicData uri="http://schemas.microsoft.com/office/word/2010/wordprocessingShape">
                  <wps:wsp>
                    <wps:cNvPr id="116" name="Textbox 116"/>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64480" type="#_x0000_t202" id="docshape94"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52512">
              <wp:simplePos x="0" y="0"/>
              <wp:positionH relativeFrom="page">
                <wp:posOffset>706627</wp:posOffset>
              </wp:positionH>
              <wp:positionV relativeFrom="page">
                <wp:posOffset>10117487</wp:posOffset>
              </wp:positionV>
              <wp:extent cx="1227455" cy="153670"/>
              <wp:effectExtent l="0" t="0" r="0" b="0"/>
              <wp:wrapNone/>
              <wp:docPr id="117" name="Textbox 117"/>
              <wp:cNvGraphicFramePr>
                <a:graphicFrameLocks/>
              </wp:cNvGraphicFramePr>
              <a:graphic>
                <a:graphicData uri="http://schemas.microsoft.com/office/word/2010/wordprocessingShape">
                  <wps:wsp>
                    <wps:cNvPr id="117" name="Textbox 117"/>
                    <wps:cNvSpPr txBox="1"/>
                    <wps:spPr>
                      <a:xfrm>
                        <a:off x="0" y="0"/>
                        <a:ext cx="1227455"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55.639999pt;margin-top:796.652527pt;width:96.65pt;height:12.1pt;mso-position-horizontal-relative:page;mso-position-vertical-relative:page;z-index:-17363968" type="#_x0000_t202" id="docshape95"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53024">
              <wp:simplePos x="0" y="0"/>
              <wp:positionH relativeFrom="page">
                <wp:posOffset>6558533</wp:posOffset>
              </wp:positionH>
              <wp:positionV relativeFrom="page">
                <wp:posOffset>10117487</wp:posOffset>
              </wp:positionV>
              <wp:extent cx="153670" cy="153670"/>
              <wp:effectExtent l="0" t="0" r="0" b="0"/>
              <wp:wrapNone/>
              <wp:docPr id="118" name="Textbox 118"/>
              <wp:cNvGraphicFramePr>
                <a:graphicFrameLocks/>
              </wp:cNvGraphicFramePr>
              <a:graphic>
                <a:graphicData uri="http://schemas.microsoft.com/office/word/2010/wordprocessingShape">
                  <wps:wsp>
                    <wps:cNvPr id="118" name="Textbox 118"/>
                    <wps:cNvSpPr txBox="1"/>
                    <wps:spPr>
                      <a:xfrm>
                        <a:off x="0" y="0"/>
                        <a:ext cx="153670" cy="153670"/>
                      </a:xfrm>
                      <a:prstGeom prst="rect">
                        <a:avLst/>
                      </a:prstGeom>
                    </wps:spPr>
                    <wps:txbx>
                      <w:txbxContent>
                        <w:p>
                          <w:pPr>
                            <w:spacing w:before="14"/>
                            <w:ind w:left="20" w:right="0" w:firstLine="0"/>
                            <w:jc w:val="left"/>
                            <w:rPr>
                              <w:sz w:val="18"/>
                            </w:rPr>
                          </w:pPr>
                          <w:r>
                            <w:rPr>
                              <w:spacing w:val="-5"/>
                              <w:sz w:val="18"/>
                            </w:rPr>
                            <w:t>19</w:t>
                          </w:r>
                        </w:p>
                      </w:txbxContent>
                    </wps:txbx>
                    <wps:bodyPr wrap="square" lIns="0" tIns="0" rIns="0" bIns="0" rtlCol="0">
                      <a:noAutofit/>
                    </wps:bodyPr>
                  </wps:wsp>
                </a:graphicData>
              </a:graphic>
            </wp:anchor>
          </w:drawing>
        </mc:Choice>
        <mc:Fallback>
          <w:pict>
            <v:shape style="position:absolute;margin-left:516.419983pt;margin-top:796.652527pt;width:12.1pt;height:12.1pt;mso-position-horizontal-relative:page;mso-position-vertical-relative:page;z-index:-17363456" type="#_x0000_t202" id="docshape96" filled="false" stroked="false">
              <v:textbox inset="0,0,0,0">
                <w:txbxContent>
                  <w:p>
                    <w:pPr>
                      <w:spacing w:before="14"/>
                      <w:ind w:left="20" w:right="0" w:firstLine="0"/>
                      <w:jc w:val="left"/>
                      <w:rPr>
                        <w:sz w:val="18"/>
                      </w:rPr>
                    </w:pPr>
                    <w:r>
                      <w:rPr>
                        <w:spacing w:val="-5"/>
                        <w:sz w:val="18"/>
                      </w:rPr>
                      <w:t>19</w:t>
                    </w:r>
                  </w:p>
                </w:txbxContent>
              </v:textbox>
              <w10:wrap type="none"/>
            </v:shape>
          </w:pict>
        </mc:Fallback>
      </mc:AlternateContent>
    </w:r>
    <w:r>
      <w:rPr/>
      <mc:AlternateContent>
        <mc:Choice Requires="wps">
          <w:drawing>
            <wp:anchor distT="0" distB="0" distL="0" distR="0" allowOverlap="1" layoutInCell="1" locked="0" behindDoc="1" simplePos="0" relativeHeight="485953536">
              <wp:simplePos x="0" y="0"/>
              <wp:positionH relativeFrom="page">
                <wp:posOffset>3493134</wp:posOffset>
              </wp:positionH>
              <wp:positionV relativeFrom="page">
                <wp:posOffset>10374883</wp:posOffset>
              </wp:positionV>
              <wp:extent cx="575945" cy="177800"/>
              <wp:effectExtent l="0" t="0" r="0" b="0"/>
              <wp:wrapNone/>
              <wp:docPr id="119" name="Textbox 119"/>
              <wp:cNvGraphicFramePr>
                <a:graphicFrameLocks/>
              </wp:cNvGraphicFramePr>
              <a:graphic>
                <a:graphicData uri="http://schemas.microsoft.com/office/word/2010/wordprocessingShape">
                  <wps:wsp>
                    <wps:cNvPr id="119" name="Textbox 119"/>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62944" type="#_x0000_t202" id="docshape97"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54048">
              <wp:simplePos x="0" y="0"/>
              <wp:positionH relativeFrom="page">
                <wp:posOffset>706627</wp:posOffset>
              </wp:positionH>
              <wp:positionV relativeFrom="page">
                <wp:posOffset>10117487</wp:posOffset>
              </wp:positionV>
              <wp:extent cx="153670" cy="153670"/>
              <wp:effectExtent l="0" t="0" r="0" b="0"/>
              <wp:wrapNone/>
              <wp:docPr id="121" name="Textbox 121"/>
              <wp:cNvGraphicFramePr>
                <a:graphicFrameLocks/>
              </wp:cNvGraphicFramePr>
              <a:graphic>
                <a:graphicData uri="http://schemas.microsoft.com/office/word/2010/wordprocessingShape">
                  <wps:wsp>
                    <wps:cNvPr id="121" name="Textbox 121"/>
                    <wps:cNvSpPr txBox="1"/>
                    <wps:spPr>
                      <a:xfrm>
                        <a:off x="0" y="0"/>
                        <a:ext cx="153670" cy="153670"/>
                      </a:xfrm>
                      <a:prstGeom prst="rect">
                        <a:avLst/>
                      </a:prstGeom>
                    </wps:spPr>
                    <wps:txbx>
                      <w:txbxContent>
                        <w:p>
                          <w:pPr>
                            <w:spacing w:before="14"/>
                            <w:ind w:left="20" w:right="0" w:firstLine="0"/>
                            <w:jc w:val="left"/>
                            <w:rPr>
                              <w:sz w:val="18"/>
                            </w:rPr>
                          </w:pPr>
                          <w:r>
                            <w:rPr>
                              <w:spacing w:val="-5"/>
                              <w:sz w:val="18"/>
                            </w:rPr>
                            <w:t>20</w:t>
                          </w:r>
                        </w:p>
                      </w:txbxContent>
                    </wps:txbx>
                    <wps:bodyPr wrap="square" lIns="0" tIns="0" rIns="0" bIns="0" rtlCol="0">
                      <a:noAutofit/>
                    </wps:bodyPr>
                  </wps:wsp>
                </a:graphicData>
              </a:graphic>
            </wp:anchor>
          </w:drawing>
        </mc:Choice>
        <mc:Fallback>
          <w:pict>
            <v:shape style="position:absolute;margin-left:55.639999pt;margin-top:796.652527pt;width:12.1pt;height:12.1pt;mso-position-horizontal-relative:page;mso-position-vertical-relative:page;z-index:-17362432" type="#_x0000_t202" id="docshape98" filled="false" stroked="false">
              <v:textbox inset="0,0,0,0">
                <w:txbxContent>
                  <w:p>
                    <w:pPr>
                      <w:spacing w:before="14"/>
                      <w:ind w:left="20" w:right="0" w:firstLine="0"/>
                      <w:jc w:val="left"/>
                      <w:rPr>
                        <w:sz w:val="18"/>
                      </w:rPr>
                    </w:pPr>
                    <w:r>
                      <w:rPr>
                        <w:spacing w:val="-5"/>
                        <w:sz w:val="18"/>
                      </w:rPr>
                      <w:t>20</w:t>
                    </w:r>
                  </w:p>
                </w:txbxContent>
              </v:textbox>
              <w10:wrap type="none"/>
            </v:shape>
          </w:pict>
        </mc:Fallback>
      </mc:AlternateContent>
    </w:r>
    <w:r>
      <w:rPr/>
      <mc:AlternateContent>
        <mc:Choice Requires="wps">
          <w:drawing>
            <wp:anchor distT="0" distB="0" distL="0" distR="0" allowOverlap="1" layoutInCell="1" locked="0" behindDoc="1" simplePos="0" relativeHeight="485954560">
              <wp:simplePos x="0" y="0"/>
              <wp:positionH relativeFrom="page">
                <wp:posOffset>5569077</wp:posOffset>
              </wp:positionH>
              <wp:positionV relativeFrom="page">
                <wp:posOffset>10117487</wp:posOffset>
              </wp:positionV>
              <wp:extent cx="1228090" cy="153670"/>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1228090"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438.51001pt;margin-top:796.652527pt;width:96.7pt;height:12.1pt;mso-position-horizontal-relative:page;mso-position-vertical-relative:page;z-index:-17361920" type="#_x0000_t202" id="docshape99"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55072">
              <wp:simplePos x="0" y="0"/>
              <wp:positionH relativeFrom="page">
                <wp:posOffset>3493134</wp:posOffset>
              </wp:positionH>
              <wp:positionV relativeFrom="page">
                <wp:posOffset>10374883</wp:posOffset>
              </wp:positionV>
              <wp:extent cx="575945" cy="177800"/>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61408" type="#_x0000_t202" id="docshape100"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55584">
              <wp:simplePos x="0" y="0"/>
              <wp:positionH relativeFrom="page">
                <wp:posOffset>706627</wp:posOffset>
              </wp:positionH>
              <wp:positionV relativeFrom="page">
                <wp:posOffset>10117487</wp:posOffset>
              </wp:positionV>
              <wp:extent cx="1227455" cy="153670"/>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1227455"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55.639999pt;margin-top:796.652527pt;width:96.65pt;height:12.1pt;mso-position-horizontal-relative:page;mso-position-vertical-relative:page;z-index:-17360896" type="#_x0000_t202" id="docshape101"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56096">
              <wp:simplePos x="0" y="0"/>
              <wp:positionH relativeFrom="page">
                <wp:posOffset>6558533</wp:posOffset>
              </wp:positionH>
              <wp:positionV relativeFrom="page">
                <wp:posOffset>10117487</wp:posOffset>
              </wp:positionV>
              <wp:extent cx="153670" cy="153670"/>
              <wp:effectExtent l="0" t="0" r="0" b="0"/>
              <wp:wrapNone/>
              <wp:docPr id="125" name="Textbox 125"/>
              <wp:cNvGraphicFramePr>
                <a:graphicFrameLocks/>
              </wp:cNvGraphicFramePr>
              <a:graphic>
                <a:graphicData uri="http://schemas.microsoft.com/office/word/2010/wordprocessingShape">
                  <wps:wsp>
                    <wps:cNvPr id="125" name="Textbox 125"/>
                    <wps:cNvSpPr txBox="1"/>
                    <wps:spPr>
                      <a:xfrm>
                        <a:off x="0" y="0"/>
                        <a:ext cx="153670" cy="153670"/>
                      </a:xfrm>
                      <a:prstGeom prst="rect">
                        <a:avLst/>
                      </a:prstGeom>
                    </wps:spPr>
                    <wps:txbx>
                      <w:txbxContent>
                        <w:p>
                          <w:pPr>
                            <w:spacing w:before="14"/>
                            <w:ind w:left="20" w:right="0" w:firstLine="0"/>
                            <w:jc w:val="left"/>
                            <w:rPr>
                              <w:sz w:val="18"/>
                            </w:rPr>
                          </w:pPr>
                          <w:r>
                            <w:rPr>
                              <w:spacing w:val="-5"/>
                              <w:sz w:val="18"/>
                            </w:rPr>
                            <w:t>21</w:t>
                          </w:r>
                        </w:p>
                      </w:txbxContent>
                    </wps:txbx>
                    <wps:bodyPr wrap="square" lIns="0" tIns="0" rIns="0" bIns="0" rtlCol="0">
                      <a:noAutofit/>
                    </wps:bodyPr>
                  </wps:wsp>
                </a:graphicData>
              </a:graphic>
            </wp:anchor>
          </w:drawing>
        </mc:Choice>
        <mc:Fallback>
          <w:pict>
            <v:shape style="position:absolute;margin-left:516.419983pt;margin-top:796.652527pt;width:12.1pt;height:12.1pt;mso-position-horizontal-relative:page;mso-position-vertical-relative:page;z-index:-17360384" type="#_x0000_t202" id="docshape102" filled="false" stroked="false">
              <v:textbox inset="0,0,0,0">
                <w:txbxContent>
                  <w:p>
                    <w:pPr>
                      <w:spacing w:before="14"/>
                      <w:ind w:left="20" w:right="0" w:firstLine="0"/>
                      <w:jc w:val="left"/>
                      <w:rPr>
                        <w:sz w:val="18"/>
                      </w:rPr>
                    </w:pPr>
                    <w:r>
                      <w:rPr>
                        <w:spacing w:val="-5"/>
                        <w:sz w:val="18"/>
                      </w:rPr>
                      <w:t>21</w:t>
                    </w:r>
                  </w:p>
                </w:txbxContent>
              </v:textbox>
              <w10:wrap type="none"/>
            </v:shape>
          </w:pict>
        </mc:Fallback>
      </mc:AlternateContent>
    </w:r>
    <w:r>
      <w:rPr/>
      <mc:AlternateContent>
        <mc:Choice Requires="wps">
          <w:drawing>
            <wp:anchor distT="0" distB="0" distL="0" distR="0" allowOverlap="1" layoutInCell="1" locked="0" behindDoc="1" simplePos="0" relativeHeight="485956608">
              <wp:simplePos x="0" y="0"/>
              <wp:positionH relativeFrom="page">
                <wp:posOffset>3493134</wp:posOffset>
              </wp:positionH>
              <wp:positionV relativeFrom="page">
                <wp:posOffset>10374883</wp:posOffset>
              </wp:positionV>
              <wp:extent cx="575945" cy="177800"/>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59872" type="#_x0000_t202" id="docshape103"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57120">
              <wp:simplePos x="0" y="0"/>
              <wp:positionH relativeFrom="page">
                <wp:posOffset>706627</wp:posOffset>
              </wp:positionH>
              <wp:positionV relativeFrom="page">
                <wp:posOffset>10117487</wp:posOffset>
              </wp:positionV>
              <wp:extent cx="153670" cy="153670"/>
              <wp:effectExtent l="0" t="0" r="0" b="0"/>
              <wp:wrapNone/>
              <wp:docPr id="127" name="Textbox 127"/>
              <wp:cNvGraphicFramePr>
                <a:graphicFrameLocks/>
              </wp:cNvGraphicFramePr>
              <a:graphic>
                <a:graphicData uri="http://schemas.microsoft.com/office/word/2010/wordprocessingShape">
                  <wps:wsp>
                    <wps:cNvPr id="127" name="Textbox 127"/>
                    <wps:cNvSpPr txBox="1"/>
                    <wps:spPr>
                      <a:xfrm>
                        <a:off x="0" y="0"/>
                        <a:ext cx="153670" cy="153670"/>
                      </a:xfrm>
                      <a:prstGeom prst="rect">
                        <a:avLst/>
                      </a:prstGeom>
                    </wps:spPr>
                    <wps:txbx>
                      <w:txbxContent>
                        <w:p>
                          <w:pPr>
                            <w:spacing w:before="14"/>
                            <w:ind w:left="20" w:right="0" w:firstLine="0"/>
                            <w:jc w:val="left"/>
                            <w:rPr>
                              <w:sz w:val="18"/>
                            </w:rPr>
                          </w:pPr>
                          <w:r>
                            <w:rPr>
                              <w:spacing w:val="-5"/>
                              <w:sz w:val="18"/>
                            </w:rPr>
                            <w:t>22</w:t>
                          </w:r>
                        </w:p>
                      </w:txbxContent>
                    </wps:txbx>
                    <wps:bodyPr wrap="square" lIns="0" tIns="0" rIns="0" bIns="0" rtlCol="0">
                      <a:noAutofit/>
                    </wps:bodyPr>
                  </wps:wsp>
                </a:graphicData>
              </a:graphic>
            </wp:anchor>
          </w:drawing>
        </mc:Choice>
        <mc:Fallback>
          <w:pict>
            <v:shape style="position:absolute;margin-left:55.639999pt;margin-top:796.652527pt;width:12.1pt;height:12.1pt;mso-position-horizontal-relative:page;mso-position-vertical-relative:page;z-index:-17359360" type="#_x0000_t202" id="docshape104" filled="false" stroked="false">
              <v:textbox inset="0,0,0,0">
                <w:txbxContent>
                  <w:p>
                    <w:pPr>
                      <w:spacing w:before="14"/>
                      <w:ind w:left="20" w:right="0" w:firstLine="0"/>
                      <w:jc w:val="left"/>
                      <w:rPr>
                        <w:sz w:val="18"/>
                      </w:rPr>
                    </w:pPr>
                    <w:r>
                      <w:rPr>
                        <w:spacing w:val="-5"/>
                        <w:sz w:val="18"/>
                      </w:rPr>
                      <w:t>22</w:t>
                    </w:r>
                  </w:p>
                </w:txbxContent>
              </v:textbox>
              <w10:wrap type="none"/>
            </v:shape>
          </w:pict>
        </mc:Fallback>
      </mc:AlternateContent>
    </w:r>
    <w:r>
      <w:rPr/>
      <mc:AlternateContent>
        <mc:Choice Requires="wps">
          <w:drawing>
            <wp:anchor distT="0" distB="0" distL="0" distR="0" allowOverlap="1" layoutInCell="1" locked="0" behindDoc="1" simplePos="0" relativeHeight="485957632">
              <wp:simplePos x="0" y="0"/>
              <wp:positionH relativeFrom="page">
                <wp:posOffset>5569077</wp:posOffset>
              </wp:positionH>
              <wp:positionV relativeFrom="page">
                <wp:posOffset>10117487</wp:posOffset>
              </wp:positionV>
              <wp:extent cx="1228090" cy="153670"/>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1228090"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438.51001pt;margin-top:796.652527pt;width:96.7pt;height:12.1pt;mso-position-horizontal-relative:page;mso-position-vertical-relative:page;z-index:-17358848" type="#_x0000_t202" id="docshape105"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58144">
              <wp:simplePos x="0" y="0"/>
              <wp:positionH relativeFrom="page">
                <wp:posOffset>3493134</wp:posOffset>
              </wp:positionH>
              <wp:positionV relativeFrom="page">
                <wp:posOffset>10374883</wp:posOffset>
              </wp:positionV>
              <wp:extent cx="575945" cy="177800"/>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58336" type="#_x0000_t202" id="docshape106"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58656">
              <wp:simplePos x="0" y="0"/>
              <wp:positionH relativeFrom="page">
                <wp:posOffset>706627</wp:posOffset>
              </wp:positionH>
              <wp:positionV relativeFrom="page">
                <wp:posOffset>10117487</wp:posOffset>
              </wp:positionV>
              <wp:extent cx="1227455" cy="153670"/>
              <wp:effectExtent l="0" t="0" r="0" b="0"/>
              <wp:wrapNone/>
              <wp:docPr id="130" name="Textbox 130"/>
              <wp:cNvGraphicFramePr>
                <a:graphicFrameLocks/>
              </wp:cNvGraphicFramePr>
              <a:graphic>
                <a:graphicData uri="http://schemas.microsoft.com/office/word/2010/wordprocessingShape">
                  <wps:wsp>
                    <wps:cNvPr id="130" name="Textbox 130"/>
                    <wps:cNvSpPr txBox="1"/>
                    <wps:spPr>
                      <a:xfrm>
                        <a:off x="0" y="0"/>
                        <a:ext cx="1227455"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55.639999pt;margin-top:796.652527pt;width:96.65pt;height:12.1pt;mso-position-horizontal-relative:page;mso-position-vertical-relative:page;z-index:-17357824" type="#_x0000_t202" id="docshape107"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59168">
              <wp:simplePos x="0" y="0"/>
              <wp:positionH relativeFrom="page">
                <wp:posOffset>6558533</wp:posOffset>
              </wp:positionH>
              <wp:positionV relativeFrom="page">
                <wp:posOffset>10117487</wp:posOffset>
              </wp:positionV>
              <wp:extent cx="153670" cy="153670"/>
              <wp:effectExtent l="0" t="0" r="0" b="0"/>
              <wp:wrapNone/>
              <wp:docPr id="131" name="Textbox 131"/>
              <wp:cNvGraphicFramePr>
                <a:graphicFrameLocks/>
              </wp:cNvGraphicFramePr>
              <a:graphic>
                <a:graphicData uri="http://schemas.microsoft.com/office/word/2010/wordprocessingShape">
                  <wps:wsp>
                    <wps:cNvPr id="131" name="Textbox 131"/>
                    <wps:cNvSpPr txBox="1"/>
                    <wps:spPr>
                      <a:xfrm>
                        <a:off x="0" y="0"/>
                        <a:ext cx="153670" cy="153670"/>
                      </a:xfrm>
                      <a:prstGeom prst="rect">
                        <a:avLst/>
                      </a:prstGeom>
                    </wps:spPr>
                    <wps:txbx>
                      <w:txbxContent>
                        <w:p>
                          <w:pPr>
                            <w:spacing w:before="14"/>
                            <w:ind w:left="20" w:right="0" w:firstLine="0"/>
                            <w:jc w:val="left"/>
                            <w:rPr>
                              <w:sz w:val="18"/>
                            </w:rPr>
                          </w:pPr>
                          <w:r>
                            <w:rPr>
                              <w:spacing w:val="-5"/>
                              <w:sz w:val="18"/>
                            </w:rPr>
                            <w:t>23</w:t>
                          </w:r>
                        </w:p>
                      </w:txbxContent>
                    </wps:txbx>
                    <wps:bodyPr wrap="square" lIns="0" tIns="0" rIns="0" bIns="0" rtlCol="0">
                      <a:noAutofit/>
                    </wps:bodyPr>
                  </wps:wsp>
                </a:graphicData>
              </a:graphic>
            </wp:anchor>
          </w:drawing>
        </mc:Choice>
        <mc:Fallback>
          <w:pict>
            <v:shape style="position:absolute;margin-left:516.419983pt;margin-top:796.652527pt;width:12.1pt;height:12.1pt;mso-position-horizontal-relative:page;mso-position-vertical-relative:page;z-index:-17357312" type="#_x0000_t202" id="docshape108" filled="false" stroked="false">
              <v:textbox inset="0,0,0,0">
                <w:txbxContent>
                  <w:p>
                    <w:pPr>
                      <w:spacing w:before="14"/>
                      <w:ind w:left="20" w:right="0" w:firstLine="0"/>
                      <w:jc w:val="left"/>
                      <w:rPr>
                        <w:sz w:val="18"/>
                      </w:rPr>
                    </w:pPr>
                    <w:r>
                      <w:rPr>
                        <w:spacing w:val="-5"/>
                        <w:sz w:val="18"/>
                      </w:rPr>
                      <w:t>23</w:t>
                    </w:r>
                  </w:p>
                </w:txbxContent>
              </v:textbox>
              <w10:wrap type="none"/>
            </v:shape>
          </w:pict>
        </mc:Fallback>
      </mc:AlternateContent>
    </w:r>
    <w:r>
      <w:rPr/>
      <mc:AlternateContent>
        <mc:Choice Requires="wps">
          <w:drawing>
            <wp:anchor distT="0" distB="0" distL="0" distR="0" allowOverlap="1" layoutInCell="1" locked="0" behindDoc="1" simplePos="0" relativeHeight="485959680">
              <wp:simplePos x="0" y="0"/>
              <wp:positionH relativeFrom="page">
                <wp:posOffset>3493134</wp:posOffset>
              </wp:positionH>
              <wp:positionV relativeFrom="page">
                <wp:posOffset>10374883</wp:posOffset>
              </wp:positionV>
              <wp:extent cx="575945" cy="177800"/>
              <wp:effectExtent l="0" t="0" r="0" b="0"/>
              <wp:wrapNone/>
              <wp:docPr id="132" name="Textbox 132"/>
              <wp:cNvGraphicFramePr>
                <a:graphicFrameLocks/>
              </wp:cNvGraphicFramePr>
              <a:graphic>
                <a:graphicData uri="http://schemas.microsoft.com/office/word/2010/wordprocessingShape">
                  <wps:wsp>
                    <wps:cNvPr id="132" name="Textbox 132"/>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56800" type="#_x0000_t202" id="docshape109"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60192">
              <wp:simplePos x="0" y="0"/>
              <wp:positionH relativeFrom="page">
                <wp:posOffset>706627</wp:posOffset>
              </wp:positionH>
              <wp:positionV relativeFrom="page">
                <wp:posOffset>10117487</wp:posOffset>
              </wp:positionV>
              <wp:extent cx="153670" cy="153670"/>
              <wp:effectExtent l="0" t="0" r="0" b="0"/>
              <wp:wrapNone/>
              <wp:docPr id="133" name="Textbox 133"/>
              <wp:cNvGraphicFramePr>
                <a:graphicFrameLocks/>
              </wp:cNvGraphicFramePr>
              <a:graphic>
                <a:graphicData uri="http://schemas.microsoft.com/office/word/2010/wordprocessingShape">
                  <wps:wsp>
                    <wps:cNvPr id="133" name="Textbox 133"/>
                    <wps:cNvSpPr txBox="1"/>
                    <wps:spPr>
                      <a:xfrm>
                        <a:off x="0" y="0"/>
                        <a:ext cx="153670" cy="153670"/>
                      </a:xfrm>
                      <a:prstGeom prst="rect">
                        <a:avLst/>
                      </a:prstGeom>
                    </wps:spPr>
                    <wps:txbx>
                      <w:txbxContent>
                        <w:p>
                          <w:pPr>
                            <w:spacing w:before="14"/>
                            <w:ind w:left="20" w:right="0" w:firstLine="0"/>
                            <w:jc w:val="left"/>
                            <w:rPr>
                              <w:sz w:val="18"/>
                            </w:rPr>
                          </w:pPr>
                          <w:r>
                            <w:rPr>
                              <w:spacing w:val="-5"/>
                              <w:sz w:val="18"/>
                            </w:rPr>
                            <w:t>24</w:t>
                          </w:r>
                        </w:p>
                      </w:txbxContent>
                    </wps:txbx>
                    <wps:bodyPr wrap="square" lIns="0" tIns="0" rIns="0" bIns="0" rtlCol="0">
                      <a:noAutofit/>
                    </wps:bodyPr>
                  </wps:wsp>
                </a:graphicData>
              </a:graphic>
            </wp:anchor>
          </w:drawing>
        </mc:Choice>
        <mc:Fallback>
          <w:pict>
            <v:shape style="position:absolute;margin-left:55.639999pt;margin-top:796.652527pt;width:12.1pt;height:12.1pt;mso-position-horizontal-relative:page;mso-position-vertical-relative:page;z-index:-17356288" type="#_x0000_t202" id="docshape110" filled="false" stroked="false">
              <v:textbox inset="0,0,0,0">
                <w:txbxContent>
                  <w:p>
                    <w:pPr>
                      <w:spacing w:before="14"/>
                      <w:ind w:left="20" w:right="0" w:firstLine="0"/>
                      <w:jc w:val="left"/>
                      <w:rPr>
                        <w:sz w:val="18"/>
                      </w:rPr>
                    </w:pPr>
                    <w:r>
                      <w:rPr>
                        <w:spacing w:val="-5"/>
                        <w:sz w:val="18"/>
                      </w:rPr>
                      <w:t>24</w:t>
                    </w:r>
                  </w:p>
                </w:txbxContent>
              </v:textbox>
              <w10:wrap type="none"/>
            </v:shape>
          </w:pict>
        </mc:Fallback>
      </mc:AlternateContent>
    </w:r>
    <w:r>
      <w:rPr/>
      <mc:AlternateContent>
        <mc:Choice Requires="wps">
          <w:drawing>
            <wp:anchor distT="0" distB="0" distL="0" distR="0" allowOverlap="1" layoutInCell="1" locked="0" behindDoc="1" simplePos="0" relativeHeight="485960704">
              <wp:simplePos x="0" y="0"/>
              <wp:positionH relativeFrom="page">
                <wp:posOffset>5569077</wp:posOffset>
              </wp:positionH>
              <wp:positionV relativeFrom="page">
                <wp:posOffset>10117487</wp:posOffset>
              </wp:positionV>
              <wp:extent cx="1228090" cy="153670"/>
              <wp:effectExtent l="0" t="0" r="0" b="0"/>
              <wp:wrapNone/>
              <wp:docPr id="134" name="Textbox 134"/>
              <wp:cNvGraphicFramePr>
                <a:graphicFrameLocks/>
              </wp:cNvGraphicFramePr>
              <a:graphic>
                <a:graphicData uri="http://schemas.microsoft.com/office/word/2010/wordprocessingShape">
                  <wps:wsp>
                    <wps:cNvPr id="134" name="Textbox 134"/>
                    <wps:cNvSpPr txBox="1"/>
                    <wps:spPr>
                      <a:xfrm>
                        <a:off x="0" y="0"/>
                        <a:ext cx="1228090"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438.51001pt;margin-top:796.652527pt;width:96.7pt;height:12.1pt;mso-position-horizontal-relative:page;mso-position-vertical-relative:page;z-index:-17355776" type="#_x0000_t202" id="docshape111"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61216">
              <wp:simplePos x="0" y="0"/>
              <wp:positionH relativeFrom="page">
                <wp:posOffset>3493134</wp:posOffset>
              </wp:positionH>
              <wp:positionV relativeFrom="page">
                <wp:posOffset>10374883</wp:posOffset>
              </wp:positionV>
              <wp:extent cx="575945" cy="177800"/>
              <wp:effectExtent l="0" t="0" r="0" b="0"/>
              <wp:wrapNone/>
              <wp:docPr id="135" name="Textbox 135"/>
              <wp:cNvGraphicFramePr>
                <a:graphicFrameLocks/>
              </wp:cNvGraphicFramePr>
              <a:graphic>
                <a:graphicData uri="http://schemas.microsoft.com/office/word/2010/wordprocessingShape">
                  <wps:wsp>
                    <wps:cNvPr id="135" name="Textbox 135"/>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55264" type="#_x0000_t202" id="docshape112"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61728">
              <wp:simplePos x="0" y="0"/>
              <wp:positionH relativeFrom="page">
                <wp:posOffset>706627</wp:posOffset>
              </wp:positionH>
              <wp:positionV relativeFrom="page">
                <wp:posOffset>10117487</wp:posOffset>
              </wp:positionV>
              <wp:extent cx="1227455" cy="153670"/>
              <wp:effectExtent l="0" t="0" r="0" b="0"/>
              <wp:wrapNone/>
              <wp:docPr id="138" name="Textbox 138"/>
              <wp:cNvGraphicFramePr>
                <a:graphicFrameLocks/>
              </wp:cNvGraphicFramePr>
              <a:graphic>
                <a:graphicData uri="http://schemas.microsoft.com/office/word/2010/wordprocessingShape">
                  <wps:wsp>
                    <wps:cNvPr id="138" name="Textbox 138"/>
                    <wps:cNvSpPr txBox="1"/>
                    <wps:spPr>
                      <a:xfrm>
                        <a:off x="0" y="0"/>
                        <a:ext cx="1227455"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55.639999pt;margin-top:796.652527pt;width:96.65pt;height:12.1pt;mso-position-horizontal-relative:page;mso-position-vertical-relative:page;z-index:-17354752" type="#_x0000_t202" id="docshape115"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62240">
              <wp:simplePos x="0" y="0"/>
              <wp:positionH relativeFrom="page">
                <wp:posOffset>6558533</wp:posOffset>
              </wp:positionH>
              <wp:positionV relativeFrom="page">
                <wp:posOffset>10117487</wp:posOffset>
              </wp:positionV>
              <wp:extent cx="153670" cy="153670"/>
              <wp:effectExtent l="0" t="0" r="0" b="0"/>
              <wp:wrapNone/>
              <wp:docPr id="139" name="Textbox 139"/>
              <wp:cNvGraphicFramePr>
                <a:graphicFrameLocks/>
              </wp:cNvGraphicFramePr>
              <a:graphic>
                <a:graphicData uri="http://schemas.microsoft.com/office/word/2010/wordprocessingShape">
                  <wps:wsp>
                    <wps:cNvPr id="139" name="Textbox 139"/>
                    <wps:cNvSpPr txBox="1"/>
                    <wps:spPr>
                      <a:xfrm>
                        <a:off x="0" y="0"/>
                        <a:ext cx="153670" cy="153670"/>
                      </a:xfrm>
                      <a:prstGeom prst="rect">
                        <a:avLst/>
                      </a:prstGeom>
                    </wps:spPr>
                    <wps:txbx>
                      <w:txbxContent>
                        <w:p>
                          <w:pPr>
                            <w:spacing w:before="14"/>
                            <w:ind w:left="20" w:right="0" w:firstLine="0"/>
                            <w:jc w:val="left"/>
                            <w:rPr>
                              <w:sz w:val="18"/>
                            </w:rPr>
                          </w:pPr>
                          <w:r>
                            <w:rPr>
                              <w:spacing w:val="-5"/>
                              <w:sz w:val="18"/>
                            </w:rPr>
                            <w:t>25</w:t>
                          </w:r>
                        </w:p>
                      </w:txbxContent>
                    </wps:txbx>
                    <wps:bodyPr wrap="square" lIns="0" tIns="0" rIns="0" bIns="0" rtlCol="0">
                      <a:noAutofit/>
                    </wps:bodyPr>
                  </wps:wsp>
                </a:graphicData>
              </a:graphic>
            </wp:anchor>
          </w:drawing>
        </mc:Choice>
        <mc:Fallback>
          <w:pict>
            <v:shape style="position:absolute;margin-left:516.419983pt;margin-top:796.652527pt;width:12.1pt;height:12.1pt;mso-position-horizontal-relative:page;mso-position-vertical-relative:page;z-index:-17354240" type="#_x0000_t202" id="docshape116" filled="false" stroked="false">
              <v:textbox inset="0,0,0,0">
                <w:txbxContent>
                  <w:p>
                    <w:pPr>
                      <w:spacing w:before="14"/>
                      <w:ind w:left="20" w:right="0" w:firstLine="0"/>
                      <w:jc w:val="left"/>
                      <w:rPr>
                        <w:sz w:val="18"/>
                      </w:rPr>
                    </w:pPr>
                    <w:r>
                      <w:rPr>
                        <w:spacing w:val="-5"/>
                        <w:sz w:val="18"/>
                      </w:rPr>
                      <w:t>25</w:t>
                    </w:r>
                  </w:p>
                </w:txbxContent>
              </v:textbox>
              <w10:wrap type="none"/>
            </v:shape>
          </w:pict>
        </mc:Fallback>
      </mc:AlternateContent>
    </w:r>
    <w:r>
      <w:rPr/>
      <mc:AlternateContent>
        <mc:Choice Requires="wps">
          <w:drawing>
            <wp:anchor distT="0" distB="0" distL="0" distR="0" allowOverlap="1" layoutInCell="1" locked="0" behindDoc="1" simplePos="0" relativeHeight="485962752">
              <wp:simplePos x="0" y="0"/>
              <wp:positionH relativeFrom="page">
                <wp:posOffset>3493134</wp:posOffset>
              </wp:positionH>
              <wp:positionV relativeFrom="page">
                <wp:posOffset>10374883</wp:posOffset>
              </wp:positionV>
              <wp:extent cx="575945" cy="177800"/>
              <wp:effectExtent l="0" t="0" r="0" b="0"/>
              <wp:wrapNone/>
              <wp:docPr id="140" name="Textbox 140"/>
              <wp:cNvGraphicFramePr>
                <a:graphicFrameLocks/>
              </wp:cNvGraphicFramePr>
              <a:graphic>
                <a:graphicData uri="http://schemas.microsoft.com/office/word/2010/wordprocessingShape">
                  <wps:wsp>
                    <wps:cNvPr id="140" name="Textbox 140"/>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53728" type="#_x0000_t202" id="docshape117"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21792">
              <wp:simplePos x="0" y="0"/>
              <wp:positionH relativeFrom="page">
                <wp:posOffset>738631</wp:posOffset>
              </wp:positionH>
              <wp:positionV relativeFrom="page">
                <wp:posOffset>10117487</wp:posOffset>
              </wp:positionV>
              <wp:extent cx="1227455" cy="153670"/>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1227455" cy="153670"/>
                      </a:xfrm>
                      <a:prstGeom prst="rect">
                        <a:avLst/>
                      </a:prstGeom>
                    </wps:spPr>
                    <wps:txbx>
                      <w:txbxContent>
                        <w:p>
                          <w:pPr>
                            <w:spacing w:before="14"/>
                            <w:ind w:left="20" w:right="0" w:firstLine="0"/>
                            <w:jc w:val="left"/>
                            <w:rPr>
                              <w:sz w:val="18"/>
                            </w:rPr>
                          </w:pPr>
                          <w:r>
                            <w:rPr>
                              <w:sz w:val="18"/>
                            </w:rPr>
                            <w:t>Glenelg</w:t>
                          </w:r>
                          <w:r>
                            <w:rPr>
                              <w:spacing w:val="-6"/>
                              <w:sz w:val="18"/>
                            </w:rPr>
                            <w:t> </w:t>
                          </w:r>
                          <w:r>
                            <w:rPr>
                              <w:sz w:val="18"/>
                            </w:rPr>
                            <w:t>Ark</w:t>
                          </w:r>
                          <w:r>
                            <w:rPr>
                              <w:spacing w:val="-4"/>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58.16pt;margin-top:796.652527pt;width:96.65pt;height:12.1pt;mso-position-horizontal-relative:page;mso-position-vertical-relative:page;z-index:-17394688" type="#_x0000_t202" id="docshape33" filled="false" stroked="false">
              <v:textbox inset="0,0,0,0">
                <w:txbxContent>
                  <w:p>
                    <w:pPr>
                      <w:spacing w:before="14"/>
                      <w:ind w:left="20" w:right="0" w:firstLine="0"/>
                      <w:jc w:val="left"/>
                      <w:rPr>
                        <w:sz w:val="18"/>
                      </w:rPr>
                    </w:pPr>
                    <w:r>
                      <w:rPr>
                        <w:sz w:val="18"/>
                      </w:rPr>
                      <w:t>Glenelg</w:t>
                    </w:r>
                    <w:r>
                      <w:rPr>
                        <w:spacing w:val="-6"/>
                        <w:sz w:val="18"/>
                      </w:rPr>
                      <w:t> </w:t>
                    </w:r>
                    <w:r>
                      <w:rPr>
                        <w:sz w:val="18"/>
                      </w:rPr>
                      <w:t>Ark</w:t>
                    </w:r>
                    <w:r>
                      <w:rPr>
                        <w:spacing w:val="-4"/>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22304">
              <wp:simplePos x="0" y="0"/>
              <wp:positionH relativeFrom="page">
                <wp:posOffset>6648450</wp:posOffset>
              </wp:positionH>
              <wp:positionV relativeFrom="page">
                <wp:posOffset>10117487</wp:posOffset>
              </wp:positionV>
              <wp:extent cx="103505" cy="15367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103505" cy="153670"/>
                      </a:xfrm>
                      <a:prstGeom prst="rect">
                        <a:avLst/>
                      </a:prstGeom>
                    </wps:spPr>
                    <wps:txbx>
                      <w:txbxContent>
                        <w:p>
                          <w:pPr>
                            <w:spacing w:before="14"/>
                            <w:ind w:left="20" w:right="0" w:firstLine="0"/>
                            <w:jc w:val="left"/>
                            <w:rPr>
                              <w:sz w:val="18"/>
                            </w:rPr>
                          </w:pPr>
                          <w:r>
                            <w:rPr>
                              <w:spacing w:val="-5"/>
                              <w:sz w:val="18"/>
                            </w:rPr>
                            <w:t>iii</w:t>
                          </w:r>
                        </w:p>
                      </w:txbxContent>
                    </wps:txbx>
                    <wps:bodyPr wrap="square" lIns="0" tIns="0" rIns="0" bIns="0" rtlCol="0">
                      <a:noAutofit/>
                    </wps:bodyPr>
                  </wps:wsp>
                </a:graphicData>
              </a:graphic>
            </wp:anchor>
          </w:drawing>
        </mc:Choice>
        <mc:Fallback>
          <w:pict>
            <v:shape style="position:absolute;margin-left:523.5pt;margin-top:796.652527pt;width:8.15pt;height:12.1pt;mso-position-horizontal-relative:page;mso-position-vertical-relative:page;z-index:-17394176" type="#_x0000_t202" id="docshape34" filled="false" stroked="false">
              <v:textbox inset="0,0,0,0">
                <w:txbxContent>
                  <w:p>
                    <w:pPr>
                      <w:spacing w:before="14"/>
                      <w:ind w:left="20" w:right="0" w:firstLine="0"/>
                      <w:jc w:val="left"/>
                      <w:rPr>
                        <w:sz w:val="18"/>
                      </w:rPr>
                    </w:pPr>
                    <w:r>
                      <w:rPr>
                        <w:spacing w:val="-5"/>
                        <w:sz w:val="18"/>
                      </w:rPr>
                      <w:t>iii</w:t>
                    </w:r>
                  </w:p>
                </w:txbxContent>
              </v:textbox>
              <w10:wrap type="none"/>
            </v:shape>
          </w:pict>
        </mc:Fallback>
      </mc:AlternateContent>
    </w:r>
    <w:r>
      <w:rPr/>
      <mc:AlternateContent>
        <mc:Choice Requires="wps">
          <w:drawing>
            <wp:anchor distT="0" distB="0" distL="0" distR="0" allowOverlap="1" layoutInCell="1" locked="0" behindDoc="1" simplePos="0" relativeHeight="485922816">
              <wp:simplePos x="0" y="0"/>
              <wp:positionH relativeFrom="page">
                <wp:posOffset>3493134</wp:posOffset>
              </wp:positionH>
              <wp:positionV relativeFrom="page">
                <wp:posOffset>10374883</wp:posOffset>
              </wp:positionV>
              <wp:extent cx="575945" cy="17780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93664" type="#_x0000_t202" id="docshape35"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63264">
              <wp:simplePos x="0" y="0"/>
              <wp:positionH relativeFrom="page">
                <wp:posOffset>706627</wp:posOffset>
              </wp:positionH>
              <wp:positionV relativeFrom="page">
                <wp:posOffset>10117487</wp:posOffset>
              </wp:positionV>
              <wp:extent cx="153670" cy="153670"/>
              <wp:effectExtent l="0" t="0" r="0" b="0"/>
              <wp:wrapNone/>
              <wp:docPr id="141" name="Textbox 141"/>
              <wp:cNvGraphicFramePr>
                <a:graphicFrameLocks/>
              </wp:cNvGraphicFramePr>
              <a:graphic>
                <a:graphicData uri="http://schemas.microsoft.com/office/word/2010/wordprocessingShape">
                  <wps:wsp>
                    <wps:cNvPr id="141" name="Textbox 141"/>
                    <wps:cNvSpPr txBox="1"/>
                    <wps:spPr>
                      <a:xfrm>
                        <a:off x="0" y="0"/>
                        <a:ext cx="153670" cy="153670"/>
                      </a:xfrm>
                      <a:prstGeom prst="rect">
                        <a:avLst/>
                      </a:prstGeom>
                    </wps:spPr>
                    <wps:txbx>
                      <w:txbxContent>
                        <w:p>
                          <w:pPr>
                            <w:spacing w:before="14"/>
                            <w:ind w:left="20" w:right="0" w:firstLine="0"/>
                            <w:jc w:val="left"/>
                            <w:rPr>
                              <w:sz w:val="18"/>
                            </w:rPr>
                          </w:pPr>
                          <w:r>
                            <w:rPr>
                              <w:spacing w:val="-5"/>
                              <w:sz w:val="18"/>
                            </w:rPr>
                            <w:t>26</w:t>
                          </w:r>
                        </w:p>
                      </w:txbxContent>
                    </wps:txbx>
                    <wps:bodyPr wrap="square" lIns="0" tIns="0" rIns="0" bIns="0" rtlCol="0">
                      <a:noAutofit/>
                    </wps:bodyPr>
                  </wps:wsp>
                </a:graphicData>
              </a:graphic>
            </wp:anchor>
          </w:drawing>
        </mc:Choice>
        <mc:Fallback>
          <w:pict>
            <v:shape style="position:absolute;margin-left:55.639999pt;margin-top:796.652527pt;width:12.1pt;height:12.1pt;mso-position-horizontal-relative:page;mso-position-vertical-relative:page;z-index:-17353216" type="#_x0000_t202" id="docshape118" filled="false" stroked="false">
              <v:textbox inset="0,0,0,0">
                <w:txbxContent>
                  <w:p>
                    <w:pPr>
                      <w:spacing w:before="14"/>
                      <w:ind w:left="20" w:right="0" w:firstLine="0"/>
                      <w:jc w:val="left"/>
                      <w:rPr>
                        <w:sz w:val="18"/>
                      </w:rPr>
                    </w:pPr>
                    <w:r>
                      <w:rPr>
                        <w:spacing w:val="-5"/>
                        <w:sz w:val="18"/>
                      </w:rPr>
                      <w:t>26</w:t>
                    </w:r>
                  </w:p>
                </w:txbxContent>
              </v:textbox>
              <w10:wrap type="none"/>
            </v:shape>
          </w:pict>
        </mc:Fallback>
      </mc:AlternateContent>
    </w:r>
    <w:r>
      <w:rPr/>
      <mc:AlternateContent>
        <mc:Choice Requires="wps">
          <w:drawing>
            <wp:anchor distT="0" distB="0" distL="0" distR="0" allowOverlap="1" layoutInCell="1" locked="0" behindDoc="1" simplePos="0" relativeHeight="485963776">
              <wp:simplePos x="0" y="0"/>
              <wp:positionH relativeFrom="page">
                <wp:posOffset>5569077</wp:posOffset>
              </wp:positionH>
              <wp:positionV relativeFrom="page">
                <wp:posOffset>10117487</wp:posOffset>
              </wp:positionV>
              <wp:extent cx="1228090" cy="153670"/>
              <wp:effectExtent l="0" t="0" r="0" b="0"/>
              <wp:wrapNone/>
              <wp:docPr id="142" name="Textbox 142"/>
              <wp:cNvGraphicFramePr>
                <a:graphicFrameLocks/>
              </wp:cNvGraphicFramePr>
              <a:graphic>
                <a:graphicData uri="http://schemas.microsoft.com/office/word/2010/wordprocessingShape">
                  <wps:wsp>
                    <wps:cNvPr id="142" name="Textbox 142"/>
                    <wps:cNvSpPr txBox="1"/>
                    <wps:spPr>
                      <a:xfrm>
                        <a:off x="0" y="0"/>
                        <a:ext cx="1228090"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438.51001pt;margin-top:796.652527pt;width:96.7pt;height:12.1pt;mso-position-horizontal-relative:page;mso-position-vertical-relative:page;z-index:-17352704" type="#_x0000_t202" id="docshape119"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64288">
              <wp:simplePos x="0" y="0"/>
              <wp:positionH relativeFrom="page">
                <wp:posOffset>3493134</wp:posOffset>
              </wp:positionH>
              <wp:positionV relativeFrom="page">
                <wp:posOffset>10374883</wp:posOffset>
              </wp:positionV>
              <wp:extent cx="575945" cy="177800"/>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52192" type="#_x0000_t202" id="docshape120"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64800">
              <wp:simplePos x="0" y="0"/>
              <wp:positionH relativeFrom="page">
                <wp:posOffset>706627</wp:posOffset>
              </wp:positionH>
              <wp:positionV relativeFrom="page">
                <wp:posOffset>10117487</wp:posOffset>
              </wp:positionV>
              <wp:extent cx="1227455" cy="153670"/>
              <wp:effectExtent l="0" t="0" r="0" b="0"/>
              <wp:wrapNone/>
              <wp:docPr id="144" name="Textbox 144"/>
              <wp:cNvGraphicFramePr>
                <a:graphicFrameLocks/>
              </wp:cNvGraphicFramePr>
              <a:graphic>
                <a:graphicData uri="http://schemas.microsoft.com/office/word/2010/wordprocessingShape">
                  <wps:wsp>
                    <wps:cNvPr id="144" name="Textbox 144"/>
                    <wps:cNvSpPr txBox="1"/>
                    <wps:spPr>
                      <a:xfrm>
                        <a:off x="0" y="0"/>
                        <a:ext cx="1227455"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55.639999pt;margin-top:796.652527pt;width:96.65pt;height:12.1pt;mso-position-horizontal-relative:page;mso-position-vertical-relative:page;z-index:-17351680" type="#_x0000_t202" id="docshape121"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65312">
              <wp:simplePos x="0" y="0"/>
              <wp:positionH relativeFrom="page">
                <wp:posOffset>6558533</wp:posOffset>
              </wp:positionH>
              <wp:positionV relativeFrom="page">
                <wp:posOffset>10117487</wp:posOffset>
              </wp:positionV>
              <wp:extent cx="153670" cy="153670"/>
              <wp:effectExtent l="0" t="0" r="0" b="0"/>
              <wp:wrapNone/>
              <wp:docPr id="145" name="Textbox 145"/>
              <wp:cNvGraphicFramePr>
                <a:graphicFrameLocks/>
              </wp:cNvGraphicFramePr>
              <a:graphic>
                <a:graphicData uri="http://schemas.microsoft.com/office/word/2010/wordprocessingShape">
                  <wps:wsp>
                    <wps:cNvPr id="145" name="Textbox 145"/>
                    <wps:cNvSpPr txBox="1"/>
                    <wps:spPr>
                      <a:xfrm>
                        <a:off x="0" y="0"/>
                        <a:ext cx="153670" cy="153670"/>
                      </a:xfrm>
                      <a:prstGeom prst="rect">
                        <a:avLst/>
                      </a:prstGeom>
                    </wps:spPr>
                    <wps:txbx>
                      <w:txbxContent>
                        <w:p>
                          <w:pPr>
                            <w:spacing w:before="14"/>
                            <w:ind w:left="20" w:right="0" w:firstLine="0"/>
                            <w:jc w:val="left"/>
                            <w:rPr>
                              <w:sz w:val="18"/>
                            </w:rPr>
                          </w:pPr>
                          <w:r>
                            <w:rPr>
                              <w:spacing w:val="-5"/>
                              <w:sz w:val="18"/>
                            </w:rPr>
                            <w:t>27</w:t>
                          </w:r>
                        </w:p>
                      </w:txbxContent>
                    </wps:txbx>
                    <wps:bodyPr wrap="square" lIns="0" tIns="0" rIns="0" bIns="0" rtlCol="0">
                      <a:noAutofit/>
                    </wps:bodyPr>
                  </wps:wsp>
                </a:graphicData>
              </a:graphic>
            </wp:anchor>
          </w:drawing>
        </mc:Choice>
        <mc:Fallback>
          <w:pict>
            <v:shape style="position:absolute;margin-left:516.419983pt;margin-top:796.652527pt;width:12.1pt;height:12.1pt;mso-position-horizontal-relative:page;mso-position-vertical-relative:page;z-index:-17351168" type="#_x0000_t202" id="docshape122" filled="false" stroked="false">
              <v:textbox inset="0,0,0,0">
                <w:txbxContent>
                  <w:p>
                    <w:pPr>
                      <w:spacing w:before="14"/>
                      <w:ind w:left="20" w:right="0" w:firstLine="0"/>
                      <w:jc w:val="left"/>
                      <w:rPr>
                        <w:sz w:val="18"/>
                      </w:rPr>
                    </w:pPr>
                    <w:r>
                      <w:rPr>
                        <w:spacing w:val="-5"/>
                        <w:sz w:val="18"/>
                      </w:rPr>
                      <w:t>27</w:t>
                    </w:r>
                  </w:p>
                </w:txbxContent>
              </v:textbox>
              <w10:wrap type="none"/>
            </v:shape>
          </w:pict>
        </mc:Fallback>
      </mc:AlternateContent>
    </w:r>
    <w:r>
      <w:rPr/>
      <mc:AlternateContent>
        <mc:Choice Requires="wps">
          <w:drawing>
            <wp:anchor distT="0" distB="0" distL="0" distR="0" allowOverlap="1" layoutInCell="1" locked="0" behindDoc="1" simplePos="0" relativeHeight="485965824">
              <wp:simplePos x="0" y="0"/>
              <wp:positionH relativeFrom="page">
                <wp:posOffset>3493134</wp:posOffset>
              </wp:positionH>
              <wp:positionV relativeFrom="page">
                <wp:posOffset>10374883</wp:posOffset>
              </wp:positionV>
              <wp:extent cx="575945" cy="177800"/>
              <wp:effectExtent l="0" t="0" r="0" b="0"/>
              <wp:wrapNone/>
              <wp:docPr id="146" name="Textbox 146"/>
              <wp:cNvGraphicFramePr>
                <a:graphicFrameLocks/>
              </wp:cNvGraphicFramePr>
              <a:graphic>
                <a:graphicData uri="http://schemas.microsoft.com/office/word/2010/wordprocessingShape">
                  <wps:wsp>
                    <wps:cNvPr id="146" name="Textbox 146"/>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50656" type="#_x0000_t202" id="docshape123"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3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66336">
              <wp:simplePos x="0" y="0"/>
              <wp:positionH relativeFrom="page">
                <wp:posOffset>706627</wp:posOffset>
              </wp:positionH>
              <wp:positionV relativeFrom="page">
                <wp:posOffset>6985362</wp:posOffset>
              </wp:positionV>
              <wp:extent cx="153670" cy="153670"/>
              <wp:effectExtent l="0" t="0" r="0" b="0"/>
              <wp:wrapNone/>
              <wp:docPr id="147" name="Textbox 147"/>
              <wp:cNvGraphicFramePr>
                <a:graphicFrameLocks/>
              </wp:cNvGraphicFramePr>
              <a:graphic>
                <a:graphicData uri="http://schemas.microsoft.com/office/word/2010/wordprocessingShape">
                  <wps:wsp>
                    <wps:cNvPr id="147" name="Textbox 147"/>
                    <wps:cNvSpPr txBox="1"/>
                    <wps:spPr>
                      <a:xfrm>
                        <a:off x="0" y="0"/>
                        <a:ext cx="153670" cy="153670"/>
                      </a:xfrm>
                      <a:prstGeom prst="rect">
                        <a:avLst/>
                      </a:prstGeom>
                    </wps:spPr>
                    <wps:txbx>
                      <w:txbxContent>
                        <w:p>
                          <w:pPr>
                            <w:spacing w:before="14"/>
                            <w:ind w:left="20" w:right="0" w:firstLine="0"/>
                            <w:jc w:val="left"/>
                            <w:rPr>
                              <w:sz w:val="18"/>
                            </w:rPr>
                          </w:pPr>
                          <w:r>
                            <w:rPr>
                              <w:spacing w:val="-5"/>
                              <w:sz w:val="18"/>
                            </w:rPr>
                            <w:t>28</w:t>
                          </w:r>
                        </w:p>
                      </w:txbxContent>
                    </wps:txbx>
                    <wps:bodyPr wrap="square" lIns="0" tIns="0" rIns="0" bIns="0" rtlCol="0">
                      <a:noAutofit/>
                    </wps:bodyPr>
                  </wps:wsp>
                </a:graphicData>
              </a:graphic>
            </wp:anchor>
          </w:drawing>
        </mc:Choice>
        <mc:Fallback>
          <w:pict>
            <v:shape style="position:absolute;margin-left:55.639999pt;margin-top:550.028564pt;width:12.1pt;height:12.1pt;mso-position-horizontal-relative:page;mso-position-vertical-relative:page;z-index:-17350144" type="#_x0000_t202" id="docshape124" filled="false" stroked="false">
              <v:textbox inset="0,0,0,0">
                <w:txbxContent>
                  <w:p>
                    <w:pPr>
                      <w:spacing w:before="14"/>
                      <w:ind w:left="20" w:right="0" w:firstLine="0"/>
                      <w:jc w:val="left"/>
                      <w:rPr>
                        <w:sz w:val="18"/>
                      </w:rPr>
                    </w:pPr>
                    <w:r>
                      <w:rPr>
                        <w:spacing w:val="-5"/>
                        <w:sz w:val="18"/>
                      </w:rPr>
                      <w:t>28</w:t>
                    </w:r>
                  </w:p>
                </w:txbxContent>
              </v:textbox>
              <w10:wrap type="none"/>
            </v:shape>
          </w:pict>
        </mc:Fallback>
      </mc:AlternateContent>
    </w:r>
    <w:r>
      <w:rPr/>
      <mc:AlternateContent>
        <mc:Choice Requires="wps">
          <w:drawing>
            <wp:anchor distT="0" distB="0" distL="0" distR="0" allowOverlap="1" layoutInCell="1" locked="0" behindDoc="1" simplePos="0" relativeHeight="485966848">
              <wp:simplePos x="0" y="0"/>
              <wp:positionH relativeFrom="page">
                <wp:posOffset>4364863</wp:posOffset>
              </wp:positionH>
              <wp:positionV relativeFrom="page">
                <wp:posOffset>6985362</wp:posOffset>
              </wp:positionV>
              <wp:extent cx="63500" cy="153670"/>
              <wp:effectExtent l="0" t="0" r="0" b="0"/>
              <wp:wrapNone/>
              <wp:docPr id="148" name="Textbox 148"/>
              <wp:cNvGraphicFramePr>
                <a:graphicFrameLocks/>
              </wp:cNvGraphicFramePr>
              <a:graphic>
                <a:graphicData uri="http://schemas.microsoft.com/office/word/2010/wordprocessingShape">
                  <wps:wsp>
                    <wps:cNvPr id="148" name="Textbox 148"/>
                    <wps:cNvSpPr txBox="1"/>
                    <wps:spPr>
                      <a:xfrm>
                        <a:off x="0" y="0"/>
                        <a:ext cx="63500" cy="153670"/>
                      </a:xfrm>
                      <a:prstGeom prst="rect">
                        <a:avLst/>
                      </a:prstGeom>
                    </wps:spPr>
                    <wps:txbx>
                      <w:txbxContent>
                        <w:p>
                          <w:pPr>
                            <w:spacing w:before="14"/>
                            <w:ind w:left="20" w:right="0" w:firstLine="0"/>
                            <w:jc w:val="left"/>
                            <w:rPr>
                              <w:sz w:val="18"/>
                            </w:rPr>
                          </w:pPr>
                          <w:r>
                            <w:rPr>
                              <w:spacing w:val="-10"/>
                              <w:sz w:val="18"/>
                            </w:rPr>
                            <w:t>`</w:t>
                          </w:r>
                        </w:p>
                      </w:txbxContent>
                    </wps:txbx>
                    <wps:bodyPr wrap="square" lIns="0" tIns="0" rIns="0" bIns="0" rtlCol="0">
                      <a:noAutofit/>
                    </wps:bodyPr>
                  </wps:wsp>
                </a:graphicData>
              </a:graphic>
            </wp:anchor>
          </w:drawing>
        </mc:Choice>
        <mc:Fallback>
          <w:pict>
            <v:shape style="position:absolute;margin-left:343.690002pt;margin-top:550.028564pt;width:5pt;height:12.1pt;mso-position-horizontal-relative:page;mso-position-vertical-relative:page;z-index:-17349632" type="#_x0000_t202" id="docshape125" filled="false" stroked="false">
              <v:textbox inset="0,0,0,0">
                <w:txbxContent>
                  <w:p>
                    <w:pPr>
                      <w:spacing w:before="14"/>
                      <w:ind w:left="20" w:right="0" w:firstLine="0"/>
                      <w:jc w:val="left"/>
                      <w:rPr>
                        <w:sz w:val="18"/>
                      </w:rPr>
                    </w:pPr>
                    <w:r>
                      <w:rPr>
                        <w:spacing w:val="-10"/>
                        <w:sz w:val="18"/>
                      </w:rPr>
                      <w:t>`</w:t>
                    </w:r>
                  </w:p>
                </w:txbxContent>
              </v:textbox>
              <w10:wrap type="none"/>
            </v:shape>
          </w:pict>
        </mc:Fallback>
      </mc:AlternateContent>
    </w:r>
    <w:r>
      <w:rPr/>
      <mc:AlternateContent>
        <mc:Choice Requires="wps">
          <w:drawing>
            <wp:anchor distT="0" distB="0" distL="0" distR="0" allowOverlap="1" layoutInCell="1" locked="0" behindDoc="1" simplePos="0" relativeHeight="485967360">
              <wp:simplePos x="0" y="0"/>
              <wp:positionH relativeFrom="page">
                <wp:posOffset>5279263</wp:posOffset>
              </wp:positionH>
              <wp:positionV relativeFrom="page">
                <wp:posOffset>6985362</wp:posOffset>
              </wp:positionV>
              <wp:extent cx="1227455" cy="153670"/>
              <wp:effectExtent l="0" t="0" r="0" b="0"/>
              <wp:wrapNone/>
              <wp:docPr id="149" name="Textbox 149"/>
              <wp:cNvGraphicFramePr>
                <a:graphicFrameLocks/>
              </wp:cNvGraphicFramePr>
              <a:graphic>
                <a:graphicData uri="http://schemas.microsoft.com/office/word/2010/wordprocessingShape">
                  <wps:wsp>
                    <wps:cNvPr id="149" name="Textbox 149"/>
                    <wps:cNvSpPr txBox="1"/>
                    <wps:spPr>
                      <a:xfrm>
                        <a:off x="0" y="0"/>
                        <a:ext cx="1227455"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415.690002pt;margin-top:550.028564pt;width:96.65pt;height:12.1pt;mso-position-horizontal-relative:page;mso-position-vertical-relative:page;z-index:-17349120" type="#_x0000_t202" id="docshape126"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p>
</w:ftr>
</file>

<file path=word/footer3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67872">
              <wp:simplePos x="0" y="0"/>
              <wp:positionH relativeFrom="page">
                <wp:posOffset>706627</wp:posOffset>
              </wp:positionH>
              <wp:positionV relativeFrom="page">
                <wp:posOffset>10117487</wp:posOffset>
              </wp:positionV>
              <wp:extent cx="153670" cy="153670"/>
              <wp:effectExtent l="0" t="0" r="0" b="0"/>
              <wp:wrapNone/>
              <wp:docPr id="150" name="Textbox 150"/>
              <wp:cNvGraphicFramePr>
                <a:graphicFrameLocks/>
              </wp:cNvGraphicFramePr>
              <a:graphic>
                <a:graphicData uri="http://schemas.microsoft.com/office/word/2010/wordprocessingShape">
                  <wps:wsp>
                    <wps:cNvPr id="150" name="Textbox 150"/>
                    <wps:cNvSpPr txBox="1"/>
                    <wps:spPr>
                      <a:xfrm>
                        <a:off x="0" y="0"/>
                        <a:ext cx="153670" cy="153670"/>
                      </a:xfrm>
                      <a:prstGeom prst="rect">
                        <a:avLst/>
                      </a:prstGeom>
                    </wps:spPr>
                    <wps:txbx>
                      <w:txbxContent>
                        <w:p>
                          <w:pPr>
                            <w:spacing w:before="14"/>
                            <w:ind w:left="20" w:right="0" w:firstLine="0"/>
                            <w:jc w:val="left"/>
                            <w:rPr>
                              <w:sz w:val="18"/>
                            </w:rPr>
                          </w:pPr>
                          <w:r>
                            <w:rPr>
                              <w:spacing w:val="-5"/>
                              <w:sz w:val="18"/>
                            </w:rPr>
                            <w:t>29</w:t>
                          </w:r>
                        </w:p>
                      </w:txbxContent>
                    </wps:txbx>
                    <wps:bodyPr wrap="square" lIns="0" tIns="0" rIns="0" bIns="0" rtlCol="0">
                      <a:noAutofit/>
                    </wps:bodyPr>
                  </wps:wsp>
                </a:graphicData>
              </a:graphic>
            </wp:anchor>
          </w:drawing>
        </mc:Choice>
        <mc:Fallback>
          <w:pict>
            <v:shape style="position:absolute;margin-left:55.639999pt;margin-top:796.652527pt;width:12.1pt;height:12.1pt;mso-position-horizontal-relative:page;mso-position-vertical-relative:page;z-index:-17348608" type="#_x0000_t202" id="docshape127" filled="false" stroked="false">
              <v:textbox inset="0,0,0,0">
                <w:txbxContent>
                  <w:p>
                    <w:pPr>
                      <w:spacing w:before="14"/>
                      <w:ind w:left="20" w:right="0" w:firstLine="0"/>
                      <w:jc w:val="left"/>
                      <w:rPr>
                        <w:sz w:val="18"/>
                      </w:rPr>
                    </w:pPr>
                    <w:r>
                      <w:rPr>
                        <w:spacing w:val="-5"/>
                        <w:sz w:val="18"/>
                      </w:rPr>
                      <w:t>29</w:t>
                    </w:r>
                  </w:p>
                </w:txbxContent>
              </v:textbox>
              <w10:wrap type="none"/>
            </v:shape>
          </w:pict>
        </mc:Fallback>
      </mc:AlternateContent>
    </w:r>
    <w:r>
      <w:rPr/>
      <mc:AlternateContent>
        <mc:Choice Requires="wps">
          <w:drawing>
            <wp:anchor distT="0" distB="0" distL="0" distR="0" allowOverlap="1" layoutInCell="1" locked="0" behindDoc="1" simplePos="0" relativeHeight="485968384">
              <wp:simplePos x="0" y="0"/>
              <wp:positionH relativeFrom="page">
                <wp:posOffset>4365116</wp:posOffset>
              </wp:positionH>
              <wp:positionV relativeFrom="page">
                <wp:posOffset>10117487</wp:posOffset>
              </wp:positionV>
              <wp:extent cx="63500" cy="153670"/>
              <wp:effectExtent l="0" t="0" r="0" b="0"/>
              <wp:wrapNone/>
              <wp:docPr id="151" name="Textbox 151"/>
              <wp:cNvGraphicFramePr>
                <a:graphicFrameLocks/>
              </wp:cNvGraphicFramePr>
              <a:graphic>
                <a:graphicData uri="http://schemas.microsoft.com/office/word/2010/wordprocessingShape">
                  <wps:wsp>
                    <wps:cNvPr id="151" name="Textbox 151"/>
                    <wps:cNvSpPr txBox="1"/>
                    <wps:spPr>
                      <a:xfrm>
                        <a:off x="0" y="0"/>
                        <a:ext cx="63500" cy="153670"/>
                      </a:xfrm>
                      <a:prstGeom prst="rect">
                        <a:avLst/>
                      </a:prstGeom>
                    </wps:spPr>
                    <wps:txbx>
                      <w:txbxContent>
                        <w:p>
                          <w:pPr>
                            <w:spacing w:before="14"/>
                            <w:ind w:left="20" w:right="0" w:firstLine="0"/>
                            <w:jc w:val="left"/>
                            <w:rPr>
                              <w:sz w:val="18"/>
                            </w:rPr>
                          </w:pPr>
                          <w:r>
                            <w:rPr>
                              <w:spacing w:val="-10"/>
                              <w:sz w:val="18"/>
                            </w:rPr>
                            <w:t>`</w:t>
                          </w:r>
                        </w:p>
                      </w:txbxContent>
                    </wps:txbx>
                    <wps:bodyPr wrap="square" lIns="0" tIns="0" rIns="0" bIns="0" rtlCol="0">
                      <a:noAutofit/>
                    </wps:bodyPr>
                  </wps:wsp>
                </a:graphicData>
              </a:graphic>
            </wp:anchor>
          </w:drawing>
        </mc:Choice>
        <mc:Fallback>
          <w:pict>
            <v:shape style="position:absolute;margin-left:343.709991pt;margin-top:796.652527pt;width:5pt;height:12.1pt;mso-position-horizontal-relative:page;mso-position-vertical-relative:page;z-index:-17348096" type="#_x0000_t202" id="docshape128" filled="false" stroked="false">
              <v:textbox inset="0,0,0,0">
                <w:txbxContent>
                  <w:p>
                    <w:pPr>
                      <w:spacing w:before="14"/>
                      <w:ind w:left="20" w:right="0" w:firstLine="0"/>
                      <w:jc w:val="left"/>
                      <w:rPr>
                        <w:sz w:val="18"/>
                      </w:rPr>
                    </w:pPr>
                    <w:r>
                      <w:rPr>
                        <w:spacing w:val="-10"/>
                        <w:sz w:val="18"/>
                      </w:rPr>
                      <w:t>`</w:t>
                    </w:r>
                  </w:p>
                </w:txbxContent>
              </v:textbox>
              <w10:wrap type="none"/>
            </v:shape>
          </w:pict>
        </mc:Fallback>
      </mc:AlternateContent>
    </w:r>
    <w:r>
      <w:rPr/>
      <mc:AlternateContent>
        <mc:Choice Requires="wps">
          <w:drawing>
            <wp:anchor distT="0" distB="0" distL="0" distR="0" allowOverlap="1" layoutInCell="1" locked="0" behindDoc="1" simplePos="0" relativeHeight="485968896">
              <wp:simplePos x="0" y="0"/>
              <wp:positionH relativeFrom="page">
                <wp:posOffset>5279516</wp:posOffset>
              </wp:positionH>
              <wp:positionV relativeFrom="page">
                <wp:posOffset>10117487</wp:posOffset>
              </wp:positionV>
              <wp:extent cx="1228090" cy="153670"/>
              <wp:effectExtent l="0" t="0" r="0" b="0"/>
              <wp:wrapNone/>
              <wp:docPr id="152" name="Textbox 152"/>
              <wp:cNvGraphicFramePr>
                <a:graphicFrameLocks/>
              </wp:cNvGraphicFramePr>
              <a:graphic>
                <a:graphicData uri="http://schemas.microsoft.com/office/word/2010/wordprocessingShape">
                  <wps:wsp>
                    <wps:cNvPr id="152" name="Textbox 152"/>
                    <wps:cNvSpPr txBox="1"/>
                    <wps:spPr>
                      <a:xfrm>
                        <a:off x="0" y="0"/>
                        <a:ext cx="1228090"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415.709991pt;margin-top:796.652527pt;width:96.7pt;height:12.1pt;mso-position-horizontal-relative:page;mso-position-vertical-relative:page;z-index:-17347584" type="#_x0000_t202" id="docshape129"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69408">
              <wp:simplePos x="0" y="0"/>
              <wp:positionH relativeFrom="page">
                <wp:posOffset>3595242</wp:posOffset>
              </wp:positionH>
              <wp:positionV relativeFrom="page">
                <wp:posOffset>10368788</wp:posOffset>
              </wp:positionV>
              <wp:extent cx="575945" cy="177800"/>
              <wp:effectExtent l="0" t="0" r="0" b="0"/>
              <wp:wrapNone/>
              <wp:docPr id="153" name="Textbox 153"/>
              <wp:cNvGraphicFramePr>
                <a:graphicFrameLocks/>
              </wp:cNvGraphicFramePr>
              <a:graphic>
                <a:graphicData uri="http://schemas.microsoft.com/office/word/2010/wordprocessingShape">
                  <wps:wsp>
                    <wps:cNvPr id="153" name="Textbox 153"/>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83.089996pt;margin-top:816.440002pt;width:45.35pt;height:14pt;mso-position-horizontal-relative:page;mso-position-vertical-relative:page;z-index:-17347072" type="#_x0000_t202" id="docshape130"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3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69920">
              <wp:simplePos x="0" y="0"/>
              <wp:positionH relativeFrom="page">
                <wp:posOffset>706627</wp:posOffset>
              </wp:positionH>
              <wp:positionV relativeFrom="page">
                <wp:posOffset>10117487</wp:posOffset>
              </wp:positionV>
              <wp:extent cx="153670" cy="153670"/>
              <wp:effectExtent l="0" t="0" r="0" b="0"/>
              <wp:wrapNone/>
              <wp:docPr id="154" name="Textbox 154"/>
              <wp:cNvGraphicFramePr>
                <a:graphicFrameLocks/>
              </wp:cNvGraphicFramePr>
              <a:graphic>
                <a:graphicData uri="http://schemas.microsoft.com/office/word/2010/wordprocessingShape">
                  <wps:wsp>
                    <wps:cNvPr id="154" name="Textbox 154"/>
                    <wps:cNvSpPr txBox="1"/>
                    <wps:spPr>
                      <a:xfrm>
                        <a:off x="0" y="0"/>
                        <a:ext cx="153670" cy="153670"/>
                      </a:xfrm>
                      <a:prstGeom prst="rect">
                        <a:avLst/>
                      </a:prstGeom>
                    </wps:spPr>
                    <wps:txbx>
                      <w:txbxContent>
                        <w:p>
                          <w:pPr>
                            <w:spacing w:before="14"/>
                            <w:ind w:left="20" w:right="0" w:firstLine="0"/>
                            <w:jc w:val="left"/>
                            <w:rPr>
                              <w:sz w:val="18"/>
                            </w:rPr>
                          </w:pPr>
                          <w:r>
                            <w:rPr>
                              <w:spacing w:val="-5"/>
                              <w:sz w:val="18"/>
                            </w:rPr>
                            <w:t>30</w:t>
                          </w:r>
                        </w:p>
                      </w:txbxContent>
                    </wps:txbx>
                    <wps:bodyPr wrap="square" lIns="0" tIns="0" rIns="0" bIns="0" rtlCol="0">
                      <a:noAutofit/>
                    </wps:bodyPr>
                  </wps:wsp>
                </a:graphicData>
              </a:graphic>
            </wp:anchor>
          </w:drawing>
        </mc:Choice>
        <mc:Fallback>
          <w:pict>
            <v:shape style="position:absolute;margin-left:55.639999pt;margin-top:796.652527pt;width:12.1pt;height:12.1pt;mso-position-horizontal-relative:page;mso-position-vertical-relative:page;z-index:-17346560" type="#_x0000_t202" id="docshape131" filled="false" stroked="false">
              <v:textbox inset="0,0,0,0">
                <w:txbxContent>
                  <w:p>
                    <w:pPr>
                      <w:spacing w:before="14"/>
                      <w:ind w:left="20" w:right="0" w:firstLine="0"/>
                      <w:jc w:val="left"/>
                      <w:rPr>
                        <w:sz w:val="18"/>
                      </w:rPr>
                    </w:pPr>
                    <w:r>
                      <w:rPr>
                        <w:spacing w:val="-5"/>
                        <w:sz w:val="18"/>
                      </w:rPr>
                      <w:t>30</w:t>
                    </w:r>
                  </w:p>
                </w:txbxContent>
              </v:textbox>
              <w10:wrap type="none"/>
            </v:shape>
          </w:pict>
        </mc:Fallback>
      </mc:AlternateContent>
    </w:r>
    <w:r>
      <w:rPr/>
      <mc:AlternateContent>
        <mc:Choice Requires="wps">
          <w:drawing>
            <wp:anchor distT="0" distB="0" distL="0" distR="0" allowOverlap="1" layoutInCell="1" locked="0" behindDoc="1" simplePos="0" relativeHeight="485970432">
              <wp:simplePos x="0" y="0"/>
              <wp:positionH relativeFrom="page">
                <wp:posOffset>5569077</wp:posOffset>
              </wp:positionH>
              <wp:positionV relativeFrom="page">
                <wp:posOffset>10117487</wp:posOffset>
              </wp:positionV>
              <wp:extent cx="1228090" cy="153670"/>
              <wp:effectExtent l="0" t="0" r="0" b="0"/>
              <wp:wrapNone/>
              <wp:docPr id="155" name="Textbox 155"/>
              <wp:cNvGraphicFramePr>
                <a:graphicFrameLocks/>
              </wp:cNvGraphicFramePr>
              <a:graphic>
                <a:graphicData uri="http://schemas.microsoft.com/office/word/2010/wordprocessingShape">
                  <wps:wsp>
                    <wps:cNvPr id="155" name="Textbox 155"/>
                    <wps:cNvSpPr txBox="1"/>
                    <wps:spPr>
                      <a:xfrm>
                        <a:off x="0" y="0"/>
                        <a:ext cx="1228090"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438.51001pt;margin-top:796.652527pt;width:96.7pt;height:12.1pt;mso-position-horizontal-relative:page;mso-position-vertical-relative:page;z-index:-17346048" type="#_x0000_t202" id="docshape132"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70944">
              <wp:simplePos x="0" y="0"/>
              <wp:positionH relativeFrom="page">
                <wp:posOffset>3493134</wp:posOffset>
              </wp:positionH>
              <wp:positionV relativeFrom="page">
                <wp:posOffset>10374883</wp:posOffset>
              </wp:positionV>
              <wp:extent cx="575945" cy="177800"/>
              <wp:effectExtent l="0" t="0" r="0" b="0"/>
              <wp:wrapNone/>
              <wp:docPr id="156" name="Textbox 156"/>
              <wp:cNvGraphicFramePr>
                <a:graphicFrameLocks/>
              </wp:cNvGraphicFramePr>
              <a:graphic>
                <a:graphicData uri="http://schemas.microsoft.com/office/word/2010/wordprocessingShape">
                  <wps:wsp>
                    <wps:cNvPr id="156" name="Textbox 156"/>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45536" type="#_x0000_t202" id="docshape133"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3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71456">
              <wp:simplePos x="0" y="0"/>
              <wp:positionH relativeFrom="page">
                <wp:posOffset>706627</wp:posOffset>
              </wp:positionH>
              <wp:positionV relativeFrom="page">
                <wp:posOffset>10117487</wp:posOffset>
              </wp:positionV>
              <wp:extent cx="1227455" cy="153670"/>
              <wp:effectExtent l="0" t="0" r="0" b="0"/>
              <wp:wrapNone/>
              <wp:docPr id="157" name="Textbox 157"/>
              <wp:cNvGraphicFramePr>
                <a:graphicFrameLocks/>
              </wp:cNvGraphicFramePr>
              <a:graphic>
                <a:graphicData uri="http://schemas.microsoft.com/office/word/2010/wordprocessingShape">
                  <wps:wsp>
                    <wps:cNvPr id="157" name="Textbox 157"/>
                    <wps:cNvSpPr txBox="1"/>
                    <wps:spPr>
                      <a:xfrm>
                        <a:off x="0" y="0"/>
                        <a:ext cx="1227455"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55.639999pt;margin-top:796.652527pt;width:96.65pt;height:12.1pt;mso-position-horizontal-relative:page;mso-position-vertical-relative:page;z-index:-17345024" type="#_x0000_t202" id="docshape134"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71968">
              <wp:simplePos x="0" y="0"/>
              <wp:positionH relativeFrom="page">
                <wp:posOffset>6558533</wp:posOffset>
              </wp:positionH>
              <wp:positionV relativeFrom="page">
                <wp:posOffset>10117487</wp:posOffset>
              </wp:positionV>
              <wp:extent cx="153670" cy="153670"/>
              <wp:effectExtent l="0" t="0" r="0" b="0"/>
              <wp:wrapNone/>
              <wp:docPr id="158" name="Textbox 158"/>
              <wp:cNvGraphicFramePr>
                <a:graphicFrameLocks/>
              </wp:cNvGraphicFramePr>
              <a:graphic>
                <a:graphicData uri="http://schemas.microsoft.com/office/word/2010/wordprocessingShape">
                  <wps:wsp>
                    <wps:cNvPr id="158" name="Textbox 158"/>
                    <wps:cNvSpPr txBox="1"/>
                    <wps:spPr>
                      <a:xfrm>
                        <a:off x="0" y="0"/>
                        <a:ext cx="153670" cy="153670"/>
                      </a:xfrm>
                      <a:prstGeom prst="rect">
                        <a:avLst/>
                      </a:prstGeom>
                    </wps:spPr>
                    <wps:txbx>
                      <w:txbxContent>
                        <w:p>
                          <w:pPr>
                            <w:spacing w:before="14"/>
                            <w:ind w:left="20" w:right="0" w:firstLine="0"/>
                            <w:jc w:val="left"/>
                            <w:rPr>
                              <w:sz w:val="18"/>
                            </w:rPr>
                          </w:pPr>
                          <w:r>
                            <w:rPr>
                              <w:spacing w:val="-5"/>
                              <w:sz w:val="18"/>
                            </w:rPr>
                            <w:t>31</w:t>
                          </w:r>
                        </w:p>
                      </w:txbxContent>
                    </wps:txbx>
                    <wps:bodyPr wrap="square" lIns="0" tIns="0" rIns="0" bIns="0" rtlCol="0">
                      <a:noAutofit/>
                    </wps:bodyPr>
                  </wps:wsp>
                </a:graphicData>
              </a:graphic>
            </wp:anchor>
          </w:drawing>
        </mc:Choice>
        <mc:Fallback>
          <w:pict>
            <v:shape style="position:absolute;margin-left:516.419983pt;margin-top:796.652527pt;width:12.1pt;height:12.1pt;mso-position-horizontal-relative:page;mso-position-vertical-relative:page;z-index:-17344512" type="#_x0000_t202" id="docshape135" filled="false" stroked="false">
              <v:textbox inset="0,0,0,0">
                <w:txbxContent>
                  <w:p>
                    <w:pPr>
                      <w:spacing w:before="14"/>
                      <w:ind w:left="20" w:right="0" w:firstLine="0"/>
                      <w:jc w:val="left"/>
                      <w:rPr>
                        <w:sz w:val="18"/>
                      </w:rPr>
                    </w:pPr>
                    <w:r>
                      <w:rPr>
                        <w:spacing w:val="-5"/>
                        <w:sz w:val="18"/>
                      </w:rPr>
                      <w:t>31</w:t>
                    </w:r>
                  </w:p>
                </w:txbxContent>
              </v:textbox>
              <w10:wrap type="none"/>
            </v:shape>
          </w:pict>
        </mc:Fallback>
      </mc:AlternateContent>
    </w:r>
    <w:r>
      <w:rPr/>
      <mc:AlternateContent>
        <mc:Choice Requires="wps">
          <w:drawing>
            <wp:anchor distT="0" distB="0" distL="0" distR="0" allowOverlap="1" layoutInCell="1" locked="0" behindDoc="1" simplePos="0" relativeHeight="485972480">
              <wp:simplePos x="0" y="0"/>
              <wp:positionH relativeFrom="page">
                <wp:posOffset>3493134</wp:posOffset>
              </wp:positionH>
              <wp:positionV relativeFrom="page">
                <wp:posOffset>10374883</wp:posOffset>
              </wp:positionV>
              <wp:extent cx="575945" cy="177800"/>
              <wp:effectExtent l="0" t="0" r="0" b="0"/>
              <wp:wrapNone/>
              <wp:docPr id="159" name="Textbox 159"/>
              <wp:cNvGraphicFramePr>
                <a:graphicFrameLocks/>
              </wp:cNvGraphicFramePr>
              <a:graphic>
                <a:graphicData uri="http://schemas.microsoft.com/office/word/2010/wordprocessingShape">
                  <wps:wsp>
                    <wps:cNvPr id="159" name="Textbox 159"/>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44000" type="#_x0000_t202" id="docshape136"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3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72992">
              <wp:simplePos x="0" y="0"/>
              <wp:positionH relativeFrom="page">
                <wp:posOffset>706627</wp:posOffset>
              </wp:positionH>
              <wp:positionV relativeFrom="page">
                <wp:posOffset>10117487</wp:posOffset>
              </wp:positionV>
              <wp:extent cx="153670" cy="153670"/>
              <wp:effectExtent l="0" t="0" r="0" b="0"/>
              <wp:wrapNone/>
              <wp:docPr id="160" name="Textbox 160"/>
              <wp:cNvGraphicFramePr>
                <a:graphicFrameLocks/>
              </wp:cNvGraphicFramePr>
              <a:graphic>
                <a:graphicData uri="http://schemas.microsoft.com/office/word/2010/wordprocessingShape">
                  <wps:wsp>
                    <wps:cNvPr id="160" name="Textbox 160"/>
                    <wps:cNvSpPr txBox="1"/>
                    <wps:spPr>
                      <a:xfrm>
                        <a:off x="0" y="0"/>
                        <a:ext cx="153670" cy="153670"/>
                      </a:xfrm>
                      <a:prstGeom prst="rect">
                        <a:avLst/>
                      </a:prstGeom>
                    </wps:spPr>
                    <wps:txbx>
                      <w:txbxContent>
                        <w:p>
                          <w:pPr>
                            <w:spacing w:before="14"/>
                            <w:ind w:left="20" w:right="0" w:firstLine="0"/>
                            <w:jc w:val="left"/>
                            <w:rPr>
                              <w:sz w:val="18"/>
                            </w:rPr>
                          </w:pPr>
                          <w:r>
                            <w:rPr>
                              <w:spacing w:val="-5"/>
                              <w:sz w:val="18"/>
                            </w:rPr>
                            <w:t>32</w:t>
                          </w:r>
                        </w:p>
                      </w:txbxContent>
                    </wps:txbx>
                    <wps:bodyPr wrap="square" lIns="0" tIns="0" rIns="0" bIns="0" rtlCol="0">
                      <a:noAutofit/>
                    </wps:bodyPr>
                  </wps:wsp>
                </a:graphicData>
              </a:graphic>
            </wp:anchor>
          </w:drawing>
        </mc:Choice>
        <mc:Fallback>
          <w:pict>
            <v:shape style="position:absolute;margin-left:55.639999pt;margin-top:796.652527pt;width:12.1pt;height:12.1pt;mso-position-horizontal-relative:page;mso-position-vertical-relative:page;z-index:-17343488" type="#_x0000_t202" id="docshape137" filled="false" stroked="false">
              <v:textbox inset="0,0,0,0">
                <w:txbxContent>
                  <w:p>
                    <w:pPr>
                      <w:spacing w:before="14"/>
                      <w:ind w:left="20" w:right="0" w:firstLine="0"/>
                      <w:jc w:val="left"/>
                      <w:rPr>
                        <w:sz w:val="18"/>
                      </w:rPr>
                    </w:pPr>
                    <w:r>
                      <w:rPr>
                        <w:spacing w:val="-5"/>
                        <w:sz w:val="18"/>
                      </w:rPr>
                      <w:t>32</w:t>
                    </w:r>
                  </w:p>
                </w:txbxContent>
              </v:textbox>
              <w10:wrap type="none"/>
            </v:shape>
          </w:pict>
        </mc:Fallback>
      </mc:AlternateContent>
    </w:r>
    <w:r>
      <w:rPr/>
      <mc:AlternateContent>
        <mc:Choice Requires="wps">
          <w:drawing>
            <wp:anchor distT="0" distB="0" distL="0" distR="0" allowOverlap="1" layoutInCell="1" locked="0" behindDoc="1" simplePos="0" relativeHeight="485973504">
              <wp:simplePos x="0" y="0"/>
              <wp:positionH relativeFrom="page">
                <wp:posOffset>5569077</wp:posOffset>
              </wp:positionH>
              <wp:positionV relativeFrom="page">
                <wp:posOffset>10117487</wp:posOffset>
              </wp:positionV>
              <wp:extent cx="1228090" cy="153670"/>
              <wp:effectExtent l="0" t="0" r="0" b="0"/>
              <wp:wrapNone/>
              <wp:docPr id="161" name="Textbox 161"/>
              <wp:cNvGraphicFramePr>
                <a:graphicFrameLocks/>
              </wp:cNvGraphicFramePr>
              <a:graphic>
                <a:graphicData uri="http://schemas.microsoft.com/office/word/2010/wordprocessingShape">
                  <wps:wsp>
                    <wps:cNvPr id="161" name="Textbox 161"/>
                    <wps:cNvSpPr txBox="1"/>
                    <wps:spPr>
                      <a:xfrm>
                        <a:off x="0" y="0"/>
                        <a:ext cx="1228090"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438.51001pt;margin-top:796.652527pt;width:96.7pt;height:12.1pt;mso-position-horizontal-relative:page;mso-position-vertical-relative:page;z-index:-17342976" type="#_x0000_t202" id="docshape138"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74016">
              <wp:simplePos x="0" y="0"/>
              <wp:positionH relativeFrom="page">
                <wp:posOffset>3493134</wp:posOffset>
              </wp:positionH>
              <wp:positionV relativeFrom="page">
                <wp:posOffset>10374883</wp:posOffset>
              </wp:positionV>
              <wp:extent cx="575945" cy="177800"/>
              <wp:effectExtent l="0" t="0" r="0" b="0"/>
              <wp:wrapNone/>
              <wp:docPr id="162" name="Textbox 162"/>
              <wp:cNvGraphicFramePr>
                <a:graphicFrameLocks/>
              </wp:cNvGraphicFramePr>
              <a:graphic>
                <a:graphicData uri="http://schemas.microsoft.com/office/word/2010/wordprocessingShape">
                  <wps:wsp>
                    <wps:cNvPr id="162" name="Textbox 162"/>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42464" type="#_x0000_t202" id="docshape139"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3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74528">
              <wp:simplePos x="0" y="0"/>
              <wp:positionH relativeFrom="page">
                <wp:posOffset>706627</wp:posOffset>
              </wp:positionH>
              <wp:positionV relativeFrom="page">
                <wp:posOffset>10117487</wp:posOffset>
              </wp:positionV>
              <wp:extent cx="1227455" cy="153670"/>
              <wp:effectExtent l="0" t="0" r="0" b="0"/>
              <wp:wrapNone/>
              <wp:docPr id="163" name="Textbox 163"/>
              <wp:cNvGraphicFramePr>
                <a:graphicFrameLocks/>
              </wp:cNvGraphicFramePr>
              <a:graphic>
                <a:graphicData uri="http://schemas.microsoft.com/office/word/2010/wordprocessingShape">
                  <wps:wsp>
                    <wps:cNvPr id="163" name="Textbox 163"/>
                    <wps:cNvSpPr txBox="1"/>
                    <wps:spPr>
                      <a:xfrm>
                        <a:off x="0" y="0"/>
                        <a:ext cx="1227455"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55.639999pt;margin-top:796.652527pt;width:96.65pt;height:12.1pt;mso-position-horizontal-relative:page;mso-position-vertical-relative:page;z-index:-17341952" type="#_x0000_t202" id="docshape140"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75040">
              <wp:simplePos x="0" y="0"/>
              <wp:positionH relativeFrom="page">
                <wp:posOffset>6558533</wp:posOffset>
              </wp:positionH>
              <wp:positionV relativeFrom="page">
                <wp:posOffset>10117487</wp:posOffset>
              </wp:positionV>
              <wp:extent cx="153670" cy="153670"/>
              <wp:effectExtent l="0" t="0" r="0" b="0"/>
              <wp:wrapNone/>
              <wp:docPr id="164" name="Textbox 164"/>
              <wp:cNvGraphicFramePr>
                <a:graphicFrameLocks/>
              </wp:cNvGraphicFramePr>
              <a:graphic>
                <a:graphicData uri="http://schemas.microsoft.com/office/word/2010/wordprocessingShape">
                  <wps:wsp>
                    <wps:cNvPr id="164" name="Textbox 164"/>
                    <wps:cNvSpPr txBox="1"/>
                    <wps:spPr>
                      <a:xfrm>
                        <a:off x="0" y="0"/>
                        <a:ext cx="153670" cy="153670"/>
                      </a:xfrm>
                      <a:prstGeom prst="rect">
                        <a:avLst/>
                      </a:prstGeom>
                    </wps:spPr>
                    <wps:txbx>
                      <w:txbxContent>
                        <w:p>
                          <w:pPr>
                            <w:spacing w:before="14"/>
                            <w:ind w:left="20" w:right="0" w:firstLine="0"/>
                            <w:jc w:val="left"/>
                            <w:rPr>
                              <w:sz w:val="18"/>
                            </w:rPr>
                          </w:pPr>
                          <w:r>
                            <w:rPr>
                              <w:spacing w:val="-5"/>
                              <w:sz w:val="18"/>
                            </w:rPr>
                            <w:t>33</w:t>
                          </w:r>
                        </w:p>
                      </w:txbxContent>
                    </wps:txbx>
                    <wps:bodyPr wrap="square" lIns="0" tIns="0" rIns="0" bIns="0" rtlCol="0">
                      <a:noAutofit/>
                    </wps:bodyPr>
                  </wps:wsp>
                </a:graphicData>
              </a:graphic>
            </wp:anchor>
          </w:drawing>
        </mc:Choice>
        <mc:Fallback>
          <w:pict>
            <v:shape style="position:absolute;margin-left:516.419983pt;margin-top:796.652527pt;width:12.1pt;height:12.1pt;mso-position-horizontal-relative:page;mso-position-vertical-relative:page;z-index:-17341440" type="#_x0000_t202" id="docshape141" filled="false" stroked="false">
              <v:textbox inset="0,0,0,0">
                <w:txbxContent>
                  <w:p>
                    <w:pPr>
                      <w:spacing w:before="14"/>
                      <w:ind w:left="20" w:right="0" w:firstLine="0"/>
                      <w:jc w:val="left"/>
                      <w:rPr>
                        <w:sz w:val="18"/>
                      </w:rPr>
                    </w:pPr>
                    <w:r>
                      <w:rPr>
                        <w:spacing w:val="-5"/>
                        <w:sz w:val="18"/>
                      </w:rPr>
                      <w:t>33</w:t>
                    </w:r>
                  </w:p>
                </w:txbxContent>
              </v:textbox>
              <w10:wrap type="none"/>
            </v:shape>
          </w:pict>
        </mc:Fallback>
      </mc:AlternateContent>
    </w:r>
    <w:r>
      <w:rPr/>
      <mc:AlternateContent>
        <mc:Choice Requires="wps">
          <w:drawing>
            <wp:anchor distT="0" distB="0" distL="0" distR="0" allowOverlap="1" layoutInCell="1" locked="0" behindDoc="1" simplePos="0" relativeHeight="485975552">
              <wp:simplePos x="0" y="0"/>
              <wp:positionH relativeFrom="page">
                <wp:posOffset>3493134</wp:posOffset>
              </wp:positionH>
              <wp:positionV relativeFrom="page">
                <wp:posOffset>10374883</wp:posOffset>
              </wp:positionV>
              <wp:extent cx="575945" cy="177800"/>
              <wp:effectExtent l="0" t="0" r="0" b="0"/>
              <wp:wrapNone/>
              <wp:docPr id="165" name="Textbox 165"/>
              <wp:cNvGraphicFramePr>
                <a:graphicFrameLocks/>
              </wp:cNvGraphicFramePr>
              <a:graphic>
                <a:graphicData uri="http://schemas.microsoft.com/office/word/2010/wordprocessingShape">
                  <wps:wsp>
                    <wps:cNvPr id="165" name="Textbox 165"/>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40928" type="#_x0000_t202" id="docshape142"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3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76064">
              <wp:simplePos x="0" y="0"/>
              <wp:positionH relativeFrom="page">
                <wp:posOffset>706627</wp:posOffset>
              </wp:positionH>
              <wp:positionV relativeFrom="page">
                <wp:posOffset>10117487</wp:posOffset>
              </wp:positionV>
              <wp:extent cx="153670" cy="153670"/>
              <wp:effectExtent l="0" t="0" r="0" b="0"/>
              <wp:wrapNone/>
              <wp:docPr id="166" name="Textbox 166"/>
              <wp:cNvGraphicFramePr>
                <a:graphicFrameLocks/>
              </wp:cNvGraphicFramePr>
              <a:graphic>
                <a:graphicData uri="http://schemas.microsoft.com/office/word/2010/wordprocessingShape">
                  <wps:wsp>
                    <wps:cNvPr id="166" name="Textbox 166"/>
                    <wps:cNvSpPr txBox="1"/>
                    <wps:spPr>
                      <a:xfrm>
                        <a:off x="0" y="0"/>
                        <a:ext cx="153670" cy="153670"/>
                      </a:xfrm>
                      <a:prstGeom prst="rect">
                        <a:avLst/>
                      </a:prstGeom>
                    </wps:spPr>
                    <wps:txbx>
                      <w:txbxContent>
                        <w:p>
                          <w:pPr>
                            <w:spacing w:before="14"/>
                            <w:ind w:left="20" w:right="0" w:firstLine="0"/>
                            <w:jc w:val="left"/>
                            <w:rPr>
                              <w:sz w:val="18"/>
                            </w:rPr>
                          </w:pPr>
                          <w:r>
                            <w:rPr>
                              <w:spacing w:val="-5"/>
                              <w:sz w:val="18"/>
                            </w:rPr>
                            <w:t>34</w:t>
                          </w:r>
                        </w:p>
                      </w:txbxContent>
                    </wps:txbx>
                    <wps:bodyPr wrap="square" lIns="0" tIns="0" rIns="0" bIns="0" rtlCol="0">
                      <a:noAutofit/>
                    </wps:bodyPr>
                  </wps:wsp>
                </a:graphicData>
              </a:graphic>
            </wp:anchor>
          </w:drawing>
        </mc:Choice>
        <mc:Fallback>
          <w:pict>
            <v:shape style="position:absolute;margin-left:55.639999pt;margin-top:796.652527pt;width:12.1pt;height:12.1pt;mso-position-horizontal-relative:page;mso-position-vertical-relative:page;z-index:-17340416" type="#_x0000_t202" id="docshape143" filled="false" stroked="false">
              <v:textbox inset="0,0,0,0">
                <w:txbxContent>
                  <w:p>
                    <w:pPr>
                      <w:spacing w:before="14"/>
                      <w:ind w:left="20" w:right="0" w:firstLine="0"/>
                      <w:jc w:val="left"/>
                      <w:rPr>
                        <w:sz w:val="18"/>
                      </w:rPr>
                    </w:pPr>
                    <w:r>
                      <w:rPr>
                        <w:spacing w:val="-5"/>
                        <w:sz w:val="18"/>
                      </w:rPr>
                      <w:t>34</w:t>
                    </w:r>
                  </w:p>
                </w:txbxContent>
              </v:textbox>
              <w10:wrap type="none"/>
            </v:shape>
          </w:pict>
        </mc:Fallback>
      </mc:AlternateContent>
    </w:r>
    <w:r>
      <w:rPr/>
      <mc:AlternateContent>
        <mc:Choice Requires="wps">
          <w:drawing>
            <wp:anchor distT="0" distB="0" distL="0" distR="0" allowOverlap="1" layoutInCell="1" locked="0" behindDoc="1" simplePos="0" relativeHeight="485976576">
              <wp:simplePos x="0" y="0"/>
              <wp:positionH relativeFrom="page">
                <wp:posOffset>4365116</wp:posOffset>
              </wp:positionH>
              <wp:positionV relativeFrom="page">
                <wp:posOffset>10117487</wp:posOffset>
              </wp:positionV>
              <wp:extent cx="63500" cy="153670"/>
              <wp:effectExtent l="0" t="0" r="0" b="0"/>
              <wp:wrapNone/>
              <wp:docPr id="167" name="Textbox 167"/>
              <wp:cNvGraphicFramePr>
                <a:graphicFrameLocks/>
              </wp:cNvGraphicFramePr>
              <a:graphic>
                <a:graphicData uri="http://schemas.microsoft.com/office/word/2010/wordprocessingShape">
                  <wps:wsp>
                    <wps:cNvPr id="167" name="Textbox 167"/>
                    <wps:cNvSpPr txBox="1"/>
                    <wps:spPr>
                      <a:xfrm>
                        <a:off x="0" y="0"/>
                        <a:ext cx="63500" cy="153670"/>
                      </a:xfrm>
                      <a:prstGeom prst="rect">
                        <a:avLst/>
                      </a:prstGeom>
                    </wps:spPr>
                    <wps:txbx>
                      <w:txbxContent>
                        <w:p>
                          <w:pPr>
                            <w:spacing w:before="14"/>
                            <w:ind w:left="20" w:right="0" w:firstLine="0"/>
                            <w:jc w:val="left"/>
                            <w:rPr>
                              <w:sz w:val="18"/>
                            </w:rPr>
                          </w:pPr>
                          <w:r>
                            <w:rPr>
                              <w:spacing w:val="-10"/>
                              <w:sz w:val="18"/>
                            </w:rPr>
                            <w:t>`</w:t>
                          </w:r>
                        </w:p>
                      </w:txbxContent>
                    </wps:txbx>
                    <wps:bodyPr wrap="square" lIns="0" tIns="0" rIns="0" bIns="0" rtlCol="0">
                      <a:noAutofit/>
                    </wps:bodyPr>
                  </wps:wsp>
                </a:graphicData>
              </a:graphic>
            </wp:anchor>
          </w:drawing>
        </mc:Choice>
        <mc:Fallback>
          <w:pict>
            <v:shape style="position:absolute;margin-left:343.709991pt;margin-top:796.652527pt;width:5pt;height:12.1pt;mso-position-horizontal-relative:page;mso-position-vertical-relative:page;z-index:-17339904" type="#_x0000_t202" id="docshape144" filled="false" stroked="false">
              <v:textbox inset="0,0,0,0">
                <w:txbxContent>
                  <w:p>
                    <w:pPr>
                      <w:spacing w:before="14"/>
                      <w:ind w:left="20" w:right="0" w:firstLine="0"/>
                      <w:jc w:val="left"/>
                      <w:rPr>
                        <w:sz w:val="18"/>
                      </w:rPr>
                    </w:pPr>
                    <w:r>
                      <w:rPr>
                        <w:spacing w:val="-10"/>
                        <w:sz w:val="18"/>
                      </w:rPr>
                      <w:t>`</w:t>
                    </w:r>
                  </w:p>
                </w:txbxContent>
              </v:textbox>
              <w10:wrap type="none"/>
            </v:shape>
          </w:pict>
        </mc:Fallback>
      </mc:AlternateContent>
    </w:r>
    <w:r>
      <w:rPr/>
      <mc:AlternateContent>
        <mc:Choice Requires="wps">
          <w:drawing>
            <wp:anchor distT="0" distB="0" distL="0" distR="0" allowOverlap="1" layoutInCell="1" locked="0" behindDoc="1" simplePos="0" relativeHeight="485977088">
              <wp:simplePos x="0" y="0"/>
              <wp:positionH relativeFrom="page">
                <wp:posOffset>5279516</wp:posOffset>
              </wp:positionH>
              <wp:positionV relativeFrom="page">
                <wp:posOffset>10117487</wp:posOffset>
              </wp:positionV>
              <wp:extent cx="1228090" cy="153670"/>
              <wp:effectExtent l="0" t="0" r="0" b="0"/>
              <wp:wrapNone/>
              <wp:docPr id="168" name="Textbox 168"/>
              <wp:cNvGraphicFramePr>
                <a:graphicFrameLocks/>
              </wp:cNvGraphicFramePr>
              <a:graphic>
                <a:graphicData uri="http://schemas.microsoft.com/office/word/2010/wordprocessingShape">
                  <wps:wsp>
                    <wps:cNvPr id="168" name="Textbox 168"/>
                    <wps:cNvSpPr txBox="1"/>
                    <wps:spPr>
                      <a:xfrm>
                        <a:off x="0" y="0"/>
                        <a:ext cx="1228090"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415.709991pt;margin-top:796.652527pt;width:96.7pt;height:12.1pt;mso-position-horizontal-relative:page;mso-position-vertical-relative:page;z-index:-17339392" type="#_x0000_t202" id="docshape145"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77600">
              <wp:simplePos x="0" y="0"/>
              <wp:positionH relativeFrom="page">
                <wp:posOffset>3595242</wp:posOffset>
              </wp:positionH>
              <wp:positionV relativeFrom="page">
                <wp:posOffset>10368788</wp:posOffset>
              </wp:positionV>
              <wp:extent cx="575945" cy="177800"/>
              <wp:effectExtent l="0" t="0" r="0" b="0"/>
              <wp:wrapNone/>
              <wp:docPr id="169" name="Textbox 169"/>
              <wp:cNvGraphicFramePr>
                <a:graphicFrameLocks/>
              </wp:cNvGraphicFramePr>
              <a:graphic>
                <a:graphicData uri="http://schemas.microsoft.com/office/word/2010/wordprocessingShape">
                  <wps:wsp>
                    <wps:cNvPr id="169" name="Textbox 169"/>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83.089996pt;margin-top:816.440002pt;width:45.35pt;height:14pt;mso-position-horizontal-relative:page;mso-position-vertical-relative:page;z-index:-17338880" type="#_x0000_t202" id="docshape146"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3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78112">
              <wp:simplePos x="0" y="0"/>
              <wp:positionH relativeFrom="page">
                <wp:posOffset>706627</wp:posOffset>
              </wp:positionH>
              <wp:positionV relativeFrom="page">
                <wp:posOffset>10117487</wp:posOffset>
              </wp:positionV>
              <wp:extent cx="1227455" cy="153670"/>
              <wp:effectExtent l="0" t="0" r="0" b="0"/>
              <wp:wrapNone/>
              <wp:docPr id="171" name="Textbox 171"/>
              <wp:cNvGraphicFramePr>
                <a:graphicFrameLocks/>
              </wp:cNvGraphicFramePr>
              <a:graphic>
                <a:graphicData uri="http://schemas.microsoft.com/office/word/2010/wordprocessingShape">
                  <wps:wsp>
                    <wps:cNvPr id="171" name="Textbox 171"/>
                    <wps:cNvSpPr txBox="1"/>
                    <wps:spPr>
                      <a:xfrm>
                        <a:off x="0" y="0"/>
                        <a:ext cx="1227455"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55.639999pt;margin-top:796.652527pt;width:96.65pt;height:12.1pt;mso-position-horizontal-relative:page;mso-position-vertical-relative:page;z-index:-17338368" type="#_x0000_t202" id="docshape147"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78624">
              <wp:simplePos x="0" y="0"/>
              <wp:positionH relativeFrom="page">
                <wp:posOffset>6558533</wp:posOffset>
              </wp:positionH>
              <wp:positionV relativeFrom="page">
                <wp:posOffset>10117487</wp:posOffset>
              </wp:positionV>
              <wp:extent cx="153670" cy="153670"/>
              <wp:effectExtent l="0" t="0" r="0" b="0"/>
              <wp:wrapNone/>
              <wp:docPr id="172" name="Textbox 172"/>
              <wp:cNvGraphicFramePr>
                <a:graphicFrameLocks/>
              </wp:cNvGraphicFramePr>
              <a:graphic>
                <a:graphicData uri="http://schemas.microsoft.com/office/word/2010/wordprocessingShape">
                  <wps:wsp>
                    <wps:cNvPr id="172" name="Textbox 172"/>
                    <wps:cNvSpPr txBox="1"/>
                    <wps:spPr>
                      <a:xfrm>
                        <a:off x="0" y="0"/>
                        <a:ext cx="153670" cy="153670"/>
                      </a:xfrm>
                      <a:prstGeom prst="rect">
                        <a:avLst/>
                      </a:prstGeom>
                    </wps:spPr>
                    <wps:txbx>
                      <w:txbxContent>
                        <w:p>
                          <w:pPr>
                            <w:spacing w:before="14"/>
                            <w:ind w:left="20" w:right="0" w:firstLine="0"/>
                            <w:jc w:val="left"/>
                            <w:rPr>
                              <w:sz w:val="18"/>
                            </w:rPr>
                          </w:pPr>
                          <w:r>
                            <w:rPr>
                              <w:spacing w:val="-5"/>
                              <w:sz w:val="18"/>
                            </w:rPr>
                            <w:t>35</w:t>
                          </w:r>
                        </w:p>
                      </w:txbxContent>
                    </wps:txbx>
                    <wps:bodyPr wrap="square" lIns="0" tIns="0" rIns="0" bIns="0" rtlCol="0">
                      <a:noAutofit/>
                    </wps:bodyPr>
                  </wps:wsp>
                </a:graphicData>
              </a:graphic>
            </wp:anchor>
          </w:drawing>
        </mc:Choice>
        <mc:Fallback>
          <w:pict>
            <v:shape style="position:absolute;margin-left:516.419983pt;margin-top:796.652527pt;width:12.1pt;height:12.1pt;mso-position-horizontal-relative:page;mso-position-vertical-relative:page;z-index:-17337856" type="#_x0000_t202" id="docshape148" filled="false" stroked="false">
              <v:textbox inset="0,0,0,0">
                <w:txbxContent>
                  <w:p>
                    <w:pPr>
                      <w:spacing w:before="14"/>
                      <w:ind w:left="20" w:right="0" w:firstLine="0"/>
                      <w:jc w:val="left"/>
                      <w:rPr>
                        <w:sz w:val="18"/>
                      </w:rPr>
                    </w:pPr>
                    <w:r>
                      <w:rPr>
                        <w:spacing w:val="-5"/>
                        <w:sz w:val="18"/>
                      </w:rPr>
                      <w:t>35</w:t>
                    </w:r>
                  </w:p>
                </w:txbxContent>
              </v:textbox>
              <w10:wrap type="none"/>
            </v:shape>
          </w:pict>
        </mc:Fallback>
      </mc:AlternateContent>
    </w:r>
    <w:r>
      <w:rPr/>
      <mc:AlternateContent>
        <mc:Choice Requires="wps">
          <w:drawing>
            <wp:anchor distT="0" distB="0" distL="0" distR="0" allowOverlap="1" layoutInCell="1" locked="0" behindDoc="1" simplePos="0" relativeHeight="485979136">
              <wp:simplePos x="0" y="0"/>
              <wp:positionH relativeFrom="page">
                <wp:posOffset>3493134</wp:posOffset>
              </wp:positionH>
              <wp:positionV relativeFrom="page">
                <wp:posOffset>10374883</wp:posOffset>
              </wp:positionV>
              <wp:extent cx="575945" cy="177800"/>
              <wp:effectExtent l="0" t="0" r="0" b="0"/>
              <wp:wrapNone/>
              <wp:docPr id="173" name="Textbox 173"/>
              <wp:cNvGraphicFramePr>
                <a:graphicFrameLocks/>
              </wp:cNvGraphicFramePr>
              <a:graphic>
                <a:graphicData uri="http://schemas.microsoft.com/office/word/2010/wordprocessingShape">
                  <wps:wsp>
                    <wps:cNvPr id="173" name="Textbox 173"/>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37344" type="#_x0000_t202" id="docshape149"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23328">
              <wp:simplePos x="0" y="0"/>
              <wp:positionH relativeFrom="page">
                <wp:posOffset>706627</wp:posOffset>
              </wp:positionH>
              <wp:positionV relativeFrom="page">
                <wp:posOffset>10117487</wp:posOffset>
              </wp:positionV>
              <wp:extent cx="109220" cy="153670"/>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109220" cy="153670"/>
                      </a:xfrm>
                      <a:prstGeom prst="rect">
                        <a:avLst/>
                      </a:prstGeom>
                    </wps:spPr>
                    <wps:txbx>
                      <w:txbxContent>
                        <w:p>
                          <w:pPr>
                            <w:spacing w:before="14"/>
                            <w:ind w:left="20" w:right="0" w:firstLine="0"/>
                            <w:jc w:val="left"/>
                            <w:rPr>
                              <w:sz w:val="18"/>
                            </w:rPr>
                          </w:pPr>
                          <w:r>
                            <w:rPr>
                              <w:spacing w:val="-5"/>
                              <w:sz w:val="18"/>
                            </w:rPr>
                            <w:t>iv</w:t>
                          </w:r>
                        </w:p>
                      </w:txbxContent>
                    </wps:txbx>
                    <wps:bodyPr wrap="square" lIns="0" tIns="0" rIns="0" bIns="0" rtlCol="0">
                      <a:noAutofit/>
                    </wps:bodyPr>
                  </wps:wsp>
                </a:graphicData>
              </a:graphic>
            </wp:anchor>
          </w:drawing>
        </mc:Choice>
        <mc:Fallback>
          <w:pict>
            <v:shape style="position:absolute;margin-left:55.639999pt;margin-top:796.652527pt;width:8.6pt;height:12.1pt;mso-position-horizontal-relative:page;mso-position-vertical-relative:page;z-index:-17393152" type="#_x0000_t202" id="docshape37" filled="false" stroked="false">
              <v:textbox inset="0,0,0,0">
                <w:txbxContent>
                  <w:p>
                    <w:pPr>
                      <w:spacing w:before="14"/>
                      <w:ind w:left="20" w:right="0" w:firstLine="0"/>
                      <w:jc w:val="left"/>
                      <w:rPr>
                        <w:sz w:val="18"/>
                      </w:rPr>
                    </w:pPr>
                    <w:r>
                      <w:rPr>
                        <w:spacing w:val="-5"/>
                        <w:sz w:val="18"/>
                      </w:rPr>
                      <w:t>iv</w:t>
                    </w:r>
                  </w:p>
                </w:txbxContent>
              </v:textbox>
              <w10:wrap type="none"/>
            </v:shape>
          </w:pict>
        </mc:Fallback>
      </mc:AlternateContent>
    </w:r>
    <w:r>
      <w:rPr/>
      <mc:AlternateContent>
        <mc:Choice Requires="wps">
          <w:drawing>
            <wp:anchor distT="0" distB="0" distL="0" distR="0" allowOverlap="1" layoutInCell="1" locked="0" behindDoc="1" simplePos="0" relativeHeight="485923840">
              <wp:simplePos x="0" y="0"/>
              <wp:positionH relativeFrom="page">
                <wp:posOffset>5569077</wp:posOffset>
              </wp:positionH>
              <wp:positionV relativeFrom="page">
                <wp:posOffset>10117487</wp:posOffset>
              </wp:positionV>
              <wp:extent cx="1228090" cy="153670"/>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1228090"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438.51001pt;margin-top:796.652527pt;width:96.7pt;height:12.1pt;mso-position-horizontal-relative:page;mso-position-vertical-relative:page;z-index:-17392640" type="#_x0000_t202" id="docshape38"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24352">
              <wp:simplePos x="0" y="0"/>
              <wp:positionH relativeFrom="page">
                <wp:posOffset>3493134</wp:posOffset>
              </wp:positionH>
              <wp:positionV relativeFrom="page">
                <wp:posOffset>10374883</wp:posOffset>
              </wp:positionV>
              <wp:extent cx="575945" cy="177800"/>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92128" type="#_x0000_t202" id="docshape39"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4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79648">
              <wp:simplePos x="0" y="0"/>
              <wp:positionH relativeFrom="page">
                <wp:posOffset>706627</wp:posOffset>
              </wp:positionH>
              <wp:positionV relativeFrom="page">
                <wp:posOffset>10117487</wp:posOffset>
              </wp:positionV>
              <wp:extent cx="153670" cy="153670"/>
              <wp:effectExtent l="0" t="0" r="0" b="0"/>
              <wp:wrapNone/>
              <wp:docPr id="175" name="Textbox 175"/>
              <wp:cNvGraphicFramePr>
                <a:graphicFrameLocks/>
              </wp:cNvGraphicFramePr>
              <a:graphic>
                <a:graphicData uri="http://schemas.microsoft.com/office/word/2010/wordprocessingShape">
                  <wps:wsp>
                    <wps:cNvPr id="175" name="Textbox 175"/>
                    <wps:cNvSpPr txBox="1"/>
                    <wps:spPr>
                      <a:xfrm>
                        <a:off x="0" y="0"/>
                        <a:ext cx="153670" cy="153670"/>
                      </a:xfrm>
                      <a:prstGeom prst="rect">
                        <a:avLst/>
                      </a:prstGeom>
                    </wps:spPr>
                    <wps:txbx>
                      <w:txbxContent>
                        <w:p>
                          <w:pPr>
                            <w:spacing w:before="14"/>
                            <w:ind w:left="20" w:right="0" w:firstLine="0"/>
                            <w:jc w:val="left"/>
                            <w:rPr>
                              <w:sz w:val="18"/>
                            </w:rPr>
                          </w:pPr>
                          <w:r>
                            <w:rPr>
                              <w:spacing w:val="-5"/>
                              <w:sz w:val="18"/>
                            </w:rPr>
                            <w:t>36</w:t>
                          </w:r>
                        </w:p>
                      </w:txbxContent>
                    </wps:txbx>
                    <wps:bodyPr wrap="square" lIns="0" tIns="0" rIns="0" bIns="0" rtlCol="0">
                      <a:noAutofit/>
                    </wps:bodyPr>
                  </wps:wsp>
                </a:graphicData>
              </a:graphic>
            </wp:anchor>
          </w:drawing>
        </mc:Choice>
        <mc:Fallback>
          <w:pict>
            <v:shape style="position:absolute;margin-left:55.639999pt;margin-top:796.652527pt;width:12.1pt;height:12.1pt;mso-position-horizontal-relative:page;mso-position-vertical-relative:page;z-index:-17336832" type="#_x0000_t202" id="docshape150" filled="false" stroked="false">
              <v:textbox inset="0,0,0,0">
                <w:txbxContent>
                  <w:p>
                    <w:pPr>
                      <w:spacing w:before="14"/>
                      <w:ind w:left="20" w:right="0" w:firstLine="0"/>
                      <w:jc w:val="left"/>
                      <w:rPr>
                        <w:sz w:val="18"/>
                      </w:rPr>
                    </w:pPr>
                    <w:r>
                      <w:rPr>
                        <w:spacing w:val="-5"/>
                        <w:sz w:val="18"/>
                      </w:rPr>
                      <w:t>36</w:t>
                    </w:r>
                  </w:p>
                </w:txbxContent>
              </v:textbox>
              <w10:wrap type="none"/>
            </v:shape>
          </w:pict>
        </mc:Fallback>
      </mc:AlternateContent>
    </w:r>
    <w:r>
      <w:rPr/>
      <mc:AlternateContent>
        <mc:Choice Requires="wps">
          <w:drawing>
            <wp:anchor distT="0" distB="0" distL="0" distR="0" allowOverlap="1" layoutInCell="1" locked="0" behindDoc="1" simplePos="0" relativeHeight="485980160">
              <wp:simplePos x="0" y="0"/>
              <wp:positionH relativeFrom="page">
                <wp:posOffset>5569077</wp:posOffset>
              </wp:positionH>
              <wp:positionV relativeFrom="page">
                <wp:posOffset>10117487</wp:posOffset>
              </wp:positionV>
              <wp:extent cx="1228090" cy="153670"/>
              <wp:effectExtent l="0" t="0" r="0" b="0"/>
              <wp:wrapNone/>
              <wp:docPr id="176" name="Textbox 176"/>
              <wp:cNvGraphicFramePr>
                <a:graphicFrameLocks/>
              </wp:cNvGraphicFramePr>
              <a:graphic>
                <a:graphicData uri="http://schemas.microsoft.com/office/word/2010/wordprocessingShape">
                  <wps:wsp>
                    <wps:cNvPr id="176" name="Textbox 176"/>
                    <wps:cNvSpPr txBox="1"/>
                    <wps:spPr>
                      <a:xfrm>
                        <a:off x="0" y="0"/>
                        <a:ext cx="1228090"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438.51001pt;margin-top:796.652527pt;width:96.7pt;height:12.1pt;mso-position-horizontal-relative:page;mso-position-vertical-relative:page;z-index:-17336320" type="#_x0000_t202" id="docshape151"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80672">
              <wp:simplePos x="0" y="0"/>
              <wp:positionH relativeFrom="page">
                <wp:posOffset>3493134</wp:posOffset>
              </wp:positionH>
              <wp:positionV relativeFrom="page">
                <wp:posOffset>10374883</wp:posOffset>
              </wp:positionV>
              <wp:extent cx="575945" cy="177800"/>
              <wp:effectExtent l="0" t="0" r="0" b="0"/>
              <wp:wrapNone/>
              <wp:docPr id="177" name="Textbox 177"/>
              <wp:cNvGraphicFramePr>
                <a:graphicFrameLocks/>
              </wp:cNvGraphicFramePr>
              <a:graphic>
                <a:graphicData uri="http://schemas.microsoft.com/office/word/2010/wordprocessingShape">
                  <wps:wsp>
                    <wps:cNvPr id="177" name="Textbox 177"/>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35808" type="#_x0000_t202" id="docshape152"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4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81184">
              <wp:simplePos x="0" y="0"/>
              <wp:positionH relativeFrom="page">
                <wp:posOffset>706627</wp:posOffset>
              </wp:positionH>
              <wp:positionV relativeFrom="page">
                <wp:posOffset>10117487</wp:posOffset>
              </wp:positionV>
              <wp:extent cx="1227455" cy="153670"/>
              <wp:effectExtent l="0" t="0" r="0" b="0"/>
              <wp:wrapNone/>
              <wp:docPr id="179" name="Textbox 179"/>
              <wp:cNvGraphicFramePr>
                <a:graphicFrameLocks/>
              </wp:cNvGraphicFramePr>
              <a:graphic>
                <a:graphicData uri="http://schemas.microsoft.com/office/word/2010/wordprocessingShape">
                  <wps:wsp>
                    <wps:cNvPr id="179" name="Textbox 179"/>
                    <wps:cNvSpPr txBox="1"/>
                    <wps:spPr>
                      <a:xfrm>
                        <a:off x="0" y="0"/>
                        <a:ext cx="1227455"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55.639999pt;margin-top:796.652527pt;width:96.65pt;height:12.1pt;mso-position-horizontal-relative:page;mso-position-vertical-relative:page;z-index:-17335296" type="#_x0000_t202" id="docshape153"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81696">
              <wp:simplePos x="0" y="0"/>
              <wp:positionH relativeFrom="page">
                <wp:posOffset>6558533</wp:posOffset>
              </wp:positionH>
              <wp:positionV relativeFrom="page">
                <wp:posOffset>10117487</wp:posOffset>
              </wp:positionV>
              <wp:extent cx="153670" cy="153670"/>
              <wp:effectExtent l="0" t="0" r="0" b="0"/>
              <wp:wrapNone/>
              <wp:docPr id="180" name="Textbox 180"/>
              <wp:cNvGraphicFramePr>
                <a:graphicFrameLocks/>
              </wp:cNvGraphicFramePr>
              <a:graphic>
                <a:graphicData uri="http://schemas.microsoft.com/office/word/2010/wordprocessingShape">
                  <wps:wsp>
                    <wps:cNvPr id="180" name="Textbox 180"/>
                    <wps:cNvSpPr txBox="1"/>
                    <wps:spPr>
                      <a:xfrm>
                        <a:off x="0" y="0"/>
                        <a:ext cx="153670" cy="153670"/>
                      </a:xfrm>
                      <a:prstGeom prst="rect">
                        <a:avLst/>
                      </a:prstGeom>
                    </wps:spPr>
                    <wps:txbx>
                      <w:txbxContent>
                        <w:p>
                          <w:pPr>
                            <w:spacing w:before="14"/>
                            <w:ind w:left="20" w:right="0" w:firstLine="0"/>
                            <w:jc w:val="left"/>
                            <w:rPr>
                              <w:sz w:val="18"/>
                            </w:rPr>
                          </w:pPr>
                          <w:r>
                            <w:rPr>
                              <w:spacing w:val="-5"/>
                              <w:sz w:val="18"/>
                            </w:rPr>
                            <w:t>37</w:t>
                          </w:r>
                        </w:p>
                      </w:txbxContent>
                    </wps:txbx>
                    <wps:bodyPr wrap="square" lIns="0" tIns="0" rIns="0" bIns="0" rtlCol="0">
                      <a:noAutofit/>
                    </wps:bodyPr>
                  </wps:wsp>
                </a:graphicData>
              </a:graphic>
            </wp:anchor>
          </w:drawing>
        </mc:Choice>
        <mc:Fallback>
          <w:pict>
            <v:shape style="position:absolute;margin-left:516.419983pt;margin-top:796.652527pt;width:12.1pt;height:12.1pt;mso-position-horizontal-relative:page;mso-position-vertical-relative:page;z-index:-17334784" type="#_x0000_t202" id="docshape154" filled="false" stroked="false">
              <v:textbox inset="0,0,0,0">
                <w:txbxContent>
                  <w:p>
                    <w:pPr>
                      <w:spacing w:before="14"/>
                      <w:ind w:left="20" w:right="0" w:firstLine="0"/>
                      <w:jc w:val="left"/>
                      <w:rPr>
                        <w:sz w:val="18"/>
                      </w:rPr>
                    </w:pPr>
                    <w:r>
                      <w:rPr>
                        <w:spacing w:val="-5"/>
                        <w:sz w:val="18"/>
                      </w:rPr>
                      <w:t>37</w:t>
                    </w:r>
                  </w:p>
                </w:txbxContent>
              </v:textbox>
              <w10:wrap type="none"/>
            </v:shape>
          </w:pict>
        </mc:Fallback>
      </mc:AlternateContent>
    </w:r>
    <w:r>
      <w:rPr/>
      <mc:AlternateContent>
        <mc:Choice Requires="wps">
          <w:drawing>
            <wp:anchor distT="0" distB="0" distL="0" distR="0" allowOverlap="1" layoutInCell="1" locked="0" behindDoc="1" simplePos="0" relativeHeight="485982208">
              <wp:simplePos x="0" y="0"/>
              <wp:positionH relativeFrom="page">
                <wp:posOffset>3493134</wp:posOffset>
              </wp:positionH>
              <wp:positionV relativeFrom="page">
                <wp:posOffset>10374883</wp:posOffset>
              </wp:positionV>
              <wp:extent cx="575945" cy="177800"/>
              <wp:effectExtent l="0" t="0" r="0" b="0"/>
              <wp:wrapNone/>
              <wp:docPr id="181" name="Textbox 181"/>
              <wp:cNvGraphicFramePr>
                <a:graphicFrameLocks/>
              </wp:cNvGraphicFramePr>
              <a:graphic>
                <a:graphicData uri="http://schemas.microsoft.com/office/word/2010/wordprocessingShape">
                  <wps:wsp>
                    <wps:cNvPr id="181" name="Textbox 181"/>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34272" type="#_x0000_t202" id="docshape155"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4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82720">
              <wp:simplePos x="0" y="0"/>
              <wp:positionH relativeFrom="page">
                <wp:posOffset>706627</wp:posOffset>
              </wp:positionH>
              <wp:positionV relativeFrom="page">
                <wp:posOffset>10117487</wp:posOffset>
              </wp:positionV>
              <wp:extent cx="153670" cy="153670"/>
              <wp:effectExtent l="0" t="0" r="0" b="0"/>
              <wp:wrapNone/>
              <wp:docPr id="183" name="Textbox 183"/>
              <wp:cNvGraphicFramePr>
                <a:graphicFrameLocks/>
              </wp:cNvGraphicFramePr>
              <a:graphic>
                <a:graphicData uri="http://schemas.microsoft.com/office/word/2010/wordprocessingShape">
                  <wps:wsp>
                    <wps:cNvPr id="183" name="Textbox 183"/>
                    <wps:cNvSpPr txBox="1"/>
                    <wps:spPr>
                      <a:xfrm>
                        <a:off x="0" y="0"/>
                        <a:ext cx="153670" cy="153670"/>
                      </a:xfrm>
                      <a:prstGeom prst="rect">
                        <a:avLst/>
                      </a:prstGeom>
                    </wps:spPr>
                    <wps:txbx>
                      <w:txbxContent>
                        <w:p>
                          <w:pPr>
                            <w:spacing w:before="14"/>
                            <w:ind w:left="20" w:right="0" w:firstLine="0"/>
                            <w:jc w:val="left"/>
                            <w:rPr>
                              <w:sz w:val="18"/>
                            </w:rPr>
                          </w:pPr>
                          <w:r>
                            <w:rPr>
                              <w:spacing w:val="-5"/>
                              <w:sz w:val="18"/>
                            </w:rPr>
                            <w:t>38</w:t>
                          </w:r>
                        </w:p>
                      </w:txbxContent>
                    </wps:txbx>
                    <wps:bodyPr wrap="square" lIns="0" tIns="0" rIns="0" bIns="0" rtlCol="0">
                      <a:noAutofit/>
                    </wps:bodyPr>
                  </wps:wsp>
                </a:graphicData>
              </a:graphic>
            </wp:anchor>
          </w:drawing>
        </mc:Choice>
        <mc:Fallback>
          <w:pict>
            <v:shape style="position:absolute;margin-left:55.639999pt;margin-top:796.652527pt;width:12.1pt;height:12.1pt;mso-position-horizontal-relative:page;mso-position-vertical-relative:page;z-index:-17333760" type="#_x0000_t202" id="docshape156" filled="false" stroked="false">
              <v:textbox inset="0,0,0,0">
                <w:txbxContent>
                  <w:p>
                    <w:pPr>
                      <w:spacing w:before="14"/>
                      <w:ind w:left="20" w:right="0" w:firstLine="0"/>
                      <w:jc w:val="left"/>
                      <w:rPr>
                        <w:sz w:val="18"/>
                      </w:rPr>
                    </w:pPr>
                    <w:r>
                      <w:rPr>
                        <w:spacing w:val="-5"/>
                        <w:sz w:val="18"/>
                      </w:rPr>
                      <w:t>38</w:t>
                    </w:r>
                  </w:p>
                </w:txbxContent>
              </v:textbox>
              <w10:wrap type="none"/>
            </v:shape>
          </w:pict>
        </mc:Fallback>
      </mc:AlternateContent>
    </w:r>
    <w:r>
      <w:rPr/>
      <mc:AlternateContent>
        <mc:Choice Requires="wps">
          <w:drawing>
            <wp:anchor distT="0" distB="0" distL="0" distR="0" allowOverlap="1" layoutInCell="1" locked="0" behindDoc="1" simplePos="0" relativeHeight="485983232">
              <wp:simplePos x="0" y="0"/>
              <wp:positionH relativeFrom="page">
                <wp:posOffset>5569077</wp:posOffset>
              </wp:positionH>
              <wp:positionV relativeFrom="page">
                <wp:posOffset>10117487</wp:posOffset>
              </wp:positionV>
              <wp:extent cx="1228090" cy="153670"/>
              <wp:effectExtent l="0" t="0" r="0" b="0"/>
              <wp:wrapNone/>
              <wp:docPr id="184" name="Textbox 184"/>
              <wp:cNvGraphicFramePr>
                <a:graphicFrameLocks/>
              </wp:cNvGraphicFramePr>
              <a:graphic>
                <a:graphicData uri="http://schemas.microsoft.com/office/word/2010/wordprocessingShape">
                  <wps:wsp>
                    <wps:cNvPr id="184" name="Textbox 184"/>
                    <wps:cNvSpPr txBox="1"/>
                    <wps:spPr>
                      <a:xfrm>
                        <a:off x="0" y="0"/>
                        <a:ext cx="1228090"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438.51001pt;margin-top:796.652527pt;width:96.7pt;height:12.1pt;mso-position-horizontal-relative:page;mso-position-vertical-relative:page;z-index:-17333248" type="#_x0000_t202" id="docshape157"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83744">
              <wp:simplePos x="0" y="0"/>
              <wp:positionH relativeFrom="page">
                <wp:posOffset>3493134</wp:posOffset>
              </wp:positionH>
              <wp:positionV relativeFrom="page">
                <wp:posOffset>10374883</wp:posOffset>
              </wp:positionV>
              <wp:extent cx="575945" cy="177800"/>
              <wp:effectExtent l="0" t="0" r="0" b="0"/>
              <wp:wrapNone/>
              <wp:docPr id="185" name="Textbox 185"/>
              <wp:cNvGraphicFramePr>
                <a:graphicFrameLocks/>
              </wp:cNvGraphicFramePr>
              <a:graphic>
                <a:graphicData uri="http://schemas.microsoft.com/office/word/2010/wordprocessingShape">
                  <wps:wsp>
                    <wps:cNvPr id="185" name="Textbox 185"/>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32736" type="#_x0000_t202" id="docshape158"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4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24864">
              <wp:simplePos x="0" y="0"/>
              <wp:positionH relativeFrom="page">
                <wp:posOffset>706627</wp:posOffset>
              </wp:positionH>
              <wp:positionV relativeFrom="page">
                <wp:posOffset>10117487</wp:posOffset>
              </wp:positionV>
              <wp:extent cx="1227455" cy="153670"/>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1227455"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55.639999pt;margin-top:796.652527pt;width:96.65pt;height:12.1pt;mso-position-horizontal-relative:page;mso-position-vertical-relative:page;z-index:-17391616" type="#_x0000_t202" id="docshape40"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25376">
              <wp:simplePos x="0" y="0"/>
              <wp:positionH relativeFrom="page">
                <wp:posOffset>6558533</wp:posOffset>
              </wp:positionH>
              <wp:positionV relativeFrom="page">
                <wp:posOffset>10117487</wp:posOffset>
              </wp:positionV>
              <wp:extent cx="89535" cy="153670"/>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89535" cy="153670"/>
                      </a:xfrm>
                      <a:prstGeom prst="rect">
                        <a:avLst/>
                      </a:prstGeom>
                    </wps:spPr>
                    <wps:txbx>
                      <w:txbxContent>
                        <w:p>
                          <w:pPr>
                            <w:spacing w:before="14"/>
                            <w:ind w:left="20" w:right="0" w:firstLine="0"/>
                            <w:jc w:val="left"/>
                            <w:rPr>
                              <w:sz w:val="18"/>
                            </w:rPr>
                          </w:pPr>
                          <w:r>
                            <w:rPr>
                              <w:spacing w:val="-10"/>
                              <w:sz w:val="18"/>
                            </w:rPr>
                            <w:t>1</w:t>
                          </w:r>
                        </w:p>
                      </w:txbxContent>
                    </wps:txbx>
                    <wps:bodyPr wrap="square" lIns="0" tIns="0" rIns="0" bIns="0" rtlCol="0">
                      <a:noAutofit/>
                    </wps:bodyPr>
                  </wps:wsp>
                </a:graphicData>
              </a:graphic>
            </wp:anchor>
          </w:drawing>
        </mc:Choice>
        <mc:Fallback>
          <w:pict>
            <v:shape style="position:absolute;margin-left:516.419983pt;margin-top:796.652527pt;width:7.05pt;height:12.1pt;mso-position-horizontal-relative:page;mso-position-vertical-relative:page;z-index:-17391104" type="#_x0000_t202" id="docshape41" filled="false" stroked="false">
              <v:textbox inset="0,0,0,0">
                <w:txbxContent>
                  <w:p>
                    <w:pPr>
                      <w:spacing w:before="14"/>
                      <w:ind w:left="20" w:right="0" w:firstLine="0"/>
                      <w:jc w:val="left"/>
                      <w:rPr>
                        <w:sz w:val="18"/>
                      </w:rPr>
                    </w:pPr>
                    <w:r>
                      <w:rPr>
                        <w:spacing w:val="-10"/>
                        <w:sz w:val="18"/>
                      </w:rPr>
                      <w:t>1</w:t>
                    </w:r>
                  </w:p>
                </w:txbxContent>
              </v:textbox>
              <w10:wrap type="none"/>
            </v:shape>
          </w:pict>
        </mc:Fallback>
      </mc:AlternateContent>
    </w:r>
    <w:r>
      <w:rPr/>
      <mc:AlternateContent>
        <mc:Choice Requires="wps">
          <w:drawing>
            <wp:anchor distT="0" distB="0" distL="0" distR="0" allowOverlap="1" layoutInCell="1" locked="0" behindDoc="1" simplePos="0" relativeHeight="485925888">
              <wp:simplePos x="0" y="0"/>
              <wp:positionH relativeFrom="page">
                <wp:posOffset>3493134</wp:posOffset>
              </wp:positionH>
              <wp:positionV relativeFrom="page">
                <wp:posOffset>10374883</wp:posOffset>
              </wp:positionV>
              <wp:extent cx="575945" cy="177800"/>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90592" type="#_x0000_t202" id="docshape42"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26400">
              <wp:simplePos x="0" y="0"/>
              <wp:positionH relativeFrom="page">
                <wp:posOffset>706627</wp:posOffset>
              </wp:positionH>
              <wp:positionV relativeFrom="page">
                <wp:posOffset>10117487</wp:posOffset>
              </wp:positionV>
              <wp:extent cx="89535" cy="153670"/>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89535" cy="153670"/>
                      </a:xfrm>
                      <a:prstGeom prst="rect">
                        <a:avLst/>
                      </a:prstGeom>
                    </wps:spPr>
                    <wps:txbx>
                      <w:txbxContent>
                        <w:p>
                          <w:pPr>
                            <w:spacing w:before="14"/>
                            <w:ind w:left="20" w:right="0" w:firstLine="0"/>
                            <w:jc w:val="left"/>
                            <w:rPr>
                              <w:sz w:val="18"/>
                            </w:rPr>
                          </w:pPr>
                          <w:r>
                            <w:rPr>
                              <w:spacing w:val="-10"/>
                              <w:sz w:val="18"/>
                            </w:rPr>
                            <w:t>2</w:t>
                          </w:r>
                        </w:p>
                      </w:txbxContent>
                    </wps:txbx>
                    <wps:bodyPr wrap="square" lIns="0" tIns="0" rIns="0" bIns="0" rtlCol="0">
                      <a:noAutofit/>
                    </wps:bodyPr>
                  </wps:wsp>
                </a:graphicData>
              </a:graphic>
            </wp:anchor>
          </w:drawing>
        </mc:Choice>
        <mc:Fallback>
          <w:pict>
            <v:shape style="position:absolute;margin-left:55.639999pt;margin-top:796.652527pt;width:7.05pt;height:12.1pt;mso-position-horizontal-relative:page;mso-position-vertical-relative:page;z-index:-17390080" type="#_x0000_t202" id="docshape43" filled="false" stroked="false">
              <v:textbox inset="0,0,0,0">
                <w:txbxContent>
                  <w:p>
                    <w:pPr>
                      <w:spacing w:before="14"/>
                      <w:ind w:left="20" w:right="0" w:firstLine="0"/>
                      <w:jc w:val="left"/>
                      <w:rPr>
                        <w:sz w:val="18"/>
                      </w:rPr>
                    </w:pPr>
                    <w:r>
                      <w:rPr>
                        <w:spacing w:val="-10"/>
                        <w:sz w:val="18"/>
                      </w:rPr>
                      <w:t>2</w:t>
                    </w:r>
                  </w:p>
                </w:txbxContent>
              </v:textbox>
              <w10:wrap type="none"/>
            </v:shape>
          </w:pict>
        </mc:Fallback>
      </mc:AlternateContent>
    </w:r>
    <w:r>
      <w:rPr/>
      <mc:AlternateContent>
        <mc:Choice Requires="wps">
          <w:drawing>
            <wp:anchor distT="0" distB="0" distL="0" distR="0" allowOverlap="1" layoutInCell="1" locked="0" behindDoc="1" simplePos="0" relativeHeight="485926912">
              <wp:simplePos x="0" y="0"/>
              <wp:positionH relativeFrom="page">
                <wp:posOffset>5569077</wp:posOffset>
              </wp:positionH>
              <wp:positionV relativeFrom="page">
                <wp:posOffset>10117487</wp:posOffset>
              </wp:positionV>
              <wp:extent cx="1228090" cy="153670"/>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1228090"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438.51001pt;margin-top:796.652527pt;width:96.7pt;height:12.1pt;mso-position-horizontal-relative:page;mso-position-vertical-relative:page;z-index:-17389568" type="#_x0000_t202" id="docshape44"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27424">
              <wp:simplePos x="0" y="0"/>
              <wp:positionH relativeFrom="page">
                <wp:posOffset>3493134</wp:posOffset>
              </wp:positionH>
              <wp:positionV relativeFrom="page">
                <wp:posOffset>10374883</wp:posOffset>
              </wp:positionV>
              <wp:extent cx="575945" cy="177800"/>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89056" type="#_x0000_t202" id="docshape45"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27936">
              <wp:simplePos x="0" y="0"/>
              <wp:positionH relativeFrom="page">
                <wp:posOffset>706627</wp:posOffset>
              </wp:positionH>
              <wp:positionV relativeFrom="page">
                <wp:posOffset>10117487</wp:posOffset>
              </wp:positionV>
              <wp:extent cx="1227455" cy="153670"/>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1227455"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55.639999pt;margin-top:796.652527pt;width:96.65pt;height:12.1pt;mso-position-horizontal-relative:page;mso-position-vertical-relative:page;z-index:-17388544" type="#_x0000_t202" id="docshape46"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28448">
              <wp:simplePos x="0" y="0"/>
              <wp:positionH relativeFrom="page">
                <wp:posOffset>6558533</wp:posOffset>
              </wp:positionH>
              <wp:positionV relativeFrom="page">
                <wp:posOffset>10117487</wp:posOffset>
              </wp:positionV>
              <wp:extent cx="89535" cy="153670"/>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89535" cy="153670"/>
                      </a:xfrm>
                      <a:prstGeom prst="rect">
                        <a:avLst/>
                      </a:prstGeom>
                    </wps:spPr>
                    <wps:txbx>
                      <w:txbxContent>
                        <w:p>
                          <w:pPr>
                            <w:spacing w:before="14"/>
                            <w:ind w:left="20" w:right="0" w:firstLine="0"/>
                            <w:jc w:val="left"/>
                            <w:rPr>
                              <w:sz w:val="18"/>
                            </w:rPr>
                          </w:pPr>
                          <w:r>
                            <w:rPr>
                              <w:spacing w:val="-10"/>
                              <w:sz w:val="18"/>
                            </w:rPr>
                            <w:t>3</w:t>
                          </w:r>
                        </w:p>
                      </w:txbxContent>
                    </wps:txbx>
                    <wps:bodyPr wrap="square" lIns="0" tIns="0" rIns="0" bIns="0" rtlCol="0">
                      <a:noAutofit/>
                    </wps:bodyPr>
                  </wps:wsp>
                </a:graphicData>
              </a:graphic>
            </wp:anchor>
          </w:drawing>
        </mc:Choice>
        <mc:Fallback>
          <w:pict>
            <v:shape style="position:absolute;margin-left:516.419983pt;margin-top:796.652527pt;width:7.05pt;height:12.1pt;mso-position-horizontal-relative:page;mso-position-vertical-relative:page;z-index:-17388032" type="#_x0000_t202" id="docshape47" filled="false" stroked="false">
              <v:textbox inset="0,0,0,0">
                <w:txbxContent>
                  <w:p>
                    <w:pPr>
                      <w:spacing w:before="14"/>
                      <w:ind w:left="20" w:right="0" w:firstLine="0"/>
                      <w:jc w:val="left"/>
                      <w:rPr>
                        <w:sz w:val="18"/>
                      </w:rPr>
                    </w:pPr>
                    <w:r>
                      <w:rPr>
                        <w:spacing w:val="-10"/>
                        <w:sz w:val="18"/>
                      </w:rPr>
                      <w:t>3</w:t>
                    </w:r>
                  </w:p>
                </w:txbxContent>
              </v:textbox>
              <w10:wrap type="none"/>
            </v:shape>
          </w:pict>
        </mc:Fallback>
      </mc:AlternateContent>
    </w:r>
    <w:r>
      <w:rPr/>
      <mc:AlternateContent>
        <mc:Choice Requires="wps">
          <w:drawing>
            <wp:anchor distT="0" distB="0" distL="0" distR="0" allowOverlap="1" layoutInCell="1" locked="0" behindDoc="1" simplePos="0" relativeHeight="485928960">
              <wp:simplePos x="0" y="0"/>
              <wp:positionH relativeFrom="page">
                <wp:posOffset>3493134</wp:posOffset>
              </wp:positionH>
              <wp:positionV relativeFrom="page">
                <wp:posOffset>10374883</wp:posOffset>
              </wp:positionV>
              <wp:extent cx="575945" cy="177800"/>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87520" type="#_x0000_t202" id="docshape48"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29472">
              <wp:simplePos x="0" y="0"/>
              <wp:positionH relativeFrom="page">
                <wp:posOffset>706627</wp:posOffset>
              </wp:positionH>
              <wp:positionV relativeFrom="page">
                <wp:posOffset>10117487</wp:posOffset>
              </wp:positionV>
              <wp:extent cx="89535" cy="153670"/>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89535" cy="153670"/>
                      </a:xfrm>
                      <a:prstGeom prst="rect">
                        <a:avLst/>
                      </a:prstGeom>
                    </wps:spPr>
                    <wps:txbx>
                      <w:txbxContent>
                        <w:p>
                          <w:pPr>
                            <w:spacing w:before="14"/>
                            <w:ind w:left="20" w:right="0" w:firstLine="0"/>
                            <w:jc w:val="left"/>
                            <w:rPr>
                              <w:sz w:val="18"/>
                            </w:rPr>
                          </w:pPr>
                          <w:r>
                            <w:rPr>
                              <w:spacing w:val="-10"/>
                              <w:sz w:val="18"/>
                            </w:rPr>
                            <w:t>4</w:t>
                          </w:r>
                        </w:p>
                      </w:txbxContent>
                    </wps:txbx>
                    <wps:bodyPr wrap="square" lIns="0" tIns="0" rIns="0" bIns="0" rtlCol="0">
                      <a:noAutofit/>
                    </wps:bodyPr>
                  </wps:wsp>
                </a:graphicData>
              </a:graphic>
            </wp:anchor>
          </w:drawing>
        </mc:Choice>
        <mc:Fallback>
          <w:pict>
            <v:shape style="position:absolute;margin-left:55.639999pt;margin-top:796.652527pt;width:7.05pt;height:12.1pt;mso-position-horizontal-relative:page;mso-position-vertical-relative:page;z-index:-17387008" type="#_x0000_t202" id="docshape49" filled="false" stroked="false">
              <v:textbox inset="0,0,0,0">
                <w:txbxContent>
                  <w:p>
                    <w:pPr>
                      <w:spacing w:before="14"/>
                      <w:ind w:left="20" w:right="0" w:firstLine="0"/>
                      <w:jc w:val="left"/>
                      <w:rPr>
                        <w:sz w:val="18"/>
                      </w:rPr>
                    </w:pPr>
                    <w:r>
                      <w:rPr>
                        <w:spacing w:val="-10"/>
                        <w:sz w:val="18"/>
                      </w:rPr>
                      <w:t>4</w:t>
                    </w:r>
                  </w:p>
                </w:txbxContent>
              </v:textbox>
              <w10:wrap type="none"/>
            </v:shape>
          </w:pict>
        </mc:Fallback>
      </mc:AlternateContent>
    </w:r>
    <w:r>
      <w:rPr/>
      <mc:AlternateContent>
        <mc:Choice Requires="wps">
          <w:drawing>
            <wp:anchor distT="0" distB="0" distL="0" distR="0" allowOverlap="1" layoutInCell="1" locked="0" behindDoc="1" simplePos="0" relativeHeight="485929984">
              <wp:simplePos x="0" y="0"/>
              <wp:positionH relativeFrom="page">
                <wp:posOffset>5569077</wp:posOffset>
              </wp:positionH>
              <wp:positionV relativeFrom="page">
                <wp:posOffset>10117487</wp:posOffset>
              </wp:positionV>
              <wp:extent cx="1228090" cy="153670"/>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1228090"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438.51001pt;margin-top:796.652527pt;width:96.7pt;height:12.1pt;mso-position-horizontal-relative:page;mso-position-vertical-relative:page;z-index:-17386496" type="#_x0000_t202" id="docshape50"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30496">
              <wp:simplePos x="0" y="0"/>
              <wp:positionH relativeFrom="page">
                <wp:posOffset>3493134</wp:posOffset>
              </wp:positionH>
              <wp:positionV relativeFrom="page">
                <wp:posOffset>10374883</wp:posOffset>
              </wp:positionV>
              <wp:extent cx="575945" cy="177800"/>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85984" type="#_x0000_t202" id="docshape51"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31008">
              <wp:simplePos x="0" y="0"/>
              <wp:positionH relativeFrom="page">
                <wp:posOffset>706627</wp:posOffset>
              </wp:positionH>
              <wp:positionV relativeFrom="page">
                <wp:posOffset>10117487</wp:posOffset>
              </wp:positionV>
              <wp:extent cx="1227455" cy="153670"/>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1227455" cy="153670"/>
                      </a:xfrm>
                      <a:prstGeom prst="rect">
                        <a:avLst/>
                      </a:prstGeom>
                    </wps:spPr>
                    <wps:txbx>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wps:txbx>
                    <wps:bodyPr wrap="square" lIns="0" tIns="0" rIns="0" bIns="0" rtlCol="0">
                      <a:noAutofit/>
                    </wps:bodyPr>
                  </wps:wsp>
                </a:graphicData>
              </a:graphic>
            </wp:anchor>
          </w:drawing>
        </mc:Choice>
        <mc:Fallback>
          <w:pict>
            <v:shape style="position:absolute;margin-left:55.639999pt;margin-top:796.652527pt;width:96.65pt;height:12.1pt;mso-position-horizontal-relative:page;mso-position-vertical-relative:page;z-index:-17385472" type="#_x0000_t202" id="docshape52" filled="false" stroked="false">
              <v:textbox inset="0,0,0,0">
                <w:txbxContent>
                  <w:p>
                    <w:pPr>
                      <w:spacing w:before="14"/>
                      <w:ind w:left="20" w:right="0" w:firstLine="0"/>
                      <w:jc w:val="left"/>
                      <w:rPr>
                        <w:sz w:val="18"/>
                      </w:rPr>
                    </w:pPr>
                    <w:r>
                      <w:rPr>
                        <w:sz w:val="18"/>
                      </w:rPr>
                      <w:t>Glenelg</w:t>
                    </w:r>
                    <w:r>
                      <w:rPr>
                        <w:spacing w:val="-7"/>
                        <w:sz w:val="18"/>
                      </w:rPr>
                      <w:t> </w:t>
                    </w:r>
                    <w:r>
                      <w:rPr>
                        <w:sz w:val="18"/>
                      </w:rPr>
                      <w:t>Ark</w:t>
                    </w:r>
                    <w:r>
                      <w:rPr>
                        <w:spacing w:val="-3"/>
                        <w:sz w:val="18"/>
                      </w:rPr>
                      <w:t> </w:t>
                    </w:r>
                    <w:r>
                      <w:rPr>
                        <w:sz w:val="18"/>
                      </w:rPr>
                      <w:t>2005–</w:t>
                    </w:r>
                    <w:r>
                      <w:rPr>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5931520">
              <wp:simplePos x="0" y="0"/>
              <wp:positionH relativeFrom="page">
                <wp:posOffset>6558533</wp:posOffset>
              </wp:positionH>
              <wp:positionV relativeFrom="page">
                <wp:posOffset>10117487</wp:posOffset>
              </wp:positionV>
              <wp:extent cx="89535" cy="153670"/>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89535" cy="153670"/>
                      </a:xfrm>
                      <a:prstGeom prst="rect">
                        <a:avLst/>
                      </a:prstGeom>
                    </wps:spPr>
                    <wps:txbx>
                      <w:txbxContent>
                        <w:p>
                          <w:pPr>
                            <w:spacing w:before="14"/>
                            <w:ind w:left="20" w:right="0" w:firstLine="0"/>
                            <w:jc w:val="left"/>
                            <w:rPr>
                              <w:sz w:val="18"/>
                            </w:rPr>
                          </w:pPr>
                          <w:r>
                            <w:rPr>
                              <w:spacing w:val="-10"/>
                              <w:sz w:val="18"/>
                            </w:rPr>
                            <w:t>5</w:t>
                          </w:r>
                        </w:p>
                      </w:txbxContent>
                    </wps:txbx>
                    <wps:bodyPr wrap="square" lIns="0" tIns="0" rIns="0" bIns="0" rtlCol="0">
                      <a:noAutofit/>
                    </wps:bodyPr>
                  </wps:wsp>
                </a:graphicData>
              </a:graphic>
            </wp:anchor>
          </w:drawing>
        </mc:Choice>
        <mc:Fallback>
          <w:pict>
            <v:shape style="position:absolute;margin-left:516.419983pt;margin-top:796.652527pt;width:7.05pt;height:12.1pt;mso-position-horizontal-relative:page;mso-position-vertical-relative:page;z-index:-17384960" type="#_x0000_t202" id="docshape53" filled="false" stroked="false">
              <v:textbox inset="0,0,0,0">
                <w:txbxContent>
                  <w:p>
                    <w:pPr>
                      <w:spacing w:before="14"/>
                      <w:ind w:left="20" w:right="0" w:firstLine="0"/>
                      <w:jc w:val="left"/>
                      <w:rPr>
                        <w:sz w:val="18"/>
                      </w:rPr>
                    </w:pPr>
                    <w:r>
                      <w:rPr>
                        <w:spacing w:val="-10"/>
                        <w:sz w:val="18"/>
                      </w:rPr>
                      <w:t>5</w:t>
                    </w:r>
                  </w:p>
                </w:txbxContent>
              </v:textbox>
              <w10:wrap type="none"/>
            </v:shape>
          </w:pict>
        </mc:Fallback>
      </mc:AlternateContent>
    </w:r>
    <w:r>
      <w:rPr/>
      <mc:AlternateContent>
        <mc:Choice Requires="wps">
          <w:drawing>
            <wp:anchor distT="0" distB="0" distL="0" distR="0" allowOverlap="1" layoutInCell="1" locked="0" behindDoc="1" simplePos="0" relativeHeight="485932032">
              <wp:simplePos x="0" y="0"/>
              <wp:positionH relativeFrom="page">
                <wp:posOffset>3493134</wp:posOffset>
              </wp:positionH>
              <wp:positionV relativeFrom="page">
                <wp:posOffset>10374883</wp:posOffset>
              </wp:positionV>
              <wp:extent cx="575945" cy="177800"/>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575945" cy="177800"/>
                      </a:xfrm>
                      <a:prstGeom prst="rect">
                        <a:avLst/>
                      </a:prstGeom>
                    </wps:spPr>
                    <wps:txbx>
                      <w:txbxContent>
                        <w:p>
                          <w:pPr>
                            <w:spacing w:line="264" w:lineRule="exact" w:before="0"/>
                            <w:ind w:left="20" w:right="0" w:firstLine="0"/>
                            <w:jc w:val="left"/>
                            <w:rPr>
                              <w:rFonts w:ascii="Calibri"/>
                              <w:sz w:val="24"/>
                            </w:rPr>
                          </w:pPr>
                          <w:r>
                            <w:rPr>
                              <w:rFonts w:ascii="Calibri"/>
                              <w:spacing w:val="-2"/>
                              <w:sz w:val="24"/>
                            </w:rPr>
                            <w:t>OFFICIAL</w:t>
                          </w:r>
                        </w:p>
                      </w:txbxContent>
                    </wps:txbx>
                    <wps:bodyPr wrap="square" lIns="0" tIns="0" rIns="0" bIns="0" rtlCol="0">
                      <a:noAutofit/>
                    </wps:bodyPr>
                  </wps:wsp>
                </a:graphicData>
              </a:graphic>
            </wp:anchor>
          </w:drawing>
        </mc:Choice>
        <mc:Fallback>
          <w:pict>
            <v:shape style="position:absolute;margin-left:275.049988pt;margin-top:816.919983pt;width:45.35pt;height:14pt;mso-position-horizontal-relative:page;mso-position-vertical-relative:page;z-index:-17384448" type="#_x0000_t202" id="docshape54" filled="false" stroked="false">
              <v:textbox inset="0,0,0,0">
                <w:txbxContent>
                  <w:p>
                    <w:pPr>
                      <w:spacing w:line="264" w:lineRule="exact" w:before="0"/>
                      <w:ind w:left="20" w:right="0" w:firstLine="0"/>
                      <w:jc w:val="left"/>
                      <w:rPr>
                        <w:rFonts w:ascii="Calibri"/>
                        <w:sz w:val="24"/>
                      </w:rPr>
                    </w:pPr>
                    <w:r>
                      <w:rPr>
                        <w:rFonts w:ascii="Calibri"/>
                        <w:spacing w:val="-2"/>
                        <w:sz w:val="24"/>
                      </w:rPr>
                      <w:t>OFFICIAL</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1"/>
      <w:numFmt w:val="decimal"/>
      <w:lvlText w:val="%1."/>
      <w:lvlJc w:val="left"/>
      <w:pPr>
        <w:ind w:left="1853" w:hanging="360"/>
        <w:jc w:val="left"/>
      </w:pPr>
      <w:rPr>
        <w:rFonts w:hint="default" w:ascii="Arial" w:hAnsi="Arial" w:eastAsia="Arial" w:cs="Arial"/>
        <w:b w:val="0"/>
        <w:bCs w:val="0"/>
        <w:i w:val="0"/>
        <w:iCs w:val="0"/>
        <w:spacing w:val="-1"/>
        <w:w w:val="99"/>
        <w:sz w:val="20"/>
        <w:szCs w:val="20"/>
        <w:lang w:val="en-US" w:eastAsia="en-US" w:bidi="ar-SA"/>
      </w:rPr>
    </w:lvl>
    <w:lvl w:ilvl="1">
      <w:start w:val="0"/>
      <w:numFmt w:val="bullet"/>
      <w:lvlText w:val="•"/>
      <w:lvlJc w:val="left"/>
      <w:pPr>
        <w:ind w:left="2864" w:hanging="360"/>
      </w:pPr>
      <w:rPr>
        <w:rFonts w:hint="default"/>
        <w:lang w:val="en-US" w:eastAsia="en-US" w:bidi="ar-SA"/>
      </w:rPr>
    </w:lvl>
    <w:lvl w:ilvl="2">
      <w:start w:val="0"/>
      <w:numFmt w:val="bullet"/>
      <w:lvlText w:val="•"/>
      <w:lvlJc w:val="left"/>
      <w:pPr>
        <w:ind w:left="3869" w:hanging="360"/>
      </w:pPr>
      <w:rPr>
        <w:rFonts w:hint="default"/>
        <w:lang w:val="en-US" w:eastAsia="en-US" w:bidi="ar-SA"/>
      </w:rPr>
    </w:lvl>
    <w:lvl w:ilvl="3">
      <w:start w:val="0"/>
      <w:numFmt w:val="bullet"/>
      <w:lvlText w:val="•"/>
      <w:lvlJc w:val="left"/>
      <w:pPr>
        <w:ind w:left="4873" w:hanging="360"/>
      </w:pPr>
      <w:rPr>
        <w:rFonts w:hint="default"/>
        <w:lang w:val="en-US" w:eastAsia="en-US" w:bidi="ar-SA"/>
      </w:rPr>
    </w:lvl>
    <w:lvl w:ilvl="4">
      <w:start w:val="0"/>
      <w:numFmt w:val="bullet"/>
      <w:lvlText w:val="•"/>
      <w:lvlJc w:val="left"/>
      <w:pPr>
        <w:ind w:left="5878" w:hanging="360"/>
      </w:pPr>
      <w:rPr>
        <w:rFonts w:hint="default"/>
        <w:lang w:val="en-US" w:eastAsia="en-US" w:bidi="ar-SA"/>
      </w:rPr>
    </w:lvl>
    <w:lvl w:ilvl="5">
      <w:start w:val="0"/>
      <w:numFmt w:val="bullet"/>
      <w:lvlText w:val="•"/>
      <w:lvlJc w:val="left"/>
      <w:pPr>
        <w:ind w:left="6883" w:hanging="360"/>
      </w:pPr>
      <w:rPr>
        <w:rFonts w:hint="default"/>
        <w:lang w:val="en-US" w:eastAsia="en-US" w:bidi="ar-SA"/>
      </w:rPr>
    </w:lvl>
    <w:lvl w:ilvl="6">
      <w:start w:val="0"/>
      <w:numFmt w:val="bullet"/>
      <w:lvlText w:val="•"/>
      <w:lvlJc w:val="left"/>
      <w:pPr>
        <w:ind w:left="7887" w:hanging="360"/>
      </w:pPr>
      <w:rPr>
        <w:rFonts w:hint="default"/>
        <w:lang w:val="en-US" w:eastAsia="en-US" w:bidi="ar-SA"/>
      </w:rPr>
    </w:lvl>
    <w:lvl w:ilvl="7">
      <w:start w:val="0"/>
      <w:numFmt w:val="bullet"/>
      <w:lvlText w:val="•"/>
      <w:lvlJc w:val="left"/>
      <w:pPr>
        <w:ind w:left="8892" w:hanging="360"/>
      </w:pPr>
      <w:rPr>
        <w:rFonts w:hint="default"/>
        <w:lang w:val="en-US" w:eastAsia="en-US" w:bidi="ar-SA"/>
      </w:rPr>
    </w:lvl>
    <w:lvl w:ilvl="8">
      <w:start w:val="0"/>
      <w:numFmt w:val="bullet"/>
      <w:lvlText w:val="•"/>
      <w:lvlJc w:val="left"/>
      <w:pPr>
        <w:ind w:left="9897" w:hanging="360"/>
      </w:pPr>
      <w:rPr>
        <w:rFonts w:hint="default"/>
        <w:lang w:val="en-US" w:eastAsia="en-US" w:bidi="ar-SA"/>
      </w:rPr>
    </w:lvl>
  </w:abstractNum>
  <w:abstractNum w:abstractNumId="9">
    <w:multiLevelType w:val="hybridMultilevel"/>
    <w:lvl w:ilvl="0">
      <w:start w:val="1"/>
      <w:numFmt w:val="decimal"/>
      <w:lvlText w:val="%1."/>
      <w:lvlJc w:val="left"/>
      <w:pPr>
        <w:ind w:left="1560" w:hanging="428"/>
        <w:jc w:val="left"/>
      </w:pPr>
      <w:rPr>
        <w:rFonts w:hint="default" w:ascii="Arial" w:hAnsi="Arial" w:eastAsia="Arial" w:cs="Arial"/>
        <w:b w:val="0"/>
        <w:bCs w:val="0"/>
        <w:i w:val="0"/>
        <w:iCs w:val="0"/>
        <w:spacing w:val="-1"/>
        <w:w w:val="99"/>
        <w:sz w:val="20"/>
        <w:szCs w:val="20"/>
        <w:lang w:val="en-US" w:eastAsia="en-US" w:bidi="ar-SA"/>
      </w:rPr>
    </w:lvl>
    <w:lvl w:ilvl="1">
      <w:start w:val="0"/>
      <w:numFmt w:val="bullet"/>
      <w:lvlText w:val="•"/>
      <w:lvlJc w:val="left"/>
      <w:pPr>
        <w:ind w:left="2594" w:hanging="428"/>
      </w:pPr>
      <w:rPr>
        <w:rFonts w:hint="default"/>
        <w:lang w:val="en-US" w:eastAsia="en-US" w:bidi="ar-SA"/>
      </w:rPr>
    </w:lvl>
    <w:lvl w:ilvl="2">
      <w:start w:val="0"/>
      <w:numFmt w:val="bullet"/>
      <w:lvlText w:val="•"/>
      <w:lvlJc w:val="left"/>
      <w:pPr>
        <w:ind w:left="3629" w:hanging="428"/>
      </w:pPr>
      <w:rPr>
        <w:rFonts w:hint="default"/>
        <w:lang w:val="en-US" w:eastAsia="en-US" w:bidi="ar-SA"/>
      </w:rPr>
    </w:lvl>
    <w:lvl w:ilvl="3">
      <w:start w:val="0"/>
      <w:numFmt w:val="bullet"/>
      <w:lvlText w:val="•"/>
      <w:lvlJc w:val="left"/>
      <w:pPr>
        <w:ind w:left="4663" w:hanging="428"/>
      </w:pPr>
      <w:rPr>
        <w:rFonts w:hint="default"/>
        <w:lang w:val="en-US" w:eastAsia="en-US" w:bidi="ar-SA"/>
      </w:rPr>
    </w:lvl>
    <w:lvl w:ilvl="4">
      <w:start w:val="0"/>
      <w:numFmt w:val="bullet"/>
      <w:lvlText w:val="•"/>
      <w:lvlJc w:val="left"/>
      <w:pPr>
        <w:ind w:left="5698" w:hanging="428"/>
      </w:pPr>
      <w:rPr>
        <w:rFonts w:hint="default"/>
        <w:lang w:val="en-US" w:eastAsia="en-US" w:bidi="ar-SA"/>
      </w:rPr>
    </w:lvl>
    <w:lvl w:ilvl="5">
      <w:start w:val="0"/>
      <w:numFmt w:val="bullet"/>
      <w:lvlText w:val="•"/>
      <w:lvlJc w:val="left"/>
      <w:pPr>
        <w:ind w:left="6733" w:hanging="428"/>
      </w:pPr>
      <w:rPr>
        <w:rFonts w:hint="default"/>
        <w:lang w:val="en-US" w:eastAsia="en-US" w:bidi="ar-SA"/>
      </w:rPr>
    </w:lvl>
    <w:lvl w:ilvl="6">
      <w:start w:val="0"/>
      <w:numFmt w:val="bullet"/>
      <w:lvlText w:val="•"/>
      <w:lvlJc w:val="left"/>
      <w:pPr>
        <w:ind w:left="7767" w:hanging="428"/>
      </w:pPr>
      <w:rPr>
        <w:rFonts w:hint="default"/>
        <w:lang w:val="en-US" w:eastAsia="en-US" w:bidi="ar-SA"/>
      </w:rPr>
    </w:lvl>
    <w:lvl w:ilvl="7">
      <w:start w:val="0"/>
      <w:numFmt w:val="bullet"/>
      <w:lvlText w:val="•"/>
      <w:lvlJc w:val="left"/>
      <w:pPr>
        <w:ind w:left="8802" w:hanging="428"/>
      </w:pPr>
      <w:rPr>
        <w:rFonts w:hint="default"/>
        <w:lang w:val="en-US" w:eastAsia="en-US" w:bidi="ar-SA"/>
      </w:rPr>
    </w:lvl>
    <w:lvl w:ilvl="8">
      <w:start w:val="0"/>
      <w:numFmt w:val="bullet"/>
      <w:lvlText w:val="•"/>
      <w:lvlJc w:val="left"/>
      <w:pPr>
        <w:ind w:left="9837" w:hanging="428"/>
      </w:pPr>
      <w:rPr>
        <w:rFonts w:hint="default"/>
        <w:lang w:val="en-US" w:eastAsia="en-US" w:bidi="ar-SA"/>
      </w:rPr>
    </w:lvl>
  </w:abstractNum>
  <w:abstractNum w:abstractNumId="8">
    <w:multiLevelType w:val="hybridMultilevel"/>
    <w:lvl w:ilvl="0">
      <w:start w:val="3"/>
      <w:numFmt w:val="decimal"/>
      <w:lvlText w:val="%1"/>
      <w:lvlJc w:val="left"/>
      <w:pPr>
        <w:ind w:left="1853" w:hanging="721"/>
        <w:jc w:val="left"/>
      </w:pPr>
      <w:rPr>
        <w:rFonts w:hint="default"/>
        <w:lang w:val="en-US" w:eastAsia="en-US" w:bidi="ar-SA"/>
      </w:rPr>
    </w:lvl>
    <w:lvl w:ilvl="1">
      <w:start w:val="4"/>
      <w:numFmt w:val="decimal"/>
      <w:lvlText w:val="%1.%2"/>
      <w:lvlJc w:val="left"/>
      <w:pPr>
        <w:ind w:left="1853" w:hanging="721"/>
        <w:jc w:val="left"/>
      </w:pPr>
      <w:rPr>
        <w:rFonts w:hint="default" w:ascii="Arial" w:hAnsi="Arial" w:eastAsia="Arial" w:cs="Arial"/>
        <w:b/>
        <w:bCs/>
        <w:i w:val="0"/>
        <w:iCs w:val="0"/>
        <w:color w:val="2D1E66"/>
        <w:spacing w:val="0"/>
        <w:w w:val="99"/>
        <w:sz w:val="24"/>
        <w:szCs w:val="24"/>
        <w:lang w:val="en-US" w:eastAsia="en-US" w:bidi="ar-SA"/>
      </w:rPr>
    </w:lvl>
    <w:lvl w:ilvl="2">
      <w:start w:val="0"/>
      <w:numFmt w:val="bullet"/>
      <w:lvlText w:val="•"/>
      <w:lvlJc w:val="left"/>
      <w:pPr>
        <w:ind w:left="3869" w:hanging="721"/>
      </w:pPr>
      <w:rPr>
        <w:rFonts w:hint="default"/>
        <w:lang w:val="en-US" w:eastAsia="en-US" w:bidi="ar-SA"/>
      </w:rPr>
    </w:lvl>
    <w:lvl w:ilvl="3">
      <w:start w:val="0"/>
      <w:numFmt w:val="bullet"/>
      <w:lvlText w:val="•"/>
      <w:lvlJc w:val="left"/>
      <w:pPr>
        <w:ind w:left="4873" w:hanging="721"/>
      </w:pPr>
      <w:rPr>
        <w:rFonts w:hint="default"/>
        <w:lang w:val="en-US" w:eastAsia="en-US" w:bidi="ar-SA"/>
      </w:rPr>
    </w:lvl>
    <w:lvl w:ilvl="4">
      <w:start w:val="0"/>
      <w:numFmt w:val="bullet"/>
      <w:lvlText w:val="•"/>
      <w:lvlJc w:val="left"/>
      <w:pPr>
        <w:ind w:left="5878" w:hanging="721"/>
      </w:pPr>
      <w:rPr>
        <w:rFonts w:hint="default"/>
        <w:lang w:val="en-US" w:eastAsia="en-US" w:bidi="ar-SA"/>
      </w:rPr>
    </w:lvl>
    <w:lvl w:ilvl="5">
      <w:start w:val="0"/>
      <w:numFmt w:val="bullet"/>
      <w:lvlText w:val="•"/>
      <w:lvlJc w:val="left"/>
      <w:pPr>
        <w:ind w:left="6883" w:hanging="721"/>
      </w:pPr>
      <w:rPr>
        <w:rFonts w:hint="default"/>
        <w:lang w:val="en-US" w:eastAsia="en-US" w:bidi="ar-SA"/>
      </w:rPr>
    </w:lvl>
    <w:lvl w:ilvl="6">
      <w:start w:val="0"/>
      <w:numFmt w:val="bullet"/>
      <w:lvlText w:val="•"/>
      <w:lvlJc w:val="left"/>
      <w:pPr>
        <w:ind w:left="7887" w:hanging="721"/>
      </w:pPr>
      <w:rPr>
        <w:rFonts w:hint="default"/>
        <w:lang w:val="en-US" w:eastAsia="en-US" w:bidi="ar-SA"/>
      </w:rPr>
    </w:lvl>
    <w:lvl w:ilvl="7">
      <w:start w:val="0"/>
      <w:numFmt w:val="bullet"/>
      <w:lvlText w:val="•"/>
      <w:lvlJc w:val="left"/>
      <w:pPr>
        <w:ind w:left="8892" w:hanging="721"/>
      </w:pPr>
      <w:rPr>
        <w:rFonts w:hint="default"/>
        <w:lang w:val="en-US" w:eastAsia="en-US" w:bidi="ar-SA"/>
      </w:rPr>
    </w:lvl>
    <w:lvl w:ilvl="8">
      <w:start w:val="0"/>
      <w:numFmt w:val="bullet"/>
      <w:lvlText w:val="•"/>
      <w:lvlJc w:val="left"/>
      <w:pPr>
        <w:ind w:left="9897" w:hanging="721"/>
      </w:pPr>
      <w:rPr>
        <w:rFonts w:hint="default"/>
        <w:lang w:val="en-US" w:eastAsia="en-US" w:bidi="ar-SA"/>
      </w:rPr>
    </w:lvl>
  </w:abstractNum>
  <w:abstractNum w:abstractNumId="7">
    <w:multiLevelType w:val="hybridMultilevel"/>
    <w:lvl w:ilvl="0">
      <w:start w:val="1"/>
      <w:numFmt w:val="decimal"/>
      <w:lvlText w:val="%1."/>
      <w:lvlJc w:val="left"/>
      <w:pPr>
        <w:ind w:left="1853" w:hanging="360"/>
        <w:jc w:val="left"/>
      </w:pPr>
      <w:rPr>
        <w:rFonts w:hint="default" w:ascii="Arial" w:hAnsi="Arial" w:eastAsia="Arial" w:cs="Arial"/>
        <w:b w:val="0"/>
        <w:bCs w:val="0"/>
        <w:i w:val="0"/>
        <w:iCs w:val="0"/>
        <w:spacing w:val="-1"/>
        <w:w w:val="99"/>
        <w:sz w:val="20"/>
        <w:szCs w:val="20"/>
        <w:lang w:val="en-US" w:eastAsia="en-US" w:bidi="ar-SA"/>
      </w:rPr>
    </w:lvl>
    <w:lvl w:ilvl="1">
      <w:start w:val="0"/>
      <w:numFmt w:val="bullet"/>
      <w:lvlText w:val="•"/>
      <w:lvlJc w:val="left"/>
      <w:pPr>
        <w:ind w:left="2864" w:hanging="360"/>
      </w:pPr>
      <w:rPr>
        <w:rFonts w:hint="default"/>
        <w:lang w:val="en-US" w:eastAsia="en-US" w:bidi="ar-SA"/>
      </w:rPr>
    </w:lvl>
    <w:lvl w:ilvl="2">
      <w:start w:val="0"/>
      <w:numFmt w:val="bullet"/>
      <w:lvlText w:val="•"/>
      <w:lvlJc w:val="left"/>
      <w:pPr>
        <w:ind w:left="3869" w:hanging="360"/>
      </w:pPr>
      <w:rPr>
        <w:rFonts w:hint="default"/>
        <w:lang w:val="en-US" w:eastAsia="en-US" w:bidi="ar-SA"/>
      </w:rPr>
    </w:lvl>
    <w:lvl w:ilvl="3">
      <w:start w:val="0"/>
      <w:numFmt w:val="bullet"/>
      <w:lvlText w:val="•"/>
      <w:lvlJc w:val="left"/>
      <w:pPr>
        <w:ind w:left="4873" w:hanging="360"/>
      </w:pPr>
      <w:rPr>
        <w:rFonts w:hint="default"/>
        <w:lang w:val="en-US" w:eastAsia="en-US" w:bidi="ar-SA"/>
      </w:rPr>
    </w:lvl>
    <w:lvl w:ilvl="4">
      <w:start w:val="0"/>
      <w:numFmt w:val="bullet"/>
      <w:lvlText w:val="•"/>
      <w:lvlJc w:val="left"/>
      <w:pPr>
        <w:ind w:left="5878" w:hanging="360"/>
      </w:pPr>
      <w:rPr>
        <w:rFonts w:hint="default"/>
        <w:lang w:val="en-US" w:eastAsia="en-US" w:bidi="ar-SA"/>
      </w:rPr>
    </w:lvl>
    <w:lvl w:ilvl="5">
      <w:start w:val="0"/>
      <w:numFmt w:val="bullet"/>
      <w:lvlText w:val="•"/>
      <w:lvlJc w:val="left"/>
      <w:pPr>
        <w:ind w:left="6883" w:hanging="360"/>
      </w:pPr>
      <w:rPr>
        <w:rFonts w:hint="default"/>
        <w:lang w:val="en-US" w:eastAsia="en-US" w:bidi="ar-SA"/>
      </w:rPr>
    </w:lvl>
    <w:lvl w:ilvl="6">
      <w:start w:val="0"/>
      <w:numFmt w:val="bullet"/>
      <w:lvlText w:val="•"/>
      <w:lvlJc w:val="left"/>
      <w:pPr>
        <w:ind w:left="7887" w:hanging="360"/>
      </w:pPr>
      <w:rPr>
        <w:rFonts w:hint="default"/>
        <w:lang w:val="en-US" w:eastAsia="en-US" w:bidi="ar-SA"/>
      </w:rPr>
    </w:lvl>
    <w:lvl w:ilvl="7">
      <w:start w:val="0"/>
      <w:numFmt w:val="bullet"/>
      <w:lvlText w:val="•"/>
      <w:lvlJc w:val="left"/>
      <w:pPr>
        <w:ind w:left="8892" w:hanging="360"/>
      </w:pPr>
      <w:rPr>
        <w:rFonts w:hint="default"/>
        <w:lang w:val="en-US" w:eastAsia="en-US" w:bidi="ar-SA"/>
      </w:rPr>
    </w:lvl>
    <w:lvl w:ilvl="8">
      <w:start w:val="0"/>
      <w:numFmt w:val="bullet"/>
      <w:lvlText w:val="•"/>
      <w:lvlJc w:val="left"/>
      <w:pPr>
        <w:ind w:left="9897" w:hanging="360"/>
      </w:pPr>
      <w:rPr>
        <w:rFonts w:hint="default"/>
        <w:lang w:val="en-US" w:eastAsia="en-US" w:bidi="ar-SA"/>
      </w:rPr>
    </w:lvl>
  </w:abstractNum>
  <w:abstractNum w:abstractNumId="6">
    <w:multiLevelType w:val="hybridMultilevel"/>
    <w:lvl w:ilvl="0">
      <w:start w:val="1"/>
      <w:numFmt w:val="decimal"/>
      <w:lvlText w:val="%1."/>
      <w:lvlJc w:val="left"/>
      <w:pPr>
        <w:ind w:left="2213" w:hanging="720"/>
        <w:jc w:val="left"/>
      </w:pPr>
      <w:rPr>
        <w:rFonts w:hint="default" w:ascii="Arial" w:hAnsi="Arial" w:eastAsia="Arial" w:cs="Arial"/>
        <w:b w:val="0"/>
        <w:bCs w:val="0"/>
        <w:i w:val="0"/>
        <w:iCs w:val="0"/>
        <w:spacing w:val="-1"/>
        <w:w w:val="99"/>
        <w:sz w:val="20"/>
        <w:szCs w:val="20"/>
        <w:lang w:val="en-US" w:eastAsia="en-US" w:bidi="ar-SA"/>
      </w:rPr>
    </w:lvl>
    <w:lvl w:ilvl="1">
      <w:start w:val="0"/>
      <w:numFmt w:val="bullet"/>
      <w:lvlText w:val="•"/>
      <w:lvlJc w:val="left"/>
      <w:pPr>
        <w:ind w:left="3188" w:hanging="720"/>
      </w:pPr>
      <w:rPr>
        <w:rFonts w:hint="default"/>
        <w:lang w:val="en-US" w:eastAsia="en-US" w:bidi="ar-SA"/>
      </w:rPr>
    </w:lvl>
    <w:lvl w:ilvl="2">
      <w:start w:val="0"/>
      <w:numFmt w:val="bullet"/>
      <w:lvlText w:val="•"/>
      <w:lvlJc w:val="left"/>
      <w:pPr>
        <w:ind w:left="4157" w:hanging="720"/>
      </w:pPr>
      <w:rPr>
        <w:rFonts w:hint="default"/>
        <w:lang w:val="en-US" w:eastAsia="en-US" w:bidi="ar-SA"/>
      </w:rPr>
    </w:lvl>
    <w:lvl w:ilvl="3">
      <w:start w:val="0"/>
      <w:numFmt w:val="bullet"/>
      <w:lvlText w:val="•"/>
      <w:lvlJc w:val="left"/>
      <w:pPr>
        <w:ind w:left="5125" w:hanging="720"/>
      </w:pPr>
      <w:rPr>
        <w:rFonts w:hint="default"/>
        <w:lang w:val="en-US" w:eastAsia="en-US" w:bidi="ar-SA"/>
      </w:rPr>
    </w:lvl>
    <w:lvl w:ilvl="4">
      <w:start w:val="0"/>
      <w:numFmt w:val="bullet"/>
      <w:lvlText w:val="•"/>
      <w:lvlJc w:val="left"/>
      <w:pPr>
        <w:ind w:left="6094" w:hanging="720"/>
      </w:pPr>
      <w:rPr>
        <w:rFonts w:hint="default"/>
        <w:lang w:val="en-US" w:eastAsia="en-US" w:bidi="ar-SA"/>
      </w:rPr>
    </w:lvl>
    <w:lvl w:ilvl="5">
      <w:start w:val="0"/>
      <w:numFmt w:val="bullet"/>
      <w:lvlText w:val="•"/>
      <w:lvlJc w:val="left"/>
      <w:pPr>
        <w:ind w:left="7063" w:hanging="720"/>
      </w:pPr>
      <w:rPr>
        <w:rFonts w:hint="default"/>
        <w:lang w:val="en-US" w:eastAsia="en-US" w:bidi="ar-SA"/>
      </w:rPr>
    </w:lvl>
    <w:lvl w:ilvl="6">
      <w:start w:val="0"/>
      <w:numFmt w:val="bullet"/>
      <w:lvlText w:val="•"/>
      <w:lvlJc w:val="left"/>
      <w:pPr>
        <w:ind w:left="8031" w:hanging="720"/>
      </w:pPr>
      <w:rPr>
        <w:rFonts w:hint="default"/>
        <w:lang w:val="en-US" w:eastAsia="en-US" w:bidi="ar-SA"/>
      </w:rPr>
    </w:lvl>
    <w:lvl w:ilvl="7">
      <w:start w:val="0"/>
      <w:numFmt w:val="bullet"/>
      <w:lvlText w:val="•"/>
      <w:lvlJc w:val="left"/>
      <w:pPr>
        <w:ind w:left="9000" w:hanging="720"/>
      </w:pPr>
      <w:rPr>
        <w:rFonts w:hint="default"/>
        <w:lang w:val="en-US" w:eastAsia="en-US" w:bidi="ar-SA"/>
      </w:rPr>
    </w:lvl>
    <w:lvl w:ilvl="8">
      <w:start w:val="0"/>
      <w:numFmt w:val="bullet"/>
      <w:lvlText w:val="•"/>
      <w:lvlJc w:val="left"/>
      <w:pPr>
        <w:ind w:left="9969" w:hanging="720"/>
      </w:pPr>
      <w:rPr>
        <w:rFonts w:hint="default"/>
        <w:lang w:val="en-US" w:eastAsia="en-US" w:bidi="ar-SA"/>
      </w:rPr>
    </w:lvl>
  </w:abstractNum>
  <w:abstractNum w:abstractNumId="5">
    <w:multiLevelType w:val="hybridMultilevel"/>
    <w:lvl w:ilvl="0">
      <w:start w:val="1"/>
      <w:numFmt w:val="decimal"/>
      <w:lvlText w:val="%1."/>
      <w:lvlJc w:val="left"/>
      <w:pPr>
        <w:ind w:left="1853" w:hanging="360"/>
        <w:jc w:val="left"/>
      </w:pPr>
      <w:rPr>
        <w:rFonts w:hint="default" w:ascii="Arial" w:hAnsi="Arial" w:eastAsia="Arial" w:cs="Arial"/>
        <w:b w:val="0"/>
        <w:bCs w:val="0"/>
        <w:i w:val="0"/>
        <w:iCs w:val="0"/>
        <w:spacing w:val="-1"/>
        <w:w w:val="99"/>
        <w:sz w:val="20"/>
        <w:szCs w:val="20"/>
        <w:lang w:val="en-US" w:eastAsia="en-US" w:bidi="ar-SA"/>
      </w:rPr>
    </w:lvl>
    <w:lvl w:ilvl="1">
      <w:start w:val="0"/>
      <w:numFmt w:val="bullet"/>
      <w:lvlText w:val="•"/>
      <w:lvlJc w:val="left"/>
      <w:pPr>
        <w:ind w:left="2864" w:hanging="360"/>
      </w:pPr>
      <w:rPr>
        <w:rFonts w:hint="default"/>
        <w:lang w:val="en-US" w:eastAsia="en-US" w:bidi="ar-SA"/>
      </w:rPr>
    </w:lvl>
    <w:lvl w:ilvl="2">
      <w:start w:val="0"/>
      <w:numFmt w:val="bullet"/>
      <w:lvlText w:val="•"/>
      <w:lvlJc w:val="left"/>
      <w:pPr>
        <w:ind w:left="3869" w:hanging="360"/>
      </w:pPr>
      <w:rPr>
        <w:rFonts w:hint="default"/>
        <w:lang w:val="en-US" w:eastAsia="en-US" w:bidi="ar-SA"/>
      </w:rPr>
    </w:lvl>
    <w:lvl w:ilvl="3">
      <w:start w:val="0"/>
      <w:numFmt w:val="bullet"/>
      <w:lvlText w:val="•"/>
      <w:lvlJc w:val="left"/>
      <w:pPr>
        <w:ind w:left="4873" w:hanging="360"/>
      </w:pPr>
      <w:rPr>
        <w:rFonts w:hint="default"/>
        <w:lang w:val="en-US" w:eastAsia="en-US" w:bidi="ar-SA"/>
      </w:rPr>
    </w:lvl>
    <w:lvl w:ilvl="4">
      <w:start w:val="0"/>
      <w:numFmt w:val="bullet"/>
      <w:lvlText w:val="•"/>
      <w:lvlJc w:val="left"/>
      <w:pPr>
        <w:ind w:left="5878" w:hanging="360"/>
      </w:pPr>
      <w:rPr>
        <w:rFonts w:hint="default"/>
        <w:lang w:val="en-US" w:eastAsia="en-US" w:bidi="ar-SA"/>
      </w:rPr>
    </w:lvl>
    <w:lvl w:ilvl="5">
      <w:start w:val="0"/>
      <w:numFmt w:val="bullet"/>
      <w:lvlText w:val="•"/>
      <w:lvlJc w:val="left"/>
      <w:pPr>
        <w:ind w:left="6883" w:hanging="360"/>
      </w:pPr>
      <w:rPr>
        <w:rFonts w:hint="default"/>
        <w:lang w:val="en-US" w:eastAsia="en-US" w:bidi="ar-SA"/>
      </w:rPr>
    </w:lvl>
    <w:lvl w:ilvl="6">
      <w:start w:val="0"/>
      <w:numFmt w:val="bullet"/>
      <w:lvlText w:val="•"/>
      <w:lvlJc w:val="left"/>
      <w:pPr>
        <w:ind w:left="7887" w:hanging="360"/>
      </w:pPr>
      <w:rPr>
        <w:rFonts w:hint="default"/>
        <w:lang w:val="en-US" w:eastAsia="en-US" w:bidi="ar-SA"/>
      </w:rPr>
    </w:lvl>
    <w:lvl w:ilvl="7">
      <w:start w:val="0"/>
      <w:numFmt w:val="bullet"/>
      <w:lvlText w:val="•"/>
      <w:lvlJc w:val="left"/>
      <w:pPr>
        <w:ind w:left="8892" w:hanging="360"/>
      </w:pPr>
      <w:rPr>
        <w:rFonts w:hint="default"/>
        <w:lang w:val="en-US" w:eastAsia="en-US" w:bidi="ar-SA"/>
      </w:rPr>
    </w:lvl>
    <w:lvl w:ilvl="8">
      <w:start w:val="0"/>
      <w:numFmt w:val="bullet"/>
      <w:lvlText w:val="•"/>
      <w:lvlJc w:val="left"/>
      <w:pPr>
        <w:ind w:left="9897" w:hanging="360"/>
      </w:pPr>
      <w:rPr>
        <w:rFonts w:hint="default"/>
        <w:lang w:val="en-US" w:eastAsia="en-US" w:bidi="ar-SA"/>
      </w:rPr>
    </w:lvl>
  </w:abstractNum>
  <w:abstractNum w:abstractNumId="4">
    <w:multiLevelType w:val="hybridMultilevel"/>
    <w:lvl w:ilvl="0">
      <w:start w:val="1"/>
      <w:numFmt w:val="decimal"/>
      <w:lvlText w:val="%1"/>
      <w:lvlJc w:val="left"/>
      <w:pPr>
        <w:ind w:left="1565" w:hanging="433"/>
        <w:jc w:val="left"/>
      </w:pPr>
      <w:rPr>
        <w:rFonts w:hint="default" w:ascii="Arial" w:hAnsi="Arial" w:eastAsia="Arial" w:cs="Arial"/>
        <w:b/>
        <w:bCs/>
        <w:i w:val="0"/>
        <w:iCs w:val="0"/>
        <w:color w:val="001F5F"/>
        <w:spacing w:val="0"/>
        <w:w w:val="99"/>
        <w:sz w:val="32"/>
        <w:szCs w:val="32"/>
        <w:lang w:val="en-US" w:eastAsia="en-US" w:bidi="ar-SA"/>
      </w:rPr>
    </w:lvl>
    <w:lvl w:ilvl="1">
      <w:start w:val="1"/>
      <w:numFmt w:val="decimal"/>
      <w:lvlText w:val="%1.%2"/>
      <w:lvlJc w:val="left"/>
      <w:pPr>
        <w:ind w:left="1699" w:hanging="567"/>
        <w:jc w:val="left"/>
      </w:pPr>
      <w:rPr>
        <w:rFonts w:hint="default" w:ascii="Arial" w:hAnsi="Arial" w:eastAsia="Arial" w:cs="Arial"/>
        <w:b/>
        <w:bCs/>
        <w:i w:val="0"/>
        <w:iCs w:val="0"/>
        <w:color w:val="2D1E66"/>
        <w:spacing w:val="0"/>
        <w:w w:val="99"/>
        <w:sz w:val="24"/>
        <w:szCs w:val="24"/>
        <w:lang w:val="en-US" w:eastAsia="en-US" w:bidi="ar-SA"/>
      </w:rPr>
    </w:lvl>
    <w:lvl w:ilvl="2">
      <w:start w:val="1"/>
      <w:numFmt w:val="decimal"/>
      <w:lvlText w:val="%1.%2.%3"/>
      <w:lvlJc w:val="left"/>
      <w:pPr>
        <w:ind w:left="1853" w:hanging="721"/>
        <w:jc w:val="left"/>
      </w:pPr>
      <w:rPr>
        <w:rFonts w:hint="default" w:ascii="Arial" w:hAnsi="Arial" w:eastAsia="Arial" w:cs="Arial"/>
        <w:b/>
        <w:bCs/>
        <w:i w:val="0"/>
        <w:iCs w:val="0"/>
        <w:spacing w:val="0"/>
        <w:w w:val="100"/>
        <w:sz w:val="22"/>
        <w:szCs w:val="22"/>
        <w:lang w:val="en-US" w:eastAsia="en-US" w:bidi="ar-SA"/>
      </w:rPr>
    </w:lvl>
    <w:lvl w:ilvl="3">
      <w:start w:val="0"/>
      <w:numFmt w:val="bullet"/>
      <w:lvlText w:val="•"/>
      <w:lvlJc w:val="left"/>
      <w:pPr>
        <w:ind w:left="3115" w:hanging="721"/>
      </w:pPr>
      <w:rPr>
        <w:rFonts w:hint="default"/>
        <w:lang w:val="en-US" w:eastAsia="en-US" w:bidi="ar-SA"/>
      </w:rPr>
    </w:lvl>
    <w:lvl w:ilvl="4">
      <w:start w:val="0"/>
      <w:numFmt w:val="bullet"/>
      <w:lvlText w:val="•"/>
      <w:lvlJc w:val="left"/>
      <w:pPr>
        <w:ind w:left="4371" w:hanging="721"/>
      </w:pPr>
      <w:rPr>
        <w:rFonts w:hint="default"/>
        <w:lang w:val="en-US" w:eastAsia="en-US" w:bidi="ar-SA"/>
      </w:rPr>
    </w:lvl>
    <w:lvl w:ilvl="5">
      <w:start w:val="0"/>
      <w:numFmt w:val="bullet"/>
      <w:lvlText w:val="•"/>
      <w:lvlJc w:val="left"/>
      <w:pPr>
        <w:ind w:left="5627" w:hanging="721"/>
      </w:pPr>
      <w:rPr>
        <w:rFonts w:hint="default"/>
        <w:lang w:val="en-US" w:eastAsia="en-US" w:bidi="ar-SA"/>
      </w:rPr>
    </w:lvl>
    <w:lvl w:ilvl="6">
      <w:start w:val="0"/>
      <w:numFmt w:val="bullet"/>
      <w:lvlText w:val="•"/>
      <w:lvlJc w:val="left"/>
      <w:pPr>
        <w:ind w:left="6883" w:hanging="721"/>
      </w:pPr>
      <w:rPr>
        <w:rFonts w:hint="default"/>
        <w:lang w:val="en-US" w:eastAsia="en-US" w:bidi="ar-SA"/>
      </w:rPr>
    </w:lvl>
    <w:lvl w:ilvl="7">
      <w:start w:val="0"/>
      <w:numFmt w:val="bullet"/>
      <w:lvlText w:val="•"/>
      <w:lvlJc w:val="left"/>
      <w:pPr>
        <w:ind w:left="8139" w:hanging="721"/>
      </w:pPr>
      <w:rPr>
        <w:rFonts w:hint="default"/>
        <w:lang w:val="en-US" w:eastAsia="en-US" w:bidi="ar-SA"/>
      </w:rPr>
    </w:lvl>
    <w:lvl w:ilvl="8">
      <w:start w:val="0"/>
      <w:numFmt w:val="bullet"/>
      <w:lvlText w:val="•"/>
      <w:lvlJc w:val="left"/>
      <w:pPr>
        <w:ind w:left="9394" w:hanging="721"/>
      </w:pPr>
      <w:rPr>
        <w:rFonts w:hint="default"/>
        <w:lang w:val="en-US" w:eastAsia="en-US" w:bidi="ar-SA"/>
      </w:rPr>
    </w:lvl>
  </w:abstractNum>
  <w:abstractNum w:abstractNumId="3">
    <w:multiLevelType w:val="hybridMultilevel"/>
    <w:lvl w:ilvl="0">
      <w:start w:val="1"/>
      <w:numFmt w:val="decimal"/>
      <w:lvlText w:val="%1."/>
      <w:lvlJc w:val="left"/>
      <w:pPr>
        <w:ind w:left="1493" w:hanging="361"/>
        <w:jc w:val="left"/>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2540" w:hanging="361"/>
      </w:pPr>
      <w:rPr>
        <w:rFonts w:hint="default"/>
        <w:lang w:val="en-US" w:eastAsia="en-US" w:bidi="ar-SA"/>
      </w:rPr>
    </w:lvl>
    <w:lvl w:ilvl="2">
      <w:start w:val="0"/>
      <w:numFmt w:val="bullet"/>
      <w:lvlText w:val="•"/>
      <w:lvlJc w:val="left"/>
      <w:pPr>
        <w:ind w:left="3581" w:hanging="361"/>
      </w:pPr>
      <w:rPr>
        <w:rFonts w:hint="default"/>
        <w:lang w:val="en-US" w:eastAsia="en-US" w:bidi="ar-SA"/>
      </w:rPr>
    </w:lvl>
    <w:lvl w:ilvl="3">
      <w:start w:val="0"/>
      <w:numFmt w:val="bullet"/>
      <w:lvlText w:val="•"/>
      <w:lvlJc w:val="left"/>
      <w:pPr>
        <w:ind w:left="4621" w:hanging="361"/>
      </w:pPr>
      <w:rPr>
        <w:rFonts w:hint="default"/>
        <w:lang w:val="en-US" w:eastAsia="en-US" w:bidi="ar-SA"/>
      </w:rPr>
    </w:lvl>
    <w:lvl w:ilvl="4">
      <w:start w:val="0"/>
      <w:numFmt w:val="bullet"/>
      <w:lvlText w:val="•"/>
      <w:lvlJc w:val="left"/>
      <w:pPr>
        <w:ind w:left="5662" w:hanging="361"/>
      </w:pPr>
      <w:rPr>
        <w:rFonts w:hint="default"/>
        <w:lang w:val="en-US" w:eastAsia="en-US" w:bidi="ar-SA"/>
      </w:rPr>
    </w:lvl>
    <w:lvl w:ilvl="5">
      <w:start w:val="0"/>
      <w:numFmt w:val="bullet"/>
      <w:lvlText w:val="•"/>
      <w:lvlJc w:val="left"/>
      <w:pPr>
        <w:ind w:left="6703" w:hanging="361"/>
      </w:pPr>
      <w:rPr>
        <w:rFonts w:hint="default"/>
        <w:lang w:val="en-US" w:eastAsia="en-US" w:bidi="ar-SA"/>
      </w:rPr>
    </w:lvl>
    <w:lvl w:ilvl="6">
      <w:start w:val="0"/>
      <w:numFmt w:val="bullet"/>
      <w:lvlText w:val="•"/>
      <w:lvlJc w:val="left"/>
      <w:pPr>
        <w:ind w:left="7743" w:hanging="361"/>
      </w:pPr>
      <w:rPr>
        <w:rFonts w:hint="default"/>
        <w:lang w:val="en-US" w:eastAsia="en-US" w:bidi="ar-SA"/>
      </w:rPr>
    </w:lvl>
    <w:lvl w:ilvl="7">
      <w:start w:val="0"/>
      <w:numFmt w:val="bullet"/>
      <w:lvlText w:val="•"/>
      <w:lvlJc w:val="left"/>
      <w:pPr>
        <w:ind w:left="8784" w:hanging="361"/>
      </w:pPr>
      <w:rPr>
        <w:rFonts w:hint="default"/>
        <w:lang w:val="en-US" w:eastAsia="en-US" w:bidi="ar-SA"/>
      </w:rPr>
    </w:lvl>
    <w:lvl w:ilvl="8">
      <w:start w:val="0"/>
      <w:numFmt w:val="bullet"/>
      <w:lvlText w:val="•"/>
      <w:lvlJc w:val="left"/>
      <w:pPr>
        <w:ind w:left="9825" w:hanging="361"/>
      </w:pPr>
      <w:rPr>
        <w:rFonts w:hint="default"/>
        <w:lang w:val="en-US" w:eastAsia="en-US" w:bidi="ar-SA"/>
      </w:rPr>
    </w:lvl>
  </w:abstractNum>
  <w:abstractNum w:abstractNumId="2">
    <w:multiLevelType w:val="hybridMultilevel"/>
    <w:lvl w:ilvl="0">
      <w:start w:val="0"/>
      <w:numFmt w:val="bullet"/>
      <w:lvlText w:val=""/>
      <w:lvlJc w:val="left"/>
      <w:pPr>
        <w:ind w:left="1853"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2864" w:hanging="360"/>
      </w:pPr>
      <w:rPr>
        <w:rFonts w:hint="default"/>
        <w:lang w:val="en-US" w:eastAsia="en-US" w:bidi="ar-SA"/>
      </w:rPr>
    </w:lvl>
    <w:lvl w:ilvl="2">
      <w:start w:val="0"/>
      <w:numFmt w:val="bullet"/>
      <w:lvlText w:val="•"/>
      <w:lvlJc w:val="left"/>
      <w:pPr>
        <w:ind w:left="3869" w:hanging="360"/>
      </w:pPr>
      <w:rPr>
        <w:rFonts w:hint="default"/>
        <w:lang w:val="en-US" w:eastAsia="en-US" w:bidi="ar-SA"/>
      </w:rPr>
    </w:lvl>
    <w:lvl w:ilvl="3">
      <w:start w:val="0"/>
      <w:numFmt w:val="bullet"/>
      <w:lvlText w:val="•"/>
      <w:lvlJc w:val="left"/>
      <w:pPr>
        <w:ind w:left="4873" w:hanging="360"/>
      </w:pPr>
      <w:rPr>
        <w:rFonts w:hint="default"/>
        <w:lang w:val="en-US" w:eastAsia="en-US" w:bidi="ar-SA"/>
      </w:rPr>
    </w:lvl>
    <w:lvl w:ilvl="4">
      <w:start w:val="0"/>
      <w:numFmt w:val="bullet"/>
      <w:lvlText w:val="•"/>
      <w:lvlJc w:val="left"/>
      <w:pPr>
        <w:ind w:left="5878" w:hanging="360"/>
      </w:pPr>
      <w:rPr>
        <w:rFonts w:hint="default"/>
        <w:lang w:val="en-US" w:eastAsia="en-US" w:bidi="ar-SA"/>
      </w:rPr>
    </w:lvl>
    <w:lvl w:ilvl="5">
      <w:start w:val="0"/>
      <w:numFmt w:val="bullet"/>
      <w:lvlText w:val="•"/>
      <w:lvlJc w:val="left"/>
      <w:pPr>
        <w:ind w:left="6883" w:hanging="360"/>
      </w:pPr>
      <w:rPr>
        <w:rFonts w:hint="default"/>
        <w:lang w:val="en-US" w:eastAsia="en-US" w:bidi="ar-SA"/>
      </w:rPr>
    </w:lvl>
    <w:lvl w:ilvl="6">
      <w:start w:val="0"/>
      <w:numFmt w:val="bullet"/>
      <w:lvlText w:val="•"/>
      <w:lvlJc w:val="left"/>
      <w:pPr>
        <w:ind w:left="7887" w:hanging="360"/>
      </w:pPr>
      <w:rPr>
        <w:rFonts w:hint="default"/>
        <w:lang w:val="en-US" w:eastAsia="en-US" w:bidi="ar-SA"/>
      </w:rPr>
    </w:lvl>
    <w:lvl w:ilvl="7">
      <w:start w:val="0"/>
      <w:numFmt w:val="bullet"/>
      <w:lvlText w:val="•"/>
      <w:lvlJc w:val="left"/>
      <w:pPr>
        <w:ind w:left="8892" w:hanging="360"/>
      </w:pPr>
      <w:rPr>
        <w:rFonts w:hint="default"/>
        <w:lang w:val="en-US" w:eastAsia="en-US" w:bidi="ar-SA"/>
      </w:rPr>
    </w:lvl>
    <w:lvl w:ilvl="8">
      <w:start w:val="0"/>
      <w:numFmt w:val="bullet"/>
      <w:lvlText w:val="•"/>
      <w:lvlJc w:val="left"/>
      <w:pPr>
        <w:ind w:left="9897" w:hanging="360"/>
      </w:pPr>
      <w:rPr>
        <w:rFonts w:hint="default"/>
        <w:lang w:val="en-US" w:eastAsia="en-US" w:bidi="ar-SA"/>
      </w:rPr>
    </w:lvl>
  </w:abstractNum>
  <w:abstractNum w:abstractNumId="1">
    <w:multiLevelType w:val="hybridMultilevel"/>
    <w:lvl w:ilvl="0">
      <w:start w:val="3"/>
      <w:numFmt w:val="decimal"/>
      <w:lvlText w:val="%1"/>
      <w:lvlJc w:val="left"/>
      <w:pPr>
        <w:ind w:left="1699" w:hanging="567"/>
        <w:jc w:val="left"/>
      </w:pPr>
      <w:rPr>
        <w:rFonts w:hint="default"/>
        <w:lang w:val="en-US" w:eastAsia="en-US" w:bidi="ar-SA"/>
      </w:rPr>
    </w:lvl>
    <w:lvl w:ilvl="1">
      <w:start w:val="4"/>
      <w:numFmt w:val="decimal"/>
      <w:lvlText w:val="%1.%2"/>
      <w:lvlJc w:val="left"/>
      <w:pPr>
        <w:ind w:left="1699" w:hanging="567"/>
        <w:jc w:val="left"/>
      </w:pPr>
      <w:rPr>
        <w:rFonts w:hint="default" w:ascii="Arial" w:hAnsi="Arial" w:eastAsia="Arial" w:cs="Arial"/>
        <w:b w:val="0"/>
        <w:bCs w:val="0"/>
        <w:i w:val="0"/>
        <w:iCs w:val="0"/>
        <w:spacing w:val="-1"/>
        <w:w w:val="99"/>
        <w:sz w:val="20"/>
        <w:szCs w:val="20"/>
        <w:lang w:val="en-US" w:eastAsia="en-US" w:bidi="ar-SA"/>
      </w:rPr>
    </w:lvl>
    <w:lvl w:ilvl="2">
      <w:start w:val="0"/>
      <w:numFmt w:val="bullet"/>
      <w:lvlText w:val="•"/>
      <w:lvlJc w:val="left"/>
      <w:pPr>
        <w:ind w:left="3741" w:hanging="567"/>
      </w:pPr>
      <w:rPr>
        <w:rFonts w:hint="default"/>
        <w:lang w:val="en-US" w:eastAsia="en-US" w:bidi="ar-SA"/>
      </w:rPr>
    </w:lvl>
    <w:lvl w:ilvl="3">
      <w:start w:val="0"/>
      <w:numFmt w:val="bullet"/>
      <w:lvlText w:val="•"/>
      <w:lvlJc w:val="left"/>
      <w:pPr>
        <w:ind w:left="4761" w:hanging="567"/>
      </w:pPr>
      <w:rPr>
        <w:rFonts w:hint="default"/>
        <w:lang w:val="en-US" w:eastAsia="en-US" w:bidi="ar-SA"/>
      </w:rPr>
    </w:lvl>
    <w:lvl w:ilvl="4">
      <w:start w:val="0"/>
      <w:numFmt w:val="bullet"/>
      <w:lvlText w:val="•"/>
      <w:lvlJc w:val="left"/>
      <w:pPr>
        <w:ind w:left="5782" w:hanging="567"/>
      </w:pPr>
      <w:rPr>
        <w:rFonts w:hint="default"/>
        <w:lang w:val="en-US" w:eastAsia="en-US" w:bidi="ar-SA"/>
      </w:rPr>
    </w:lvl>
    <w:lvl w:ilvl="5">
      <w:start w:val="0"/>
      <w:numFmt w:val="bullet"/>
      <w:lvlText w:val="•"/>
      <w:lvlJc w:val="left"/>
      <w:pPr>
        <w:ind w:left="6803" w:hanging="567"/>
      </w:pPr>
      <w:rPr>
        <w:rFonts w:hint="default"/>
        <w:lang w:val="en-US" w:eastAsia="en-US" w:bidi="ar-SA"/>
      </w:rPr>
    </w:lvl>
    <w:lvl w:ilvl="6">
      <w:start w:val="0"/>
      <w:numFmt w:val="bullet"/>
      <w:lvlText w:val="•"/>
      <w:lvlJc w:val="left"/>
      <w:pPr>
        <w:ind w:left="7823" w:hanging="567"/>
      </w:pPr>
      <w:rPr>
        <w:rFonts w:hint="default"/>
        <w:lang w:val="en-US" w:eastAsia="en-US" w:bidi="ar-SA"/>
      </w:rPr>
    </w:lvl>
    <w:lvl w:ilvl="7">
      <w:start w:val="0"/>
      <w:numFmt w:val="bullet"/>
      <w:lvlText w:val="•"/>
      <w:lvlJc w:val="left"/>
      <w:pPr>
        <w:ind w:left="8844" w:hanging="567"/>
      </w:pPr>
      <w:rPr>
        <w:rFonts w:hint="default"/>
        <w:lang w:val="en-US" w:eastAsia="en-US" w:bidi="ar-SA"/>
      </w:rPr>
    </w:lvl>
    <w:lvl w:ilvl="8">
      <w:start w:val="0"/>
      <w:numFmt w:val="bullet"/>
      <w:lvlText w:val="•"/>
      <w:lvlJc w:val="left"/>
      <w:pPr>
        <w:ind w:left="9865" w:hanging="567"/>
      </w:pPr>
      <w:rPr>
        <w:rFonts w:hint="default"/>
        <w:lang w:val="en-US" w:eastAsia="en-US" w:bidi="ar-SA"/>
      </w:rPr>
    </w:lvl>
  </w:abstractNum>
  <w:abstractNum w:abstractNumId="0">
    <w:multiLevelType w:val="hybridMultilevel"/>
    <w:lvl w:ilvl="0">
      <w:start w:val="1"/>
      <w:numFmt w:val="decimal"/>
      <w:lvlText w:val="%1"/>
      <w:lvlJc w:val="left"/>
      <w:pPr>
        <w:ind w:left="1699" w:hanging="567"/>
        <w:jc w:val="left"/>
      </w:pPr>
      <w:rPr>
        <w:rFonts w:hint="default" w:ascii="Arial" w:hAnsi="Arial" w:eastAsia="Arial" w:cs="Arial"/>
        <w:b/>
        <w:bCs/>
        <w:i w:val="0"/>
        <w:iCs w:val="0"/>
        <w:color w:val="001F5F"/>
        <w:spacing w:val="0"/>
        <w:w w:val="99"/>
        <w:sz w:val="20"/>
        <w:szCs w:val="20"/>
        <w:lang w:val="en-US" w:eastAsia="en-US" w:bidi="ar-SA"/>
      </w:rPr>
    </w:lvl>
    <w:lvl w:ilvl="1">
      <w:start w:val="1"/>
      <w:numFmt w:val="decimal"/>
      <w:lvlText w:val="%1.%2"/>
      <w:lvlJc w:val="left"/>
      <w:pPr>
        <w:ind w:left="1699" w:hanging="567"/>
        <w:jc w:val="left"/>
      </w:pPr>
      <w:rPr>
        <w:rFonts w:hint="default" w:ascii="Arial" w:hAnsi="Arial" w:eastAsia="Arial" w:cs="Arial"/>
        <w:b w:val="0"/>
        <w:bCs w:val="0"/>
        <w:i w:val="0"/>
        <w:iCs w:val="0"/>
        <w:spacing w:val="-1"/>
        <w:w w:val="99"/>
        <w:sz w:val="20"/>
        <w:szCs w:val="20"/>
        <w:lang w:val="en-US" w:eastAsia="en-US" w:bidi="ar-SA"/>
      </w:rPr>
    </w:lvl>
    <w:lvl w:ilvl="2">
      <w:start w:val="1"/>
      <w:numFmt w:val="decimal"/>
      <w:lvlText w:val="%1.%2.%3"/>
      <w:lvlJc w:val="left"/>
      <w:pPr>
        <w:ind w:left="2410" w:hanging="711"/>
        <w:jc w:val="left"/>
      </w:pPr>
      <w:rPr>
        <w:rFonts w:hint="default" w:ascii="Arial" w:hAnsi="Arial" w:eastAsia="Arial" w:cs="Arial"/>
        <w:b w:val="0"/>
        <w:bCs w:val="0"/>
        <w:i w:val="0"/>
        <w:iCs w:val="0"/>
        <w:spacing w:val="-1"/>
        <w:w w:val="99"/>
        <w:sz w:val="20"/>
        <w:szCs w:val="20"/>
        <w:lang w:val="en-US" w:eastAsia="en-US" w:bidi="ar-SA"/>
      </w:rPr>
    </w:lvl>
    <w:lvl w:ilvl="3">
      <w:start w:val="0"/>
      <w:numFmt w:val="bullet"/>
      <w:lvlText w:val="•"/>
      <w:lvlJc w:val="left"/>
      <w:pPr>
        <w:ind w:left="4528" w:hanging="711"/>
      </w:pPr>
      <w:rPr>
        <w:rFonts w:hint="default"/>
        <w:lang w:val="en-US" w:eastAsia="en-US" w:bidi="ar-SA"/>
      </w:rPr>
    </w:lvl>
    <w:lvl w:ilvl="4">
      <w:start w:val="0"/>
      <w:numFmt w:val="bullet"/>
      <w:lvlText w:val="•"/>
      <w:lvlJc w:val="left"/>
      <w:pPr>
        <w:ind w:left="5582" w:hanging="711"/>
      </w:pPr>
      <w:rPr>
        <w:rFonts w:hint="default"/>
        <w:lang w:val="en-US" w:eastAsia="en-US" w:bidi="ar-SA"/>
      </w:rPr>
    </w:lvl>
    <w:lvl w:ilvl="5">
      <w:start w:val="0"/>
      <w:numFmt w:val="bullet"/>
      <w:lvlText w:val="•"/>
      <w:lvlJc w:val="left"/>
      <w:pPr>
        <w:ind w:left="6636" w:hanging="711"/>
      </w:pPr>
      <w:rPr>
        <w:rFonts w:hint="default"/>
        <w:lang w:val="en-US" w:eastAsia="en-US" w:bidi="ar-SA"/>
      </w:rPr>
    </w:lvl>
    <w:lvl w:ilvl="6">
      <w:start w:val="0"/>
      <w:numFmt w:val="bullet"/>
      <w:lvlText w:val="•"/>
      <w:lvlJc w:val="left"/>
      <w:pPr>
        <w:ind w:left="7690" w:hanging="711"/>
      </w:pPr>
      <w:rPr>
        <w:rFonts w:hint="default"/>
        <w:lang w:val="en-US" w:eastAsia="en-US" w:bidi="ar-SA"/>
      </w:rPr>
    </w:lvl>
    <w:lvl w:ilvl="7">
      <w:start w:val="0"/>
      <w:numFmt w:val="bullet"/>
      <w:lvlText w:val="•"/>
      <w:lvlJc w:val="left"/>
      <w:pPr>
        <w:ind w:left="8744" w:hanging="711"/>
      </w:pPr>
      <w:rPr>
        <w:rFonts w:hint="default"/>
        <w:lang w:val="en-US" w:eastAsia="en-US" w:bidi="ar-SA"/>
      </w:rPr>
    </w:lvl>
    <w:lvl w:ilvl="8">
      <w:start w:val="0"/>
      <w:numFmt w:val="bullet"/>
      <w:lvlText w:val="•"/>
      <w:lvlJc w:val="left"/>
      <w:pPr>
        <w:ind w:left="9798" w:hanging="711"/>
      </w:pPr>
      <w:rPr>
        <w:rFonts w:hint="default"/>
        <w:lang w:val="en-US" w:eastAsia="en-US" w:bidi="ar-SA"/>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TOC1" w:type="paragraph">
    <w:name w:val="TOC 1"/>
    <w:basedOn w:val="Normal"/>
    <w:uiPriority w:val="1"/>
    <w:qFormat/>
    <w:pPr>
      <w:spacing w:before="70"/>
      <w:ind w:left="1699" w:hanging="567"/>
    </w:pPr>
    <w:rPr>
      <w:rFonts w:ascii="Arial" w:hAnsi="Arial" w:eastAsia="Arial" w:cs="Arial"/>
      <w:b/>
      <w:bCs/>
      <w:sz w:val="20"/>
      <w:szCs w:val="20"/>
      <w:lang w:val="en-US" w:eastAsia="en-US" w:bidi="ar-SA"/>
    </w:rPr>
  </w:style>
  <w:style w:styleId="TOC2" w:type="paragraph">
    <w:name w:val="TOC 2"/>
    <w:basedOn w:val="Normal"/>
    <w:uiPriority w:val="1"/>
    <w:qFormat/>
    <w:pPr>
      <w:spacing w:before="60"/>
      <w:ind w:left="1699" w:hanging="567"/>
    </w:pPr>
    <w:rPr>
      <w:rFonts w:ascii="Arial" w:hAnsi="Arial" w:eastAsia="Arial" w:cs="Arial"/>
      <w:sz w:val="20"/>
      <w:szCs w:val="20"/>
      <w:lang w:val="en-US" w:eastAsia="en-US" w:bidi="ar-SA"/>
    </w:rPr>
  </w:style>
  <w:style w:styleId="TOC3" w:type="paragraph">
    <w:name w:val="TOC 3"/>
    <w:basedOn w:val="Normal"/>
    <w:uiPriority w:val="1"/>
    <w:qFormat/>
    <w:pPr>
      <w:spacing w:before="120"/>
      <w:ind w:left="2409" w:hanging="710"/>
    </w:pPr>
    <w:rPr>
      <w:rFonts w:ascii="Arial" w:hAnsi="Arial" w:eastAsia="Arial" w:cs="Arial"/>
      <w:sz w:val="20"/>
      <w:szCs w:val="20"/>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spacing w:before="73"/>
      <w:ind w:left="1132"/>
      <w:outlineLvl w:val="1"/>
    </w:pPr>
    <w:rPr>
      <w:rFonts w:ascii="Arial" w:hAnsi="Arial" w:eastAsia="Arial" w:cs="Arial"/>
      <w:sz w:val="40"/>
      <w:szCs w:val="40"/>
      <w:lang w:val="en-US" w:eastAsia="en-US" w:bidi="ar-SA"/>
    </w:rPr>
  </w:style>
  <w:style w:styleId="Heading2" w:type="paragraph">
    <w:name w:val="Heading 2"/>
    <w:basedOn w:val="Normal"/>
    <w:uiPriority w:val="1"/>
    <w:qFormat/>
    <w:pPr>
      <w:spacing w:before="61"/>
      <w:ind w:left="1565"/>
      <w:outlineLvl w:val="2"/>
    </w:pPr>
    <w:rPr>
      <w:rFonts w:ascii="Arial" w:hAnsi="Arial" w:eastAsia="Arial" w:cs="Arial"/>
      <w:b/>
      <w:bCs/>
      <w:sz w:val="32"/>
      <w:szCs w:val="32"/>
      <w:lang w:val="en-US" w:eastAsia="en-US" w:bidi="ar-SA"/>
    </w:rPr>
  </w:style>
  <w:style w:styleId="Heading3" w:type="paragraph">
    <w:name w:val="Heading 3"/>
    <w:basedOn w:val="Normal"/>
    <w:uiPriority w:val="1"/>
    <w:qFormat/>
    <w:pPr>
      <w:ind w:left="1132"/>
      <w:outlineLvl w:val="3"/>
    </w:pPr>
    <w:rPr>
      <w:rFonts w:ascii="Arial" w:hAnsi="Arial" w:eastAsia="Arial" w:cs="Arial"/>
      <w:b/>
      <w:bCs/>
      <w:sz w:val="24"/>
      <w:szCs w:val="24"/>
      <w:lang w:val="en-US" w:eastAsia="en-US" w:bidi="ar-SA"/>
    </w:rPr>
  </w:style>
  <w:style w:styleId="Heading4" w:type="paragraph">
    <w:name w:val="Heading 4"/>
    <w:basedOn w:val="Normal"/>
    <w:uiPriority w:val="1"/>
    <w:qFormat/>
    <w:pPr>
      <w:spacing w:before="142"/>
      <w:ind w:left="1853" w:hanging="721"/>
      <w:outlineLvl w:val="4"/>
    </w:pPr>
    <w:rPr>
      <w:rFonts w:ascii="Arial" w:hAnsi="Arial" w:eastAsia="Arial" w:cs="Arial"/>
      <w:b/>
      <w:bCs/>
      <w:sz w:val="22"/>
      <w:szCs w:val="22"/>
      <w:lang w:val="en-US" w:eastAsia="en-US" w:bidi="ar-SA"/>
    </w:rPr>
  </w:style>
  <w:style w:styleId="Heading5" w:type="paragraph">
    <w:name w:val="Heading 5"/>
    <w:basedOn w:val="Normal"/>
    <w:uiPriority w:val="1"/>
    <w:qFormat/>
    <w:pPr>
      <w:ind w:left="1132"/>
      <w:outlineLvl w:val="5"/>
    </w:pPr>
    <w:rPr>
      <w:rFonts w:ascii="Arial" w:hAnsi="Arial" w:eastAsia="Arial" w:cs="Arial"/>
      <w:b/>
      <w:bCs/>
      <w:sz w:val="20"/>
      <w:szCs w:val="20"/>
      <w:lang w:val="en-US" w:eastAsia="en-US" w:bidi="ar-SA"/>
    </w:rPr>
  </w:style>
  <w:style w:styleId="Heading6" w:type="paragraph">
    <w:name w:val="Heading 6"/>
    <w:basedOn w:val="Normal"/>
    <w:uiPriority w:val="1"/>
    <w:qFormat/>
    <w:pPr>
      <w:ind w:left="1132"/>
      <w:outlineLvl w:val="6"/>
    </w:pPr>
    <w:rPr>
      <w:rFonts w:ascii="Arial" w:hAnsi="Arial" w:eastAsia="Arial" w:cs="Arial"/>
      <w:b/>
      <w:bCs/>
      <w:i/>
      <w:iCs/>
      <w:sz w:val="20"/>
      <w:szCs w:val="20"/>
      <w:lang w:val="en-US" w:eastAsia="en-US" w:bidi="ar-SA"/>
    </w:rPr>
  </w:style>
  <w:style w:styleId="Title" w:type="paragraph">
    <w:name w:val="Title"/>
    <w:basedOn w:val="Normal"/>
    <w:uiPriority w:val="1"/>
    <w:qFormat/>
    <w:pPr>
      <w:spacing w:before="67"/>
      <w:ind w:left="1132" w:right="1204"/>
    </w:pPr>
    <w:rPr>
      <w:rFonts w:ascii="Arial" w:hAnsi="Arial" w:eastAsia="Arial" w:cs="Arial"/>
      <w:b/>
      <w:bCs/>
      <w:sz w:val="48"/>
      <w:szCs w:val="48"/>
      <w:lang w:val="en-US" w:eastAsia="en-US" w:bidi="ar-SA"/>
    </w:rPr>
  </w:style>
  <w:style w:styleId="ListParagraph" w:type="paragraph">
    <w:name w:val="List Paragraph"/>
    <w:basedOn w:val="Normal"/>
    <w:uiPriority w:val="1"/>
    <w:qFormat/>
    <w:pPr>
      <w:ind w:left="1699" w:hanging="567"/>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image" Target="media/image9.png"/><Relationship Id="rId14" Type="http://schemas.openxmlformats.org/officeDocument/2006/relationships/image" Target="media/image10.jpeg"/><Relationship Id="rId15" Type="http://schemas.openxmlformats.org/officeDocument/2006/relationships/image" Target="media/image11.jpeg"/><Relationship Id="rId16" Type="http://schemas.openxmlformats.org/officeDocument/2006/relationships/footer" Target="footer1.xml"/><Relationship Id="rId17" Type="http://schemas.openxmlformats.org/officeDocument/2006/relationships/hyperlink" Target="http://www.ari.vic.gov.au/" TargetMode="External"/><Relationship Id="rId18" Type="http://schemas.openxmlformats.org/officeDocument/2006/relationships/image" Target="media/image12.png"/><Relationship Id="rId19" Type="http://schemas.openxmlformats.org/officeDocument/2006/relationships/hyperlink" Target="http://creativecommons.org/licenses/by/4.0/" TargetMode="External"/><Relationship Id="rId20" Type="http://schemas.openxmlformats.org/officeDocument/2006/relationships/hyperlink" Target="mailto:customer.service@deeca.vic.gov.au" TargetMode="External"/><Relationship Id="rId21" Type="http://schemas.openxmlformats.org/officeDocument/2006/relationships/hyperlink" Target="http://www.deeca.vic.gov.au/" TargetMode="External"/><Relationship Id="rId22" Type="http://schemas.openxmlformats.org/officeDocument/2006/relationships/footer" Target="footer2.xml"/><Relationship Id="rId23" Type="http://schemas.openxmlformats.org/officeDocument/2006/relationships/footer" Target="footer3.xml"/><Relationship Id="rId24" Type="http://schemas.openxmlformats.org/officeDocument/2006/relationships/footer" Target="footer4.xml"/><Relationship Id="rId25" Type="http://schemas.openxmlformats.org/officeDocument/2006/relationships/footer" Target="footer5.xml"/><Relationship Id="rId26" Type="http://schemas.openxmlformats.org/officeDocument/2006/relationships/footer" Target="footer6.xml"/><Relationship Id="rId27" Type="http://schemas.openxmlformats.org/officeDocument/2006/relationships/footer" Target="footer7.xml"/><Relationship Id="rId28" Type="http://schemas.openxmlformats.org/officeDocument/2006/relationships/footer" Target="footer8.xml"/><Relationship Id="rId29" Type="http://schemas.openxmlformats.org/officeDocument/2006/relationships/footer" Target="footer9.xml"/><Relationship Id="rId30" Type="http://schemas.openxmlformats.org/officeDocument/2006/relationships/image" Target="media/image13.jpeg"/><Relationship Id="rId31" Type="http://schemas.openxmlformats.org/officeDocument/2006/relationships/footer" Target="footer10.xml"/><Relationship Id="rId32" Type="http://schemas.openxmlformats.org/officeDocument/2006/relationships/image" Target="media/image14.jpeg"/><Relationship Id="rId33" Type="http://schemas.openxmlformats.org/officeDocument/2006/relationships/footer" Target="footer11.xml"/><Relationship Id="rId34" Type="http://schemas.openxmlformats.org/officeDocument/2006/relationships/footer" Target="footer12.xml"/><Relationship Id="rId35" Type="http://schemas.openxmlformats.org/officeDocument/2006/relationships/footer" Target="footer13.xml"/><Relationship Id="rId36" Type="http://schemas.openxmlformats.org/officeDocument/2006/relationships/image" Target="media/image15.png"/><Relationship Id="rId37" Type="http://schemas.openxmlformats.org/officeDocument/2006/relationships/footer" Target="footer14.xml"/><Relationship Id="rId38" Type="http://schemas.openxmlformats.org/officeDocument/2006/relationships/image" Target="media/image16.png"/><Relationship Id="rId39" Type="http://schemas.openxmlformats.org/officeDocument/2006/relationships/image" Target="media/image17.png"/><Relationship Id="rId40" Type="http://schemas.openxmlformats.org/officeDocument/2006/relationships/footer" Target="footer15.xml"/><Relationship Id="rId41" Type="http://schemas.openxmlformats.org/officeDocument/2006/relationships/image" Target="media/image18.png"/><Relationship Id="rId42" Type="http://schemas.openxmlformats.org/officeDocument/2006/relationships/footer" Target="footer16.xml"/><Relationship Id="rId43" Type="http://schemas.openxmlformats.org/officeDocument/2006/relationships/image" Target="media/image19.png"/><Relationship Id="rId44" Type="http://schemas.openxmlformats.org/officeDocument/2006/relationships/footer" Target="footer17.xml"/><Relationship Id="rId45" Type="http://schemas.openxmlformats.org/officeDocument/2006/relationships/image" Target="media/image20.png"/><Relationship Id="rId46" Type="http://schemas.openxmlformats.org/officeDocument/2006/relationships/image" Target="media/image21.png"/><Relationship Id="rId47" Type="http://schemas.openxmlformats.org/officeDocument/2006/relationships/footer" Target="footer18.xml"/><Relationship Id="rId48" Type="http://schemas.openxmlformats.org/officeDocument/2006/relationships/image" Target="media/image22.png"/><Relationship Id="rId49" Type="http://schemas.openxmlformats.org/officeDocument/2006/relationships/footer" Target="footer19.xml"/><Relationship Id="rId50" Type="http://schemas.openxmlformats.org/officeDocument/2006/relationships/image" Target="media/image23.png"/><Relationship Id="rId51" Type="http://schemas.openxmlformats.org/officeDocument/2006/relationships/image" Target="media/image24.png"/><Relationship Id="rId52" Type="http://schemas.openxmlformats.org/officeDocument/2006/relationships/footer" Target="footer20.xml"/><Relationship Id="rId53" Type="http://schemas.openxmlformats.org/officeDocument/2006/relationships/image" Target="media/image25.png"/><Relationship Id="rId54" Type="http://schemas.openxmlformats.org/officeDocument/2006/relationships/footer" Target="footer21.xml"/><Relationship Id="rId55" Type="http://schemas.openxmlformats.org/officeDocument/2006/relationships/image" Target="media/image26.png"/><Relationship Id="rId56" Type="http://schemas.openxmlformats.org/officeDocument/2006/relationships/footer" Target="footer22.xml"/><Relationship Id="rId57" Type="http://schemas.openxmlformats.org/officeDocument/2006/relationships/footer" Target="footer23.xml"/><Relationship Id="rId58" Type="http://schemas.openxmlformats.org/officeDocument/2006/relationships/image" Target="media/image27.png"/><Relationship Id="rId59" Type="http://schemas.openxmlformats.org/officeDocument/2006/relationships/footer" Target="footer24.xml"/><Relationship Id="rId60" Type="http://schemas.openxmlformats.org/officeDocument/2006/relationships/footer" Target="footer25.xml"/><Relationship Id="rId61" Type="http://schemas.openxmlformats.org/officeDocument/2006/relationships/footer" Target="footer26.xml"/><Relationship Id="rId62" Type="http://schemas.openxmlformats.org/officeDocument/2006/relationships/footer" Target="footer27.xml"/><Relationship Id="rId63" Type="http://schemas.openxmlformats.org/officeDocument/2006/relationships/footer" Target="footer28.xml"/><Relationship Id="rId64" Type="http://schemas.openxmlformats.org/officeDocument/2006/relationships/hyperlink" Target="https://doi.org/10.1111/j.1442-9993.2011.02355.x" TargetMode="External"/><Relationship Id="rId65" Type="http://schemas.openxmlformats.org/officeDocument/2006/relationships/hyperlink" Target="https://doi.org/10.1071/WR9930267" TargetMode="External"/><Relationship Id="rId66" Type="http://schemas.openxmlformats.org/officeDocument/2006/relationships/hyperlink" Target="https://doi.org/10.18637/jss.v080.i01" TargetMode="External"/><Relationship Id="rId67" Type="http://schemas.openxmlformats.org/officeDocument/2006/relationships/hyperlink" Target="https://doi.org/10.18637/jss.v076.i01" TargetMode="External"/><Relationship Id="rId68" Type="http://schemas.openxmlformats.org/officeDocument/2006/relationships/hyperlink" Target="http://services.land.vic.gov.au/catalogue/metadata?anzlicId=ANZVI0803003495&amp;publicId=guest&amp;extractionProviderId=1" TargetMode="External"/><Relationship Id="rId69" Type="http://schemas.openxmlformats.org/officeDocument/2006/relationships/hyperlink" Target="https://www.land.vic.gov.au/maps-and-spatial/spatial-data/vicmap-catalogue/vicmap-elevation" TargetMode="External"/><Relationship Id="rId70" Type="http://schemas.openxmlformats.org/officeDocument/2006/relationships/hyperlink" Target="https://www.environment.vic.gov.au/conserving-threatened-species/threatened-list" TargetMode="External"/><Relationship Id="rId71" Type="http://schemas.openxmlformats.org/officeDocument/2006/relationships/hyperlink" Target="https://doi.org/10.1007/s10980-023-01646-6" TargetMode="External"/><Relationship Id="rId72" Type="http://schemas.openxmlformats.org/officeDocument/2006/relationships/footer" Target="footer29.xml"/><Relationship Id="rId73" Type="http://schemas.openxmlformats.org/officeDocument/2006/relationships/hyperlink" Target="https://doi.org/10.1111/1365-2664.13374" TargetMode="External"/><Relationship Id="rId74" Type="http://schemas.openxmlformats.org/officeDocument/2006/relationships/hyperlink" Target="https://doi.org/10.1111/j.1654-109X.2010.01083.x" TargetMode="External"/><Relationship Id="rId75" Type="http://schemas.openxmlformats.org/officeDocument/2006/relationships/hyperlink" Target="https://www.environmentalevidence.org/wp-content/uploads/2014/07/SR24.pdf" TargetMode="External"/><Relationship Id="rId76" Type="http://schemas.openxmlformats.org/officeDocument/2006/relationships/footer" Target="footer30.xml"/><Relationship Id="rId77" Type="http://schemas.openxmlformats.org/officeDocument/2006/relationships/hyperlink" Target="http://www.r-project.org/conferences/DSC-2003/" TargetMode="External"/><Relationship Id="rId78" Type="http://schemas.openxmlformats.org/officeDocument/2006/relationships/hyperlink" Target="https://en.wikipedia.org/wiki/Doi_(identifier)" TargetMode="External"/><Relationship Id="rId79" Type="http://schemas.openxmlformats.org/officeDocument/2006/relationships/hyperlink" Target="https://doi.org/10.1371%2Fjournal.pone.0197510" TargetMode="External"/><Relationship Id="rId80" Type="http://schemas.openxmlformats.org/officeDocument/2006/relationships/hyperlink" Target="http://www.r-project.org/" TargetMode="External"/><Relationship Id="rId81" Type="http://schemas.openxmlformats.org/officeDocument/2006/relationships/hyperlink" Target="https://doi.org/10.1016/j.biocon.2019.108287" TargetMode="External"/><Relationship Id="rId82" Type="http://schemas.openxmlformats.org/officeDocument/2006/relationships/hyperlink" Target="https://doi.org/10.1007/s10530-023-03200-6" TargetMode="External"/><Relationship Id="rId83" Type="http://schemas.openxmlformats.org/officeDocument/2006/relationships/hyperlink" Target="https://doi.org/10.1111/1365-2664.14402" TargetMode="External"/><Relationship Id="rId84" Type="http://schemas.openxmlformats.org/officeDocument/2006/relationships/footer" Target="footer31.xml"/><Relationship Id="rId85" Type="http://schemas.openxmlformats.org/officeDocument/2006/relationships/hyperlink" Target="https://doi.org/10.1111/j.1442-9993.1978.tb00856.x" TargetMode="External"/><Relationship Id="rId86" Type="http://schemas.openxmlformats.org/officeDocument/2006/relationships/hyperlink" Target="https://doi.org/10.1007/s10980-005-7005-2" TargetMode="External"/><Relationship Id="rId87" Type="http://schemas.openxmlformats.org/officeDocument/2006/relationships/hyperlink" Target="https://CRAN.R/" TargetMode="External"/><Relationship Id="rId88" Type="http://schemas.openxmlformats.org/officeDocument/2006/relationships/footer" Target="footer32.xml"/><Relationship Id="rId89" Type="http://schemas.openxmlformats.org/officeDocument/2006/relationships/footer" Target="footer33.xml"/><Relationship Id="rId90" Type="http://schemas.openxmlformats.org/officeDocument/2006/relationships/footer" Target="footer34.xml"/><Relationship Id="rId91" Type="http://schemas.openxmlformats.org/officeDocument/2006/relationships/footer" Target="footer35.xml"/><Relationship Id="rId92" Type="http://schemas.openxmlformats.org/officeDocument/2006/relationships/footer" Target="footer36.xml"/><Relationship Id="rId93" Type="http://schemas.openxmlformats.org/officeDocument/2006/relationships/footer" Target="footer37.xml"/><Relationship Id="rId94" Type="http://schemas.openxmlformats.org/officeDocument/2006/relationships/footer" Target="footer38.xml"/><Relationship Id="rId95" Type="http://schemas.openxmlformats.org/officeDocument/2006/relationships/image" Target="media/image28.png"/><Relationship Id="rId96" Type="http://schemas.openxmlformats.org/officeDocument/2006/relationships/footer" Target="footer39.xml"/><Relationship Id="rId97" Type="http://schemas.openxmlformats.org/officeDocument/2006/relationships/image" Target="media/image29.png"/><Relationship Id="rId98" Type="http://schemas.openxmlformats.org/officeDocument/2006/relationships/footer" Target="footer40.xml"/><Relationship Id="rId99" Type="http://schemas.openxmlformats.org/officeDocument/2006/relationships/image" Target="media/image30.png"/><Relationship Id="rId100" Type="http://schemas.openxmlformats.org/officeDocument/2006/relationships/footer" Target="footer41.xml"/><Relationship Id="rId101" Type="http://schemas.openxmlformats.org/officeDocument/2006/relationships/image" Target="media/image31.png"/><Relationship Id="rId102" Type="http://schemas.openxmlformats.org/officeDocument/2006/relationships/footer" Target="footer42.xml"/><Relationship Id="rId103" Type="http://schemas.openxmlformats.org/officeDocument/2006/relationships/image" Target="media/image32.png"/><Relationship Id="rId104" Type="http://schemas.openxmlformats.org/officeDocument/2006/relationships/footer" Target="footer43.xml"/><Relationship Id="rId105" Type="http://schemas.openxmlformats.org/officeDocument/2006/relationships/hyperlink" Target="http://www.decca.vic.gov.au/" TargetMode="External"/><Relationship Id="rId10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ARI-Technical-Report-380-Glenelg-Ark-2023-monitoring-and-evaluation-update</dc:title>
  <dcterms:created xsi:type="dcterms:W3CDTF">2026-08-24T07:12:30Z</dcterms:created>
  <dcterms:modified xsi:type="dcterms:W3CDTF">2026-08-24T07:12:30Z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Microsoft® Word for Microsoft 365</vt:lpwstr>
  </property>
  <property fmtid="{D5CDD505-2E9C-101B-9397-08002B2CF9AE}" pid="4" name="LastSaved">
    <vt:filetime>2026-08-24T00:00:00Z</vt:filetime>
  </property>
  <property fmtid="{D5CDD505-2E9C-101B-9397-08002B2CF9AE}" pid="5" name="MSIP_Label_4257e2ab-f512-40e2-9c9a-c64247360765_ActionId">
    <vt:lpwstr>5e1b7eb0-5ee6-4127-97ec-4bd4876e6fd3</vt:lpwstr>
  </property>
  <property fmtid="{D5CDD505-2E9C-101B-9397-08002B2CF9AE}" pid="6" name="MSIP_Label_4257e2ab-f512-40e2-9c9a-c64247360765_ContentBits">
    <vt:lpwstr>2</vt:lpwstr>
  </property>
  <property fmtid="{D5CDD505-2E9C-101B-9397-08002B2CF9AE}" pid="7" name="MSIP_Label_4257e2ab-f512-40e2-9c9a-c64247360765_Enabled">
    <vt:lpwstr>true</vt:lpwstr>
  </property>
  <property fmtid="{D5CDD505-2E9C-101B-9397-08002B2CF9AE}" pid="8" name="MSIP_Label_4257e2ab-f512-40e2-9c9a-c64247360765_Method">
    <vt:lpwstr>Privileged</vt:lpwstr>
  </property>
  <property fmtid="{D5CDD505-2E9C-101B-9397-08002B2CF9AE}" pid="9" name="MSIP_Label_4257e2ab-f512-40e2-9c9a-c64247360765_Name">
    <vt:lpwstr>OFFICIAL</vt:lpwstr>
  </property>
  <property fmtid="{D5CDD505-2E9C-101B-9397-08002B2CF9AE}" pid="10" name="MSIP_Label_4257e2ab-f512-40e2-9c9a-c64247360765_SetDate">
    <vt:lpwstr>2023-07-12T13:54:21Z</vt:lpwstr>
  </property>
  <property fmtid="{D5CDD505-2E9C-101B-9397-08002B2CF9AE}" pid="11" name="MSIP_Label_4257e2ab-f512-40e2-9c9a-c64247360765_SiteId">
    <vt:lpwstr>e8bdd6f7-fc18-4e48-a554-7f547927223b</vt:lpwstr>
  </property>
  <property fmtid="{D5CDD505-2E9C-101B-9397-08002B2CF9AE}" pid="12" name="Producer">
    <vt:lpwstr>Microsoft® Word for Microsoft 365</vt:lpwstr>
  </property>
</Properties>
</file>